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6-K </w:t>
      </w:r>
      <w:r>
        <w:rPr>
          <w:rFonts w:ascii="Times New Roman" w:hAnsi="Times New Roman"/>
          <w:b w:val="false"/>
          <w:i w:val="false"/>
          <w:color w:val="000000"/>
          <w:sz w:val="22"/>
        </w:rPr>
        <w:t xml:space="preserve">1 </w:t>
      </w:r>
      <w:r>
        <w:rPr>
          <w:rFonts w:ascii="Times New Roman" w:hAnsi="Times New Roman"/>
          <w:b w:val="false"/>
          <w:i w:val="false"/>
          <w:color w:val="000000"/>
          <w:sz w:val="22"/>
        </w:rPr>
        <w:t xml:space="preserve">ea0285515-6k_inflarx.htm </w:t>
      </w:r>
      <w:r>
        <w:rPr>
          <w:rFonts w:ascii="Times New Roman" w:hAnsi="Times New Roman"/>
          <w:b w:val="false"/>
          <w:i w:val="false"/>
          <w:color w:val="000000"/>
          <w:sz w:val="22"/>
        </w:rPr>
        <w:t xml:space="preserve">REPORT OF FOREIGN PRIVATE ISSUER </w:t>
      </w:r>
    </w:p>
    <w:p>
      <w:pPr>
        <w:spacing w:before="0" w:after="0"/>
        <w:ind w:left="120"/>
        <w:jc w:val="left"/>
      </w:pPr>
    </w:p>
    <w:p>
      <w:pPr>
        <w:spacing w:before="0" w:after="0"/>
        <w:ind w:left="120"/>
        <w:jc w:val="left"/>
      </w:pPr>
    </w:p>
    <w:p>
      <w:pPr>
        <w:pBdr>
          <w:top w:val="single" w:color="000000" w:sz="21"/>
          <w:bottom w:val="single" w:color="000000" w:sz="11"/>
        </w:pBdr>
        <w:spacing w:before="0" w:after="0"/>
        <w:ind w:left="120"/>
        <w:jc w:val="left"/>
      </w:pPr>
      <w:r>
        <w:rPr>
          <w:rFonts w:ascii="Times New Roman" w:hAnsi="Times New Roman"/>
          <w:b w:val="false"/>
          <w:i w:val="false"/>
          <w:color w:val="000000"/>
          <w:sz w:val="2"/>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UNITED STATES</w:t>
      </w:r>
    </w:p>
    <w:p>
      <w:pPr>
        <w:spacing w:before="0" w:after="0"/>
        <w:ind w:left="120"/>
        <w:jc w:val="left"/>
      </w:pPr>
    </w:p>
    <w:p>
      <w:pPr>
        <w:spacing w:before="0" w:after="0"/>
        <w:ind w:left="120"/>
        <w:jc w:val="center"/>
      </w:pPr>
      <w:r>
        <w:rPr>
          <w:rFonts w:ascii="Times New Roman" w:hAnsi="Times New Roman"/>
          <w:b/>
          <w:i w:val="false"/>
          <w:color w:val="000000"/>
          <w:sz w:val="20"/>
        </w:rPr>
        <w:t>SECURITIES ANDEXCHANGE COMMISSION</w:t>
      </w:r>
    </w:p>
    <w:p>
      <w:pPr>
        <w:spacing w:before="0" w:after="0"/>
        <w:ind w:left="120"/>
        <w:jc w:val="left"/>
      </w:pPr>
    </w:p>
    <w:p>
      <w:pPr>
        <w:spacing w:before="0" w:after="0"/>
        <w:ind w:left="120"/>
        <w:jc w:val="center"/>
      </w:pPr>
      <w:r>
        <w:rPr>
          <w:rFonts w:ascii="Times New Roman" w:hAnsi="Times New Roman"/>
          <w:b w:val="false"/>
          <w:i w:val="false"/>
          <w:color w:val="000000"/>
          <w:sz w:val="20"/>
        </w:rPr>
        <w:t>Washington, D.C.20549</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FORM 6-K</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Report of ForeignPrivate</w:t>
      </w:r>
    </w:p>
    <w:p>
      <w:pPr>
        <w:spacing w:before="0" w:after="0"/>
        <w:ind w:left="120"/>
        <w:jc w:val="left"/>
      </w:pPr>
    </w:p>
    <w:p>
      <w:pPr>
        <w:spacing w:before="0" w:after="0"/>
        <w:ind w:left="120"/>
        <w:jc w:val="center"/>
      </w:pPr>
      <w:r>
        <w:rPr>
          <w:rFonts w:ascii="Times New Roman" w:hAnsi="Times New Roman"/>
          <w:b/>
          <w:i w:val="false"/>
          <w:color w:val="000000"/>
          <w:sz w:val="20"/>
        </w:rPr>
        <w:t>Issuer Pursuantto Rule</w:t>
      </w:r>
    </w:p>
    <w:p>
      <w:pPr>
        <w:spacing w:before="0" w:after="0"/>
        <w:ind w:left="120"/>
        <w:jc w:val="left"/>
      </w:pPr>
    </w:p>
    <w:p>
      <w:pPr>
        <w:spacing w:before="0" w:after="0"/>
        <w:ind w:left="120"/>
        <w:jc w:val="center"/>
      </w:pPr>
      <w:r>
        <w:rPr>
          <w:rFonts w:ascii="Times New Roman" w:hAnsi="Times New Roman"/>
          <w:b/>
          <w:i w:val="false"/>
          <w:color w:val="000000"/>
          <w:sz w:val="20"/>
        </w:rPr>
        <w:t>13a-16 or 15d-16of the</w:t>
      </w:r>
    </w:p>
    <w:p>
      <w:pPr>
        <w:spacing w:before="0" w:after="0"/>
        <w:ind w:left="120"/>
        <w:jc w:val="left"/>
      </w:pPr>
    </w:p>
    <w:p>
      <w:pPr>
        <w:spacing w:before="0" w:after="0"/>
        <w:ind w:left="120"/>
        <w:jc w:val="center"/>
      </w:pPr>
      <w:r>
        <w:rPr>
          <w:rFonts w:ascii="Times New Roman" w:hAnsi="Times New Roman"/>
          <w:b/>
          <w:i w:val="false"/>
          <w:color w:val="000000"/>
          <w:sz w:val="20"/>
        </w:rPr>
        <w:t>Securities ExchangeAct</w:t>
      </w:r>
    </w:p>
    <w:p>
      <w:pPr>
        <w:spacing w:before="0" w:after="0"/>
        <w:ind w:left="120"/>
        <w:jc w:val="left"/>
      </w:pPr>
    </w:p>
    <w:p>
      <w:pPr>
        <w:spacing w:before="0" w:after="0"/>
        <w:ind w:left="120"/>
        <w:jc w:val="center"/>
      </w:pPr>
      <w:r>
        <w:rPr>
          <w:rFonts w:ascii="Times New Roman" w:hAnsi="Times New Roman"/>
          <w:b/>
          <w:i w:val="false"/>
          <w:color w:val="000000"/>
          <w:sz w:val="20"/>
        </w:rPr>
        <w:t>of 1934</w:t>
      </w:r>
    </w:p>
    <w:p>
      <w:pPr>
        <w:spacing w:before="0" w:after="0"/>
        <w:ind w:left="120"/>
        <w:jc w:val="left"/>
      </w:pPr>
    </w:p>
    <w:p>
      <w:pPr>
        <w:spacing w:before="0" w:after="0"/>
        <w:ind w:left="120"/>
        <w:jc w:val="center"/>
      </w:pPr>
      <w:r>
        <w:rPr>
          <w:rFonts w:ascii="Times New Roman" w:hAnsi="Times New Roman"/>
          <w:b/>
          <w:i w:val="false"/>
          <w:color w:val="000000"/>
          <w:sz w:val="20"/>
        </w:rPr>
        <w:t>For the monthof April 2026</w:t>
      </w:r>
    </w:p>
    <w:p>
      <w:pPr>
        <w:spacing w:before="0" w:after="0"/>
        <w:ind w:left="120"/>
        <w:jc w:val="left"/>
      </w:pPr>
    </w:p>
    <w:p>
      <w:pPr>
        <w:spacing w:before="0" w:after="0"/>
        <w:ind w:left="120"/>
        <w:jc w:val="center"/>
      </w:pPr>
      <w:r>
        <w:rPr>
          <w:rFonts w:ascii="Times New Roman" w:hAnsi="Times New Roman"/>
          <w:b w:val="false"/>
          <w:i w:val="false"/>
          <w:color w:val="000000"/>
          <w:sz w:val="20"/>
        </w:rPr>
        <w:t>Commission File</w:t>
      </w:r>
    </w:p>
    <w:p>
      <w:pPr>
        <w:spacing w:before="0" w:after="0"/>
        <w:ind w:left="120"/>
        <w:jc w:val="left"/>
      </w:pPr>
    </w:p>
    <w:p>
      <w:pPr>
        <w:spacing w:before="0" w:after="0"/>
        <w:ind w:left="120"/>
        <w:jc w:val="center"/>
      </w:pPr>
      <w:r>
        <w:rPr>
          <w:rFonts w:ascii="Times New Roman" w:hAnsi="Times New Roman"/>
          <w:b w:val="false"/>
          <w:i w:val="false"/>
          <w:color w:val="000000"/>
          <w:sz w:val="20"/>
        </w:rPr>
        <w:t>Number: 001-38283</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InflaRx N.V.</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Winzerlaer Str.2</w:t>
      </w:r>
    </w:p>
    <w:p>
      <w:pPr>
        <w:spacing w:before="0" w:after="0"/>
        <w:ind w:left="120"/>
        <w:jc w:val="left"/>
      </w:pPr>
    </w:p>
    <w:p>
      <w:pPr>
        <w:spacing w:before="0" w:after="0"/>
        <w:ind w:left="120"/>
        <w:jc w:val="center"/>
      </w:pPr>
      <w:r>
        <w:rPr>
          <w:rFonts w:ascii="Times New Roman" w:hAnsi="Times New Roman"/>
          <w:b/>
          <w:i w:val="false"/>
          <w:color w:val="000000"/>
          <w:sz w:val="20"/>
        </w:rPr>
        <w:t>07745 Jena,</w:t>
      </w:r>
    </w:p>
    <w:p>
      <w:pPr>
        <w:spacing w:before="0" w:after="0"/>
        <w:ind w:left="120"/>
        <w:jc w:val="left"/>
      </w:pPr>
    </w:p>
    <w:p>
      <w:pPr>
        <w:spacing w:before="0" w:after="0"/>
        <w:ind w:left="120"/>
        <w:jc w:val="center"/>
      </w:pPr>
      <w:r>
        <w:rPr>
          <w:rFonts w:ascii="Times New Roman" w:hAnsi="Times New Roman"/>
          <w:b/>
          <w:i w:val="false"/>
          <w:color w:val="000000"/>
          <w:sz w:val="20"/>
        </w:rPr>
        <w:t>Germany</w:t>
      </w:r>
    </w:p>
    <w:p>
      <w:pPr>
        <w:spacing w:before="0" w:after="0"/>
        <w:ind w:left="120"/>
        <w:jc w:val="left"/>
      </w:pPr>
    </w:p>
    <w:p>
      <w:pPr>
        <w:spacing w:before="0" w:after="0"/>
        <w:ind w:left="120"/>
        <w:jc w:val="center"/>
      </w:pPr>
      <w:r>
        <w:rPr>
          <w:rFonts w:ascii="Times New Roman" w:hAnsi="Times New Roman"/>
          <w:b/>
          <w:i w:val="false"/>
          <w:color w:val="000000"/>
          <w:sz w:val="20"/>
        </w:rPr>
        <w:t>(+49) 3641508180</w:t>
      </w:r>
    </w:p>
    <w:p>
      <w:pPr>
        <w:spacing w:before="0" w:after="0"/>
        <w:ind w:left="120"/>
        <w:jc w:val="left"/>
      </w:pPr>
    </w:p>
    <w:p>
      <w:pPr>
        <w:spacing w:before="0" w:after="0"/>
        <w:ind w:left="120"/>
        <w:jc w:val="center"/>
      </w:pPr>
      <w:r>
        <w:rPr>
          <w:rFonts w:ascii="Times New Roman" w:hAnsi="Times New Roman"/>
          <w:b w:val="false"/>
          <w:i w:val="false"/>
          <w:color w:val="000000"/>
          <w:sz w:val="20"/>
        </w:rPr>
        <w:t>(Addressof principal executive offices)</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Indicate by check mark whether the registrantfiles or will file annual reports under cover of Form 20-F or Form 40-F.</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Form 20-F </w:t>
      </w:r>
      <w:r>
        <w:rPr>
          <w:rFonts w:ascii="Times New Roman" w:hAnsi="Times New Roman"/>
          <w:b w:val="false"/>
          <w:i w:val="false"/>
          <w:color w:val="000000"/>
          <w:sz w:val="20"/>
        </w:rPr>
        <w:t>☒</w:t>
      </w:r>
      <w:r>
        <w:rPr>
          <w:rFonts w:ascii="Times New Roman" w:hAnsi="Times New Roman"/>
          <w:b w:val="false"/>
          <w:i w:val="false"/>
          <w:color w:val="000000"/>
          <w:sz w:val="20"/>
        </w:rPr>
        <w:t>Form 40-F  </w:t>
      </w:r>
      <w:r>
        <w:rPr>
          <w:rFonts w:ascii="Times New Roman" w:hAnsi="Times New Roman"/>
          <w:b w:val="false"/>
          <w:i w:val="false"/>
          <w:color w:val="000000"/>
          <w:sz w:val="20"/>
        </w:rPr>
        <w:t>☐</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pBdr>
          <w:top w:val="single" w:color="000000" w:sz="11"/>
          <w:bottom w:val="single" w:color="000000" w:sz="21"/>
        </w:pBdr>
        <w:spacing w:before="0" w:after="0"/>
        <w:ind w:left="120"/>
        <w:jc w:val="left"/>
      </w:pPr>
      <w:r>
        <w:rPr>
          <w:rFonts w:ascii="Times New Roman" w:hAnsi="Times New Roman"/>
          <w:b w:val="false"/>
          <w:i w:val="false"/>
          <w:color w:val="000000"/>
          <w:sz w:val="2"/>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INCORPORATIONBY REFERENCE</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On April 9, 2026,InflaRx N.V. (the “Company”) issued a press release titled “InflaRx Reports New Mechanistic Data for Izicopan Supportingits Potential as a Best-in-Class C5aR Inhibitor.”</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The Company todayannounced new in vitro findings conducted through a mechanistically informative Ki-based TDI (Ki/Kinact) study that demonstrates izicopandoes not exhibit time-dependent inhibition of CYP3A4, an important indicator for the risk for drug-drug interactions (DDIs) and livertoxicity. These results further support izicopan’s potential as a differentiated, best-in-class oral C5a receptor inhibitor.</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Using two probe substrates, midazolamand testosterone, no evidence of CYP3A4 time-dependent inhibition was observed, providing mechanistic confirmation of izicopan’sfavorable pharmacological profile. This feature is particularly important, as time-dependent CYP3A4 inhibition can resultin DDIs, hepatotoxicity, or reduced metabolism of concomitant medications such as corticosteroids.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xml:space="preserve">This report onForm 6-K (the “Report”) shall be deemed to be incorporated by reference into (i) the registration statements on Form S-8(File No. </w:t>
      </w:r>
      <w:r>
        <w:rPr>
          <w:rFonts w:ascii="Times New Roman" w:hAnsi="Times New Roman"/>
          <w:b/>
          <w:i w:val="false"/>
          <w:color w:val="000000"/>
          <w:sz w:val="20"/>
        </w:rPr>
        <w:t>333-221656</w:t>
      </w:r>
      <w:r>
        <w:rPr>
          <w:rFonts w:ascii="Times New Roman" w:hAnsi="Times New Roman"/>
          <w:b w:val="false"/>
          <w:i w:val="false"/>
          <w:color w:val="000000"/>
          <w:sz w:val="20"/>
        </w:rPr>
        <w:t xml:space="preserve"> and </w:t>
      </w:r>
      <w:r>
        <w:rPr>
          <w:rFonts w:ascii="Times New Roman" w:hAnsi="Times New Roman"/>
          <w:b/>
          <w:i w:val="false"/>
          <w:color w:val="000000"/>
          <w:sz w:val="20"/>
        </w:rPr>
        <w:t>333-240185</w:t>
      </w:r>
      <w:r>
        <w:rPr>
          <w:rFonts w:ascii="Times New Roman" w:hAnsi="Times New Roman"/>
          <w:b w:val="false"/>
          <w:i w:val="false"/>
          <w:color w:val="000000"/>
          <w:sz w:val="20"/>
        </w:rPr>
        <w:t xml:space="preserve">) and (ii) the registration statement on Form F-3 (File No. </w:t>
      </w:r>
      <w:r>
        <w:rPr>
          <w:rFonts w:ascii="Times New Roman" w:hAnsi="Times New Roman"/>
          <w:b/>
          <w:i w:val="false"/>
          <w:color w:val="000000"/>
          <w:sz w:val="20"/>
        </w:rPr>
        <w:t>333-273058</w:t>
      </w:r>
      <w:r>
        <w:rPr>
          <w:rFonts w:ascii="Times New Roman" w:hAnsi="Times New Roman"/>
          <w:b w:val="false"/>
          <w:i w:val="false"/>
          <w:color w:val="000000"/>
          <w:sz w:val="20"/>
        </w:rPr>
        <w:t>) of the Company and to be apart thereof from the date on which this Report is submitted, to the extent not superseded by documents or reports subsequently filedor furnished.</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 copy of the pressrelease is attached as Exhibit 99.1 to this Report. Exhibit 99.1 shall not be deemed “filed” for purposes of Section 18 ofthe Securities Exchange Act of 1934, as amended (the “Exchange Act”), or otherwise subject to the liabilities of that section,nor shall it be deemed incorporated by reference in any filing under the Securities Act of 1933, as amended, or the Exchange Act.</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i w:val="false"/>
          <w:color w:val="000000"/>
          <w:sz w:val="20"/>
          <w:u w:val="single"/>
        </w:rPr>
        <w:t>FORWARD-LOOKING STATEMENTS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This Report contains forward-lookingstatements. All statements other than statements of historical fact are forward-looking statements, which are often indicated by termssuch as “may,” “will,” “should,” “expect,” “plan,” “anticipate,”“could,” “intend,” “target,” “project,” “estimate,” “believe,”“predict,” “potential” or “continue,” among others. Forward-looking statements appear in a numberof places throughout this Report and may include statements regarding our intentions, beliefs, projections, outlook, analyses, currentexpectations and the risks, uncertainties and other factors described under the headings, “Risk factors” and “Cautionarystatement regarding forward-looking statements,” in our periodic filings with the U.S. Securities and Exchange Commission. Thesestatements speak only as of the date of this Report and involve known and unknown risks, uncertainties and other important factors thatmay cause our actual results, performance or achievements to be materially different from any future results, performance or achievementsexpressed or implied by the forward-looking statements. Given these risks, uncertainties and other factors, you should not place unduereliance on these forward-looking statements, and we assume no obligation to update these forward-looking statements, even if new informationbecomes available in the future, except as required by law.</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1</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center"/>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EXHIBIT INDEX</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1228"/>
        <w:gridCol w:w="136"/>
        <w:gridCol w:w="12270"/>
      </w:tblGrid>
      <w:tr>
        <w:trPr>
          <w:trHeight w:val="465" w:hRule="atLeast"/>
        </w:trPr>
        <w:tc>
          <w:tcPr>
            <w:tcW w:w="1228"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Exhibit No.</w:t>
            </w:r>
          </w:p>
        </w:tc>
        <w:tc>
          <w:tcPr>
            <w:tcW w:w="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270" w:type="dxa"/>
            <w:tcBorders>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Description</w:t>
            </w:r>
          </w:p>
        </w:tc>
      </w:tr>
      <w:tr>
        <w:trPr>
          <w:trHeight w:val="240" w:hRule="atLeast"/>
        </w:trPr>
        <w:tc>
          <w:tcPr>
            <w:tcW w:w="122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99.1</w:t>
            </w:r>
          </w:p>
        </w:tc>
        <w:tc>
          <w:tcPr>
            <w:tcW w:w="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270"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Press Release, dated April 9, 2026</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2</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center"/>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SIGNATURES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Pursuant to the requirements of theSecurities Exchange Act of 1934, the registrant has duly caused this report to be signed on its behalf by the undersigned, thereuntoduly authorized.</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8111"/>
        <w:gridCol w:w="544"/>
        <w:gridCol w:w="779"/>
        <w:gridCol w:w="4200"/>
      </w:tblGrid>
      <w:tr>
        <w:trPr>
          <w:trHeight w:val="225" w:hRule="atLeast"/>
        </w:trPr>
        <w:tc>
          <w:tcPr>
            <w:tcW w:w="81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3"/>
            <w:tcBorders/>
            <w:tcMar>
              <w:top w:w="15" w:type="dxa"/>
              <w:left w:w="15" w:type="dxa"/>
              <w:bottom w:w="15" w:type="dxa"/>
              <w:right w:w="15" w:type="dxa"/>
            </w:tcMar>
            <w:vAlign w:val="top"/>
          </w:tcPr>
          <w:p>
            <w:pPr>
              <w:spacing w:before="0" w:after="0"/>
              <w:ind w:left="0"/>
              <w:jc w:val="both"/>
            </w:pPr>
            <w:r>
              <w:rPr>
                <w:rFonts w:ascii="Times New Roman" w:hAnsi="Times New Roman"/>
                <w:b/>
                <w:i w:val="false"/>
                <w:color w:val="000000"/>
                <w:sz w:val="20"/>
              </w:rPr>
              <w:t>INFLARX N.V.</w:t>
            </w:r>
          </w:p>
        </w:tc>
      </w:tr>
      <w:tr>
        <w:trPr>
          <w:trHeight w:val="210" w:hRule="atLeast"/>
        </w:trPr>
        <w:tc>
          <w:tcPr>
            <w:tcW w:w="8111"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Date: April 9, 2026</w:t>
            </w:r>
          </w:p>
        </w:tc>
        <w:tc>
          <w:tcPr>
            <w:tcW w:w="54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81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54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By:</w:t>
            </w:r>
          </w:p>
        </w:tc>
        <w:tc>
          <w:tcPr>
            <w:tcW w:w="0" w:type="auto"/>
            <w:gridSpan w:val="2"/>
            <w:tcBorders>
              <w:bottom w:val="single" w:color="000000" w:sz="16"/>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/s/ Niels Riedemann</w:t>
            </w:r>
          </w:p>
        </w:tc>
      </w:tr>
      <w:tr>
        <w:trPr>
          <w:trHeight w:val="225" w:hRule="atLeast"/>
        </w:trPr>
        <w:tc>
          <w:tcPr>
            <w:tcW w:w="81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54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Name: </w:t>
            </w:r>
          </w:p>
        </w:tc>
        <w:tc>
          <w:tcPr>
            <w:tcW w:w="4200"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Niels Riedemann</w:t>
            </w:r>
          </w:p>
        </w:tc>
      </w:tr>
      <w:tr>
        <w:trPr>
          <w:trHeight w:val="210" w:hRule="atLeast"/>
        </w:trPr>
        <w:tc>
          <w:tcPr>
            <w:tcW w:w="81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54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 xml:space="preserve">Title: </w:t>
            </w:r>
          </w:p>
        </w:tc>
        <w:tc>
          <w:tcPr>
            <w:tcW w:w="4200"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Chief Executive Officer</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center"/>
      </w:pPr>
      <w:r>
        <w:rPr>
          <w:rFonts w:ascii="Times New Roman" w:hAnsi="Times New Roman"/>
          <w:b w:val="false"/>
          <w:i w:val="false"/>
          <w:color w:val="000000"/>
          <w:sz w:val="20"/>
        </w:rPr>
        <w:t>3</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EX-99.1 </w:t>
      </w:r>
      <w:r>
        <w:rPr>
          <w:rFonts w:ascii="Times New Roman" w:hAnsi="Times New Roman"/>
          <w:b w:val="false"/>
          <w:i w:val="false"/>
          <w:color w:val="000000"/>
          <w:sz w:val="22"/>
        </w:rPr>
        <w:t xml:space="preserve">2 </w:t>
      </w:r>
      <w:r>
        <w:rPr>
          <w:rFonts w:ascii="Times New Roman" w:hAnsi="Times New Roman"/>
          <w:b w:val="false"/>
          <w:i w:val="false"/>
          <w:color w:val="000000"/>
          <w:sz w:val="22"/>
        </w:rPr>
        <w:t xml:space="preserve">ea028551501ex99-1.htm </w:t>
      </w:r>
      <w:r>
        <w:rPr>
          <w:rFonts w:ascii="Times New Roman" w:hAnsi="Times New Roman"/>
          <w:b w:val="false"/>
          <w:i w:val="false"/>
          <w:color w:val="000000"/>
          <w:sz w:val="22"/>
        </w:rPr>
        <w:t xml:space="preserve">PRESS RELEASE, DATED APRIL 9, 2026 </w:t>
      </w:r>
    </w:p>
    <w:p>
      <w:pPr>
        <w:spacing w:before="0" w:after="0"/>
        <w:ind w:left="480"/>
        <w:jc w:val="right"/>
      </w:pPr>
      <w:r>
        <w:rPr>
          <w:rFonts w:ascii="Times New Roman" w:hAnsi="Times New Roman"/>
          <w:b/>
          <w:i w:val="false"/>
          <w:color w:val="000000"/>
          <w:sz w:val="20"/>
        </w:rPr>
        <w:t>Exhibit 99.1</w:t>
      </w:r>
    </w:p>
    <w:p>
      <w:pPr>
        <w:spacing w:before="0" w:after="0"/>
        <w:ind w:left="120"/>
        <w:jc w:val="left"/>
      </w:pPr>
    </w:p>
    <w:p>
      <w:pPr>
        <w:spacing w:before="0" w:after="0"/>
        <w:ind w:left="480"/>
        <w:jc w:val="center"/>
      </w:pPr>
      <w:r>
        <w:rPr>
          <w:rFonts w:ascii="Times New Roman" w:hAnsi="Times New Roman"/>
          <w:b w:val="false"/>
          <w:i w:val="false"/>
          <w:color w:val="000000"/>
          <w:sz w:val="20"/>
        </w:rPr>
        <w:t> </w:t>
      </w:r>
    </w:p>
    <w:p>
      <w:pPr>
        <w:spacing w:before="0" w:after="0"/>
        <w:ind w:left="120"/>
        <w:jc w:val="left"/>
      </w:pPr>
    </w:p>
    <w:p>
      <w:pPr>
        <w:spacing w:before="0" w:after="0"/>
        <w:ind w:left="120"/>
        <w:jc w:val="left"/>
      </w:pP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480"/>
        <w:jc w:val="center"/>
      </w:pPr>
      <w:r>
        <w:rPr>
          <w:rFonts w:ascii="Times New Roman" w:hAnsi="Times New Roman"/>
          <w:b w:val="false"/>
          <w:i w:val="false"/>
          <w:color w:val="000000"/>
          <w:sz w:val="20"/>
        </w:rPr>
        <w:t> </w:t>
      </w:r>
    </w:p>
    <w:p>
      <w:pPr>
        <w:spacing w:before="0" w:after="0"/>
        <w:ind w:left="120"/>
        <w:jc w:val="left"/>
      </w:pPr>
    </w:p>
    <w:p>
      <w:pPr>
        <w:spacing w:before="0" w:after="0"/>
        <w:ind w:left="480"/>
        <w:jc w:val="center"/>
      </w:pPr>
      <w:r>
        <w:rPr>
          <w:rFonts w:ascii="Times New Roman" w:hAnsi="Times New Roman"/>
          <w:b w:val="false"/>
          <w:i w:val="false"/>
          <w:color w:val="000000"/>
          <w:sz w:val="20"/>
        </w:rPr>
        <w:t>InflaRx Reports New Mechanistic Datafor Izicopan Supporting its Potential as a Best-in-Class C5aR Inhibitor</w:t>
      </w:r>
    </w:p>
    <w:p>
      <w:pPr>
        <w:spacing w:before="0" w:after="0"/>
        <w:ind w:left="120"/>
        <w:jc w:val="left"/>
      </w:pPr>
    </w:p>
    <w:p>
      <w:pPr>
        <w:spacing w:before="0" w:after="0"/>
        <w:ind w:left="48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 xml:space="preserve">Jena, Germany, April 9, 2026 </w:t>
      </w:r>
      <w:r>
        <w:rPr>
          <w:rFonts w:ascii="Times New Roman" w:hAnsi="Times New Roman"/>
          <w:b w:val="false"/>
          <w:i w:val="false"/>
          <w:color w:val="000000"/>
          <w:sz w:val="20"/>
        </w:rPr>
        <w:t>– InflaRxN.V. (Nasdaq: IFRX), a biopharmaceutical company pioneering anti-inflammatory therapeutics by targeting the complement system, today announcednew in vitro findings demonstrating that izicopan does not exhibit time-dependent inhibition of CYP3A4, an important indicator for therisk for drug-drug interactions (DDIs) and liver toxicity. These results further support izicopan’s potential as a differentiated,best-in-class oral C5a receptor (C5aR) inhibitor.</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To build upon previous CYP interaction data forizicopan, which showed only marginal inhibition of CYP3A4 (IC₅₀ = 62 µM) in a time-dependent inhibition (TDI) IC₅₀shift assay, InflaRx conducted a mechanistically informative Ki-based TDI (Ki/Kinact) study. While TDI shift assays serve as rapid screeningtools to identify potential time-dependent inhibition, Ki/Kinact studies provide a more definitive and quantitative assessment, enablinga reliable determination of the presence or absence of time-dependent inhibition.</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The Ki-based TDI study confirms that izicopandoes not inhibit CYP3A4 (IC₅₀ &gt; 100 µM) and exhibits no time-dependent inhibition up to the highest tested concentration(100 µM), supporting a low risk of clinically relevant DDIs. Using two probe substrates, midazolam (MDZ) and testosterone (TES),no evidence of CYP3A4 time-dependent inhibition was observed, providing mechanistic confirmation of izicopan’s favorable pharmacologicalprofile. This feature is particularly important, as time-dependent CYP3A4 inhibition can result in DDIs, hepatotoxicity, or reduced metabolismof concomitant medications such as corticosteroids.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Prof. Renfeng Guo, Chief Scientific Officerand Founder of InflaRx,</w:t>
      </w:r>
      <w:r>
        <w:rPr>
          <w:rFonts w:ascii="Times New Roman" w:hAnsi="Times New Roman"/>
          <w:b w:val="false"/>
          <w:i w:val="false"/>
          <w:color w:val="000000"/>
          <w:sz w:val="20"/>
        </w:rPr>
        <w:t xml:space="preserve"> commented: “These new mechanistic data highlight izicopan’s differentiated pharmacological profile,demonstrating no CYP3A4 time-dependent inhibition even at high concentrations. Combined with its favorable metabolic stability and humanPK/PD profile, izicopan has the potential to minimize drug–drug interaction and liver toxicity risks, offering significant benefitsfor patients across multiple inflammatory diseases.”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izicopan</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Izicopan is an orally administered, small moleculeinhibitor of the C5a receptor C5aR1 that has shown anti-inflammatory therapeutic effects in several pre-clinical disease models and inhuman studies. Further, in contrast to the marketed C5aR inhibitor, in vitro experiments demonstrated that izicopan does not inhibit thecytochrome P450 3A4 (CYP3A4) enzyme, which plays an important role in the metabolism of a variety of metabolites and drugs, includingglucocorticoids. Reported results from a first-in-human study demonstrated that izicopan was well tolerated in treated subjects and exhibitedno safety signals of concern in single doses ranging from 3 mg to 240 mg or multiple doses ranging from 30 mg once per day to 90 mg twiceper day for 14 days. Pharmacokinetic / pharmacodynamic data support the best-in-class potential of izicopan, with a ≥90% blockade ofC5a-induced neutrophil activation achieved over the 14-day dosing period. Topline Phase 2a data further support the safety profile ofizicopan, with no reported safety signals of concern. In patients with hidradenitis suppurativa, over 4 weeks of therapy, izicopan providedrapid and clinically meaningful reductions in abscesses and nodules (ANs) and draining tunnels (dTs), robust HiSCR responses that continuedto deepen four weeks after the treatment period, and substantial reductions in patient-reported pain scores, overall demonstrating thepotential for biologic-like efficacy. In chronic spontaneous urticaria, InflaRx observed substantial reductions in the 7-day UrticariaActivity Score (UAS7) broadly across patients and particularly in those with severe disease, as well as improved disease control as measuredby the Urticaria Control Test (UCT7).</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InflaRx N.V.</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InflaRx (Nasdaq: IFRX) is a biopharmaceuticalcompany pioneering anti-inflammatory therapeutics by applying its proprietary anti-C5a and anti-C5aR technologies to discover, developand commercialize highly potent and specific inhibitors of the complement activation factor C5a and its receptor, C5aR. C5a is a powerfulinflammatory mediator involved in the progression of a wide variety of inflammatory diseases. InflaRx’s lead program is izicopan,an orally administered small molecule inhibitor of C5a-induced signaling via the C5a receptor, which has shown promising PK/PD characteristicsas well as therapeutic potential in Phase 1 and Phase 2a clinical studies. The Company is developing izicopan for the treatment of severalinflammatory diseases, including hidradenitis suppurativa. InflaRx also has developed vilobelimab, a novel, intravenously delivered, first-in-class,anti-C5a monoclonal antibody that selectively binds to free C5a and has demonstrated disease-modifying clinical activity and tolerabilityin multiple clinical studies.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InflaRx was founded in 2007, and the group hasoffices and subsidiaries in Jena and Munich, Germany, as well as Ann Arbor, MI, USA. For further information, please visit www.inflarx.de.InflaRx GmbH (Germany) and InflaRx Pharmaceuticals Inc. (USA) are wholly owned subsidiaries of InflaRx N.V. (together, InflaRx).</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Contacts: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0"/>
              <w:jc w:val="both"/>
            </w:pPr>
            <w:r>
              <w:rPr>
                <w:rFonts w:ascii="Times New Roman" w:hAnsi="Times New Roman"/>
                <w:b/>
                <w:i w:val="false"/>
                <w:color w:val="000000"/>
                <w:sz w:val="20"/>
              </w:rPr>
              <w:t>InflaRx N.V.</w:t>
            </w:r>
          </w:p>
        </w:tc>
        <w:tc>
          <w:tcPr>
            <w:tcW w:w="6817" w:type="dxa"/>
            <w:tcBorders/>
            <w:tcMar>
              <w:top w:w="15" w:type="dxa"/>
              <w:left w:w="15" w:type="dxa"/>
              <w:bottom w:w="15" w:type="dxa"/>
              <w:right w:w="15" w:type="dxa"/>
            </w:tcMar>
            <w:vAlign w:val="top"/>
          </w:tcPr>
          <w:p>
            <w:pPr>
              <w:spacing w:before="0" w:after="0"/>
              <w:ind w:left="0"/>
              <w:jc w:val="both"/>
            </w:pPr>
            <w:r>
              <w:rPr>
                <w:rFonts w:ascii="Times New Roman" w:hAnsi="Times New Roman"/>
                <w:b/>
                <w:i w:val="false"/>
                <w:color w:val="000000"/>
                <w:sz w:val="20"/>
              </w:rPr>
              <w:t>MC Services AG</w:t>
            </w:r>
          </w:p>
        </w:tc>
      </w:tr>
      <w:tr>
        <w:trPr>
          <w:trHeight w:val="88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Jan Medina, CFA</w:t>
            </w:r>
          </w:p>
          <w:p>
            <w:pPr>
              <w:spacing w:before="0" w:after="0"/>
              <w:ind w:left="120"/>
              <w:jc w:val="both"/>
            </w:pPr>
            <w:r>
              <w:rPr>
                <w:rFonts w:ascii="Times New Roman" w:hAnsi="Times New Roman"/>
                <w:b w:val="false"/>
                <w:i w:val="false"/>
                <w:color w:val="000000"/>
                <w:sz w:val="20"/>
              </w:rPr>
              <w:t>Vice President, Head of Investor Relations</w:t>
            </w:r>
          </w:p>
          <w:p>
            <w:pPr>
              <w:spacing w:before="0" w:after="0"/>
              <w:ind w:left="120"/>
              <w:jc w:val="both"/>
            </w:pPr>
            <w:r>
              <w:rPr>
                <w:rFonts w:ascii="Times New Roman" w:hAnsi="Times New Roman"/>
                <w:b w:val="false"/>
                <w:i w:val="false"/>
                <w:color w:val="000000"/>
                <w:sz w:val="20"/>
              </w:rPr>
              <w:t>Email: IR@inflarx.de</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Katja Arnold, Laurie Doyle, Dr. Regina Lutz</w:t>
            </w:r>
          </w:p>
          <w:p>
            <w:pPr>
              <w:spacing w:before="0" w:after="0"/>
              <w:ind w:left="120"/>
              <w:jc w:val="both"/>
            </w:pPr>
            <w:r>
              <w:rPr>
                <w:rFonts w:ascii="Times New Roman" w:hAnsi="Times New Roman"/>
                <w:b w:val="false"/>
                <w:i w:val="false"/>
                <w:color w:val="000000"/>
                <w:sz w:val="20"/>
              </w:rPr>
              <w:t>Email: inflarx@mc-services.eu</w:t>
            </w:r>
          </w:p>
          <w:p>
            <w:pPr>
              <w:spacing w:before="0" w:after="0"/>
              <w:ind w:left="120"/>
              <w:jc w:val="both"/>
            </w:pPr>
            <w:r>
              <w:rPr>
                <w:rFonts w:ascii="Times New Roman" w:hAnsi="Times New Roman"/>
                <w:b w:val="false"/>
                <w:i w:val="false"/>
                <w:color w:val="000000"/>
                <w:sz w:val="20"/>
              </w:rPr>
              <w:t>Europe: +49 89-210 2280</w:t>
            </w:r>
          </w:p>
          <w:p>
            <w:pPr>
              <w:spacing w:before="0" w:after="0"/>
              <w:ind w:left="120"/>
              <w:jc w:val="both"/>
            </w:pPr>
            <w:r>
              <w:rPr>
                <w:rFonts w:ascii="Times New Roman" w:hAnsi="Times New Roman"/>
                <w:b w:val="false"/>
                <w:i w:val="false"/>
                <w:color w:val="000000"/>
                <w:sz w:val="20"/>
              </w:rPr>
              <w:t>U.S.: +1-339-832-0752</w:t>
            </w:r>
          </w:p>
        </w:tc>
      </w:tr>
    </w:tbl>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FORWARD-LOOKING STATEMENTS</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This press release contains forward-looking statements.All statements other than statements of historical fact are forward-looking statements, which are often indicated by terms such as “may,”“will,” “should,” “expect,” “plan,” “anticipate,” “could,” “intend,”“target,” “project,” “estimate,” “believe,” “predict,” “potential”or “continue,” among others. Forward-looking statements appear in a number of places throughout this release and may includestatements regarding our intentions, beliefs, projections, outlook, analyses and current expectations concerning, among other things,the success of our future clinical trials for vilobelimab’s treatment of other debilitating or life-threatening inflammatory indications,including acute respiratory distress syndrome, or ARDS; potential strategic transactions or collaborations, including a potential partnershipof izicopan, or vilobelimab for PG; the success of our future clinical trials for izicopan, and whether such clinical results will reflectresults seen in previously conducted pre-clinical studies and clinical trials; the timing, progress and results of pre-clinical studiesand clinical trials of vilobelimab, izicopan and any other of our product candidates and statements regarding the timing of initiationand completion of studies or trials and related preparatory work, the period during which the results of the trials will become available,the costs of such trials and our research and development programs generally; our interactions with regulators regarding the results ofclinical trials and potential regulatory approval pathways, including related to our biologics license application submission for GOHIBIC(vilobelimab), and our ability to obtain and maintain full regulatory approval of vilobelimab or GOHIBIC (vilobelimab) for any indication;whether the FDA, or any comparable foreign regulatory authority will accept or agree with the number, design, size, conduct or implementationof our clinical trials, including any proposed primary or secondary endpoints for such trials; our ability to leverage our proprietaryanti-C5a and anti-C5aR technologies to discover and develop therapies to treat complement-mediated immunological and inflammatory diseases;our ability to protect, maintain and enforce our intellectual property protection for vilobelimab, izicopan and any other product candidates,and the scope of such protection; our manufacturing capabilities and strategy, including the scalability and cost of our manufacturingmethods and processes and the optimization of our manufacturing methods and processes, and our ability to continue to rely on our existingthird-party manufacturers and our ability to engage additional third-party manufacturers for our planned future clinical trials and forcommercial supply of vilobelimab and for the finished product GOHIBIC (vilobelimab); our estimates of our expenses, ongoing losses, futurerevenue, capital requirements and our needs for or ability to obtain additional financing; our ability to defend against liability claimsresulting from the testing of our product candidates in the clinic or, if approved, any commercial sales; if any of our product candidatesobtain regulatory approval, our ability to comply with and satisfy ongoing obligations and continued regulatory overview; our abilityto comply with enacted and future legislation in seeking marketing approval or commercialization; our future growth and ability to compete,which depends on our retaining key personnel and recruiting additional qualified personnel; and our competitive position and the developmentof and projections relating to our competitors in the development of C5a and C5aR inhibitors or our industry; and the risks, uncertaintiesand other factors described under the heading “Risk Factors” in our periodic filings with the SEC. These statements speakonly as of the date of this press release and involve known and unknown risks, uncertainties and other important factors that may causeour actual results, performance or achievements to be materially different from any future results, performance or achievements expressedor implied by the forward-looking statements. Given these risks, uncertainties and other factors, you should not place undue relianceon these forward-looking statements, and we assume no obligation to update these forward-looking statements, even if new information becomesavailable in the future, except as required by law.</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