
<file path=[Content_Types].xml><?xml version="1.0" encoding="utf-8"?>
<Types xmlns="http://schemas.openxmlformats.org/package/2006/content-types">
  <Default Extension="jpeg" ContentType="image/jpeg"/>
  <Default Extension="rels" ContentType="application/vnd.openxmlformats-package.relationships+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settings+xml" PartName="/word/settings.xml"/>
  <Override ContentType="application/vnd.openxmlformats-officedocument.wordprocessingml.styles+xml" PartName="/word/styles.xml"/>
</Types>
</file>

<file path=_rels/.rels><?xml version="1.0" encoding="UTF-8" standalone="yes"?>
<Relationships xmlns="http://schemas.openxmlformats.org/package/2006/relationships">
    <Relationship Target="word/document.xml" Type="http://schemas.openxmlformats.org/officeDocument/2006/relationships/officeDocument" Id="rId1"/>
    <Relationship Target="docProps/core.xml" Type="http://schemas.openxmlformats.org/package/2006/relationships/metadata/core-properties" Id="rId2"/>
    <Relationship Target="docProps/app.xml" Type="http://schemas.openxmlformats.org/officeDocument/2006/relationships/extended-properties" Id="rId3"/>
</Relationships>

</file>

<file path=word/document.xml><?xml version="1.0" encoding="utf-8"?>
<w:document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body>
    <!-- Created by docx4j 8.2.9 (Apache licensed) using REFERENCE JAXB in Red Hat, Inc. Java 17.0.8 on Linux -->
    <w:p>
      <w:pPr>
        <w:spacing w:before="0" w:after="0"/>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 xml:space="preserve">6-K </w:t>
      </w:r>
      <w:r>
        <w:rPr>
          <w:rFonts w:ascii="Times New Roman" w:hAnsi="Times New Roman"/>
          <w:b w:val="false"/>
          <w:i w:val="false"/>
          <w:color w:val="000000"/>
          <w:sz w:val="22"/>
        </w:rPr>
        <w:t xml:space="preserve">1 </w:t>
      </w:r>
      <w:r>
        <w:rPr>
          <w:rFonts w:ascii="Times New Roman" w:hAnsi="Times New Roman"/>
          <w:b w:val="false"/>
          <w:i w:val="false"/>
          <w:color w:val="000000"/>
          <w:sz w:val="22"/>
        </w:rPr>
        <w:t xml:space="preserve">ea0281821-6k_inflarx.htm </w:t>
      </w:r>
      <w:r>
        <w:rPr>
          <w:rFonts w:ascii="Times New Roman" w:hAnsi="Times New Roman"/>
          <w:b w:val="false"/>
          <w:i w:val="false"/>
          <w:color w:val="000000"/>
          <w:sz w:val="22"/>
        </w:rPr>
        <w:t xml:space="preserve">REPORT OF FOREIGN PRIVATE ISSUER </w:t>
      </w:r>
    </w:p>
    <w:p>
      <w:pPr>
        <w:spacing w:before="0" w:after="0"/>
        <w:ind w:left="120"/>
        <w:jc w:val="left"/>
      </w:pPr>
    </w:p>
    <w:p>
      <w:pPr>
        <w:spacing w:before="0" w:after="0"/>
        <w:ind w:left="120"/>
        <w:jc w:val="left"/>
      </w:pPr>
    </w:p>
    <w:p>
      <w:pPr>
        <w:pBdr>
          <w:top w:val="single" w:color="000000" w:sz="21"/>
          <w:bottom w:val="single" w:color="000000" w:sz="11"/>
        </w:pBdr>
        <w:spacing w:before="0" w:after="0"/>
        <w:ind w:left="120"/>
        <w:jc w:val="left"/>
      </w:pPr>
      <w:r>
        <w:rPr>
          <w:rFonts w:ascii="Times New Roman" w:hAnsi="Times New Roman"/>
          <w:b w:val="false"/>
          <w:i w:val="false"/>
          <w:color w:val="000000"/>
          <w:sz w:val="2"/>
        </w:rPr>
        <w:t xml:space="preserve">   </w:t>
      </w: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center"/>
      </w:pPr>
      <w:r>
        <w:rPr>
          <w:rFonts w:ascii="Times New Roman" w:hAnsi="Times New Roman"/>
          <w:b/>
          <w:i w:val="false"/>
          <w:color w:val="000000"/>
          <w:sz w:val="20"/>
        </w:rPr>
        <w:t>UNITED STATES</w:t>
      </w:r>
    </w:p>
    <w:p>
      <w:pPr>
        <w:spacing w:before="0" w:after="0"/>
        <w:ind w:left="120"/>
        <w:jc w:val="left"/>
      </w:pPr>
    </w:p>
    <w:p>
      <w:pPr>
        <w:spacing w:before="0" w:after="0"/>
        <w:ind w:left="120"/>
        <w:jc w:val="center"/>
      </w:pPr>
      <w:r>
        <w:rPr>
          <w:rFonts w:ascii="Times New Roman" w:hAnsi="Times New Roman"/>
          <w:b/>
          <w:i w:val="false"/>
          <w:color w:val="000000"/>
          <w:sz w:val="20"/>
        </w:rPr>
        <w:t>SECURITIES AND EXCHANGE COMMISSION</w:t>
      </w:r>
    </w:p>
    <w:p>
      <w:pPr>
        <w:spacing w:before="0" w:after="0"/>
        <w:ind w:left="120"/>
        <w:jc w:val="left"/>
      </w:pPr>
    </w:p>
    <w:p>
      <w:pPr>
        <w:spacing w:before="0" w:after="0"/>
        <w:ind w:left="120"/>
        <w:jc w:val="center"/>
      </w:pPr>
      <w:r>
        <w:rPr>
          <w:rFonts w:ascii="Times New Roman" w:hAnsi="Times New Roman"/>
          <w:b w:val="false"/>
          <w:i w:val="false"/>
          <w:color w:val="000000"/>
          <w:sz w:val="20"/>
        </w:rPr>
        <w:t>Washington, D.C. 20549</w:t>
      </w:r>
    </w:p>
    <w:p>
      <w:pPr>
        <w:spacing w:before="0" w:after="0"/>
        <w:ind w:left="120"/>
        <w:jc w:val="left"/>
      </w:pPr>
    </w:p>
    <w:p>
      <w:pPr>
        <w:spacing w:before="0" w:after="0"/>
        <w:ind w:left="120"/>
        <w:jc w:val="center"/>
      </w:pPr>
      <w:r>
        <w:rPr>
          <w:rFonts w:ascii="Times New Roman" w:hAnsi="Times New Roman"/>
          <w:b w:val="false"/>
          <w:i w:val="false"/>
          <w:color w:val="000000"/>
          <w:sz w:val="20"/>
        </w:rPr>
        <w:t> </w:t>
      </w:r>
    </w:p>
    <w:p>
      <w:pPr>
        <w:spacing w:before="0" w:after="0"/>
        <w:ind w:left="120"/>
        <w:jc w:val="left"/>
      </w:pPr>
    </w:p>
    <w:p>
      <w:pPr>
        <w:spacing w:before="0" w:after="0"/>
        <w:ind w:left="120"/>
        <w:jc w:val="center"/>
      </w:pPr>
      <w:r>
        <w:rPr>
          <w:rFonts w:ascii="Times New Roman" w:hAnsi="Times New Roman"/>
          <w:b/>
          <w:i w:val="false"/>
          <w:color w:val="000000"/>
          <w:sz w:val="20"/>
        </w:rPr>
        <w:t>FORM 6-K</w:t>
      </w:r>
    </w:p>
    <w:p>
      <w:pPr>
        <w:spacing w:before="0" w:after="0"/>
        <w:ind w:left="120"/>
        <w:jc w:val="left"/>
      </w:pPr>
    </w:p>
    <w:p>
      <w:pPr>
        <w:spacing w:before="0" w:after="0"/>
        <w:ind w:left="120"/>
        <w:jc w:val="center"/>
      </w:pPr>
      <w:r>
        <w:rPr>
          <w:rFonts w:ascii="Times New Roman" w:hAnsi="Times New Roman"/>
          <w:b w:val="false"/>
          <w:i w:val="false"/>
          <w:color w:val="000000"/>
          <w:sz w:val="20"/>
        </w:rPr>
        <w:t> </w:t>
      </w:r>
    </w:p>
    <w:p>
      <w:pPr>
        <w:spacing w:before="0" w:after="0"/>
        <w:ind w:left="120"/>
        <w:jc w:val="left"/>
      </w:pPr>
    </w:p>
    <w:p>
      <w:pPr>
        <w:spacing w:before="0" w:after="0"/>
        <w:ind w:left="120"/>
        <w:jc w:val="center"/>
      </w:pPr>
      <w:r>
        <w:rPr>
          <w:rFonts w:ascii="Times New Roman" w:hAnsi="Times New Roman"/>
          <w:b/>
          <w:i w:val="false"/>
          <w:color w:val="000000"/>
          <w:sz w:val="20"/>
        </w:rPr>
        <w:t>Report of Foreign Private</w:t>
      </w:r>
    </w:p>
    <w:p>
      <w:pPr>
        <w:spacing w:before="0" w:after="0"/>
        <w:ind w:left="120"/>
        <w:jc w:val="left"/>
      </w:pPr>
    </w:p>
    <w:p>
      <w:pPr>
        <w:spacing w:before="0" w:after="0"/>
        <w:ind w:left="120"/>
        <w:jc w:val="center"/>
      </w:pPr>
      <w:r>
        <w:rPr>
          <w:rFonts w:ascii="Times New Roman" w:hAnsi="Times New Roman"/>
          <w:b/>
          <w:i w:val="false"/>
          <w:color w:val="000000"/>
          <w:sz w:val="20"/>
        </w:rPr>
        <w:t>Issuer Pursuant to Rule</w:t>
      </w:r>
    </w:p>
    <w:p>
      <w:pPr>
        <w:spacing w:before="0" w:after="0"/>
        <w:ind w:left="120"/>
        <w:jc w:val="left"/>
      </w:pPr>
    </w:p>
    <w:p>
      <w:pPr>
        <w:spacing w:before="0" w:after="0"/>
        <w:ind w:left="120"/>
        <w:jc w:val="center"/>
      </w:pPr>
      <w:r>
        <w:rPr>
          <w:rFonts w:ascii="Times New Roman" w:hAnsi="Times New Roman"/>
          <w:b/>
          <w:i w:val="false"/>
          <w:color w:val="000000"/>
          <w:sz w:val="20"/>
        </w:rPr>
        <w:t>13a-16 or 15d-16 under the</w:t>
      </w:r>
    </w:p>
    <w:p>
      <w:pPr>
        <w:spacing w:before="0" w:after="0"/>
        <w:ind w:left="120"/>
        <w:jc w:val="left"/>
      </w:pPr>
    </w:p>
    <w:p>
      <w:pPr>
        <w:spacing w:before="0" w:after="0"/>
        <w:ind w:left="120"/>
        <w:jc w:val="center"/>
      </w:pPr>
      <w:r>
        <w:rPr>
          <w:rFonts w:ascii="Times New Roman" w:hAnsi="Times New Roman"/>
          <w:b/>
          <w:i w:val="false"/>
          <w:color w:val="000000"/>
          <w:sz w:val="20"/>
        </w:rPr>
        <w:t>Securities Exchange Act</w:t>
      </w:r>
    </w:p>
    <w:p>
      <w:pPr>
        <w:spacing w:before="0" w:after="0"/>
        <w:ind w:left="120"/>
        <w:jc w:val="left"/>
      </w:pPr>
    </w:p>
    <w:p>
      <w:pPr>
        <w:spacing w:before="0" w:after="0"/>
        <w:ind w:left="120"/>
        <w:jc w:val="center"/>
      </w:pPr>
      <w:r>
        <w:rPr>
          <w:rFonts w:ascii="Times New Roman" w:hAnsi="Times New Roman"/>
          <w:b/>
          <w:i w:val="false"/>
          <w:color w:val="000000"/>
          <w:sz w:val="20"/>
        </w:rPr>
        <w:t>of 1934</w:t>
      </w:r>
    </w:p>
    <w:p>
      <w:pPr>
        <w:spacing w:before="0" w:after="0"/>
        <w:ind w:left="120"/>
        <w:jc w:val="left"/>
      </w:pPr>
    </w:p>
    <w:p>
      <w:pPr>
        <w:spacing w:before="0" w:after="0"/>
        <w:ind w:left="120"/>
        <w:jc w:val="center"/>
      </w:pPr>
      <w:r>
        <w:rPr>
          <w:rFonts w:ascii="Times New Roman" w:hAnsi="Times New Roman"/>
          <w:b/>
          <w:i w:val="false"/>
          <w:color w:val="000000"/>
          <w:sz w:val="20"/>
        </w:rPr>
        <w:t>For the month of March 2026</w:t>
      </w:r>
    </w:p>
    <w:p>
      <w:pPr>
        <w:spacing w:before="0" w:after="0"/>
        <w:ind w:left="120"/>
        <w:jc w:val="left"/>
      </w:pPr>
    </w:p>
    <w:p>
      <w:pPr>
        <w:spacing w:before="0" w:after="0"/>
        <w:ind w:left="120"/>
        <w:jc w:val="center"/>
      </w:pPr>
      <w:r>
        <w:rPr>
          <w:rFonts w:ascii="Times New Roman" w:hAnsi="Times New Roman"/>
          <w:b w:val="false"/>
          <w:i w:val="false"/>
          <w:color w:val="000000"/>
          <w:sz w:val="20"/>
        </w:rPr>
        <w:t>Commission File</w:t>
      </w:r>
    </w:p>
    <w:p>
      <w:pPr>
        <w:spacing w:before="0" w:after="0"/>
        <w:ind w:left="120"/>
        <w:jc w:val="left"/>
      </w:pPr>
    </w:p>
    <w:p>
      <w:pPr>
        <w:spacing w:before="0" w:after="0"/>
        <w:ind w:left="120"/>
        <w:jc w:val="center"/>
      </w:pPr>
      <w:r>
        <w:rPr>
          <w:rFonts w:ascii="Times New Roman" w:hAnsi="Times New Roman"/>
          <w:b w:val="false"/>
          <w:i w:val="false"/>
          <w:color w:val="000000"/>
          <w:sz w:val="20"/>
        </w:rPr>
        <w:t>Number: 001-38283</w:t>
      </w:r>
    </w:p>
    <w:p>
      <w:pPr>
        <w:spacing w:before="0" w:after="0"/>
        <w:ind w:left="120"/>
        <w:jc w:val="left"/>
      </w:pPr>
    </w:p>
    <w:p>
      <w:pPr>
        <w:spacing w:before="0" w:after="0"/>
        <w:ind w:left="120"/>
        <w:jc w:val="center"/>
      </w:pPr>
      <w:r>
        <w:rPr>
          <w:rFonts w:ascii="Times New Roman" w:hAnsi="Times New Roman"/>
          <w:b w:val="false"/>
          <w:i w:val="false"/>
          <w:color w:val="000000"/>
          <w:sz w:val="20"/>
        </w:rPr>
        <w:t> </w:t>
      </w:r>
    </w:p>
    <w:p>
      <w:pPr>
        <w:spacing w:before="0" w:after="0"/>
        <w:ind w:left="120"/>
        <w:jc w:val="left"/>
      </w:pPr>
    </w:p>
    <w:p>
      <w:pPr>
        <w:spacing w:before="0" w:after="0"/>
        <w:ind w:left="120"/>
        <w:jc w:val="center"/>
      </w:pPr>
      <w:r>
        <w:rPr>
          <w:rFonts w:ascii="Times New Roman" w:hAnsi="Times New Roman"/>
          <w:b/>
          <w:i w:val="false"/>
          <w:color w:val="000000"/>
          <w:sz w:val="20"/>
        </w:rPr>
        <w:t>InflaRx N.V.</w:t>
      </w:r>
    </w:p>
    <w:p>
      <w:pPr>
        <w:spacing w:before="0" w:after="0"/>
        <w:ind w:left="120"/>
        <w:jc w:val="left"/>
      </w:pPr>
    </w:p>
    <w:p>
      <w:pPr>
        <w:spacing w:before="0" w:after="0"/>
        <w:ind w:left="120"/>
        <w:jc w:val="center"/>
      </w:pPr>
      <w:r>
        <w:rPr>
          <w:rFonts w:ascii="Times New Roman" w:hAnsi="Times New Roman"/>
          <w:b w:val="false"/>
          <w:i w:val="false"/>
          <w:color w:val="000000"/>
          <w:sz w:val="20"/>
        </w:rPr>
        <w:t> </w:t>
      </w:r>
    </w:p>
    <w:p>
      <w:pPr>
        <w:spacing w:before="0" w:after="0"/>
        <w:ind w:left="120"/>
        <w:jc w:val="left"/>
      </w:pPr>
    </w:p>
    <w:p>
      <w:pPr>
        <w:spacing w:before="0" w:after="0"/>
        <w:ind w:left="120"/>
        <w:jc w:val="center"/>
      </w:pPr>
      <w:r>
        <w:rPr>
          <w:rFonts w:ascii="Times New Roman" w:hAnsi="Times New Roman"/>
          <w:b/>
          <w:i w:val="false"/>
          <w:color w:val="000000"/>
          <w:sz w:val="20"/>
        </w:rPr>
        <w:t>Winzerlaer Str. 2</w:t>
      </w:r>
    </w:p>
    <w:p>
      <w:pPr>
        <w:spacing w:before="0" w:after="0"/>
        <w:ind w:left="120"/>
        <w:jc w:val="left"/>
      </w:pPr>
    </w:p>
    <w:p>
      <w:pPr>
        <w:spacing w:before="0" w:after="0"/>
        <w:ind w:left="120"/>
        <w:jc w:val="center"/>
      </w:pPr>
      <w:r>
        <w:rPr>
          <w:rFonts w:ascii="Times New Roman" w:hAnsi="Times New Roman"/>
          <w:b/>
          <w:i w:val="false"/>
          <w:color w:val="000000"/>
          <w:sz w:val="20"/>
        </w:rPr>
        <w:t>07745 Jena,</w:t>
      </w:r>
    </w:p>
    <w:p>
      <w:pPr>
        <w:spacing w:before="0" w:after="0"/>
        <w:ind w:left="120"/>
        <w:jc w:val="left"/>
      </w:pPr>
    </w:p>
    <w:p>
      <w:pPr>
        <w:spacing w:before="0" w:after="0"/>
        <w:ind w:left="120"/>
        <w:jc w:val="center"/>
      </w:pPr>
      <w:r>
        <w:rPr>
          <w:rFonts w:ascii="Times New Roman" w:hAnsi="Times New Roman"/>
          <w:b/>
          <w:i w:val="false"/>
          <w:color w:val="000000"/>
          <w:sz w:val="20"/>
        </w:rPr>
        <w:t>Germany</w:t>
      </w:r>
    </w:p>
    <w:p>
      <w:pPr>
        <w:spacing w:before="0" w:after="0"/>
        <w:ind w:left="120"/>
        <w:jc w:val="left"/>
      </w:pPr>
    </w:p>
    <w:p>
      <w:pPr>
        <w:spacing w:before="0" w:after="0"/>
        <w:ind w:left="120"/>
        <w:jc w:val="center"/>
      </w:pPr>
      <w:r>
        <w:rPr>
          <w:rFonts w:ascii="Times New Roman" w:hAnsi="Times New Roman"/>
          <w:b/>
          <w:i w:val="false"/>
          <w:color w:val="000000"/>
          <w:sz w:val="20"/>
        </w:rPr>
        <w:t>(+49) 3641508180</w:t>
      </w:r>
    </w:p>
    <w:p>
      <w:pPr>
        <w:spacing w:before="0" w:after="0"/>
        <w:ind w:left="120"/>
        <w:jc w:val="left"/>
      </w:pPr>
    </w:p>
    <w:p>
      <w:pPr>
        <w:spacing w:before="0" w:after="0"/>
        <w:ind w:left="120"/>
        <w:jc w:val="center"/>
      </w:pPr>
      <w:r>
        <w:rPr>
          <w:rFonts w:ascii="Times New Roman" w:hAnsi="Times New Roman"/>
          <w:b w:val="false"/>
          <w:i w:val="false"/>
          <w:color w:val="000000"/>
          <w:sz w:val="20"/>
        </w:rPr>
        <w:t> </w:t>
      </w:r>
    </w:p>
    <w:p>
      <w:pPr>
        <w:spacing w:before="0" w:after="0"/>
        <w:ind w:left="120"/>
        <w:jc w:val="left"/>
      </w:pPr>
    </w:p>
    <w:p>
      <w:pPr>
        <w:spacing w:before="0" w:after="0"/>
        <w:ind w:left="120"/>
        <w:jc w:val="center"/>
      </w:pPr>
      <w:r>
        <w:rPr>
          <w:rFonts w:ascii="Times New Roman" w:hAnsi="Times New Roman"/>
          <w:b w:val="false"/>
          <w:i w:val="false"/>
          <w:color w:val="000000"/>
          <w:sz w:val="20"/>
        </w:rPr>
        <w:t>(Address of principal executive offices)</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left"/>
      </w:pPr>
      <w:r>
        <w:rPr>
          <w:rFonts w:ascii="Times New Roman" w:hAnsi="Times New Roman"/>
          <w:b w:val="false"/>
          <w:i w:val="false"/>
          <w:color w:val="000000"/>
          <w:sz w:val="20"/>
        </w:rPr>
        <w:t>Indicate by check mark whether the registrant files or will file annualreports under cover of Form 20-F or Form 40-F.</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center"/>
      </w:pPr>
      <w:r>
        <w:rPr>
          <w:rFonts w:ascii="Times New Roman" w:hAnsi="Times New Roman"/>
          <w:b w:val="false"/>
          <w:i w:val="false"/>
          <w:color w:val="000000"/>
          <w:sz w:val="20"/>
        </w:rPr>
        <w:t xml:space="preserve">Form 20-F </w:t>
      </w:r>
      <w:r>
        <w:rPr>
          <w:rFonts w:ascii="Times New Roman" w:hAnsi="Times New Roman"/>
          <w:b w:val="false"/>
          <w:i w:val="false"/>
          <w:color w:val="000000"/>
          <w:sz w:val="20"/>
        </w:rPr>
        <w:t>☒</w:t>
      </w:r>
      <w:r>
        <w:rPr>
          <w:rFonts w:ascii="Times New Roman" w:hAnsi="Times New Roman"/>
          <w:b w:val="false"/>
          <w:i w:val="false"/>
          <w:color w:val="000000"/>
          <w:sz w:val="20"/>
        </w:rPr>
        <w:t>        Form 40-F  </w:t>
      </w:r>
      <w:r>
        <w:rPr>
          <w:rFonts w:ascii="Times New Roman" w:hAnsi="Times New Roman"/>
          <w:b w:val="false"/>
          <w:i w:val="false"/>
          <w:color w:val="000000"/>
          <w:sz w:val="20"/>
        </w:rPr>
        <w:t>☐</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left"/>
      </w:pPr>
    </w:p>
    <w:p>
      <w:pPr>
        <w:spacing w:before="0" w:after="0"/>
        <w:ind w:left="120"/>
        <w:jc w:val="left"/>
      </w:pPr>
    </w:p>
    <w:p>
      <w:pPr>
        <w:pBdr>
          <w:top w:val="single" w:color="000000" w:sz="11"/>
          <w:bottom w:val="single" w:color="000000" w:sz="21"/>
        </w:pBdr>
        <w:spacing w:before="0" w:after="0"/>
        <w:ind w:left="120"/>
        <w:jc w:val="left"/>
      </w:pPr>
      <w:r>
        <w:rPr>
          <w:rFonts w:ascii="Times New Roman" w:hAnsi="Times New Roman"/>
          <w:b w:val="false"/>
          <w:i w:val="false"/>
          <w:color w:val="000000"/>
          <w:sz w:val="2"/>
        </w:rPr>
        <w:t xml:space="preserve">   </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left"/>
      </w:pP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center"/>
      </w:pPr>
      <w:r>
        <w:rPr>
          <w:rFonts w:ascii="Times New Roman" w:hAnsi="Times New Roman"/>
          <w:b/>
          <w:i w:val="false"/>
          <w:color w:val="000000"/>
          <w:sz w:val="20"/>
        </w:rPr>
        <w:t>EXPLANATORY NOTE</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As previously announced, on March 19, 2026, InflaRx N.V. (the “Company”)issued a press release titled, “InflaRx Reports Full Year 2025 Results and Highlights Key Achievements and Expected Milestones.”</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A copy of the press release is attached as Exhibit 99.1 to this reporton Form 6-K. Exhibit 99.1 shall not be deemed “filed” for purposes of Section 18 of the Securities Exchange Act of 1934, asamended (the “Exchange Act”), or otherwise subject to the liabilities of that section, nor shall it be deemed incorporatedby reference in any filing under the Securities Act of 1933, as amended, or the Exchange Act.</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left"/>
      </w:pPr>
    </w:p>
    <w:p>
      <w:pPr>
        <w:spacing w:before="0" w:after="0"/>
        <w:ind w:left="120"/>
        <w:jc w:val="left"/>
      </w:pPr>
    </w:p>
    <w:p>
      <w:pPr>
        <w:spacing w:before="0" w:after="0"/>
        <w:ind w:left="120"/>
        <w:jc w:val="center"/>
      </w:pPr>
      <w:r>
        <w:rPr>
          <w:rFonts w:ascii="Times New Roman" w:hAnsi="Times New Roman"/>
          <w:b w:val="false"/>
          <w:i w:val="false"/>
          <w:color w:val="000000"/>
          <w:sz w:val="20"/>
        </w:rPr>
        <w:t>1</w:t>
      </w: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center"/>
      </w:pPr>
      <w:r>
        <w:rPr>
          <w:rFonts w:ascii="Times New Roman" w:hAnsi="Times New Roman"/>
          <w:b/>
          <w:i w:val="false"/>
          <w:color w:val="000000"/>
          <w:sz w:val="20"/>
        </w:rPr>
        <w:t>EXHIBIT INDEX</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tbl>
      <w:tblPr>
        <w:tblW w:w="0" w:type="auto"/>
        <w:tblCellSpacing w:w="0" w:type="auto"/>
        <w:tblBorders>
          <w:top w:val="none"/>
          <w:left w:val="none"/>
          <w:bottom w:val="none"/>
          <w:right w:val="none"/>
          <w:insideH w:val="none"/>
          <w:insideV w:val="none"/>
        </w:tblBorders>
      </w:tblPr>
      <w:tblGrid>
        <w:gridCol w:w="1228"/>
        <w:gridCol w:w="136"/>
        <w:gridCol w:w="12270"/>
      </w:tblGrid>
      <w:tr>
        <w:trPr>
          <w:trHeight w:val="465" w:hRule="atLeast"/>
        </w:trPr>
        <w:tc>
          <w:tcPr>
            <w:tcW w:w="122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Exhibit No.</w:t>
            </w:r>
          </w:p>
        </w:tc>
        <w:tc>
          <w:tcPr>
            <w:tcW w:w="136"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270"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Description</w:t>
            </w:r>
          </w:p>
        </w:tc>
      </w:tr>
      <w:tr>
        <w:trPr>
          <w:trHeight w:val="240" w:hRule="atLeast"/>
        </w:trPr>
        <w:tc>
          <w:tcPr>
            <w:tcW w:w="1228"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99.1</w:t>
            </w:r>
          </w:p>
        </w:tc>
        <w:tc>
          <w:tcPr>
            <w:tcW w:w="13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2270" w:type="dxa"/>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Press Release, dated March 19, 2026</w:t>
            </w:r>
          </w:p>
        </w:tc>
      </w:tr>
    </w:tbl>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left"/>
      </w:pPr>
    </w:p>
    <w:p>
      <w:pPr>
        <w:spacing w:before="0" w:after="0"/>
        <w:ind w:left="120"/>
        <w:jc w:val="left"/>
      </w:pPr>
    </w:p>
    <w:p>
      <w:pPr>
        <w:spacing w:before="0" w:after="0"/>
        <w:ind w:left="120"/>
        <w:jc w:val="center"/>
      </w:pPr>
      <w:r>
        <w:rPr>
          <w:rFonts w:ascii="Times New Roman" w:hAnsi="Times New Roman"/>
          <w:b w:val="false"/>
          <w:i w:val="false"/>
          <w:color w:val="000000"/>
          <w:sz w:val="20"/>
        </w:rPr>
        <w:t>2</w:t>
      </w: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left"/>
      </w:pPr>
      <w:r>
        <w:rPr>
          <w:rFonts w:ascii="Times New Roman" w:hAnsi="Times New Roman"/>
          <w:b/>
          <w:i w:val="false"/>
          <w:color w:val="000000"/>
          <w:sz w:val="20"/>
        </w:rPr>
        <w:t> </w:t>
      </w:r>
    </w:p>
    <w:p>
      <w:pPr>
        <w:spacing w:before="0" w:after="0"/>
        <w:ind w:left="120"/>
        <w:jc w:val="left"/>
      </w:pPr>
    </w:p>
    <w:p>
      <w:pPr>
        <w:spacing w:before="0" w:after="0"/>
        <w:ind w:left="120"/>
        <w:jc w:val="center"/>
      </w:pPr>
      <w:r>
        <w:rPr>
          <w:rFonts w:ascii="Times New Roman" w:hAnsi="Times New Roman"/>
          <w:b/>
          <w:i w:val="false"/>
          <w:color w:val="000000"/>
          <w:sz w:val="20"/>
        </w:rPr>
        <w:t>SIGNATURES</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Pursuant to the requirements of the Securities Exchange Act of 1934,the registrant has duly caused this report to be signed on its behalf by the undersigned, thereunto duly authorized.</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tbl>
      <w:tblPr>
        <w:tblW w:w="0" w:type="auto"/>
        <w:tblCellSpacing w:w="0" w:type="auto"/>
        <w:tblBorders>
          <w:top w:val="none"/>
          <w:left w:val="none"/>
          <w:bottom w:val="none"/>
          <w:right w:val="none"/>
          <w:insideH w:val="none"/>
          <w:insideV w:val="none"/>
        </w:tblBorders>
      </w:tblPr>
      <w:tblGrid>
        <w:gridCol w:w="8115"/>
        <w:gridCol w:w="779"/>
        <w:gridCol w:w="4740"/>
      </w:tblGrid>
      <w:tr>
        <w:trPr>
          <w:trHeight w:val="225" w:hRule="atLeast"/>
        </w:trPr>
        <w:tc>
          <w:tcPr>
            <w:tcW w:w="811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0"/>
              <w:jc w:val="left"/>
            </w:pPr>
            <w:r>
              <w:rPr>
                <w:rFonts w:ascii="Times New Roman" w:hAnsi="Times New Roman"/>
                <w:b/>
                <w:i w:val="false"/>
                <w:color w:val="000000"/>
                <w:sz w:val="20"/>
              </w:rPr>
              <w:t>INFLARX N.V.</w:t>
            </w:r>
          </w:p>
        </w:tc>
      </w:tr>
      <w:tr>
        <w:trPr>
          <w:trHeight w:val="210" w:hRule="atLeast"/>
        </w:trPr>
        <w:tc>
          <w:tcPr>
            <w:tcW w:w="811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811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Date: March 19, 2026</w:t>
            </w:r>
          </w:p>
        </w:tc>
        <w:tc>
          <w:tcPr>
            <w:tcW w:w="77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By:</w:t>
            </w:r>
          </w:p>
        </w:tc>
        <w:tc>
          <w:tcPr>
            <w:tcW w:w="4740"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/s/ Niels Riedemann</w:t>
            </w:r>
          </w:p>
        </w:tc>
      </w:tr>
      <w:tr>
        <w:trPr>
          <w:trHeight w:val="225" w:hRule="atLeast"/>
        </w:trPr>
        <w:tc>
          <w:tcPr>
            <w:tcW w:w="811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77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Name: </w:t>
            </w:r>
          </w:p>
        </w:tc>
        <w:tc>
          <w:tcPr>
            <w:tcW w:w="474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Niels Riedemann</w:t>
            </w:r>
          </w:p>
        </w:tc>
      </w:tr>
      <w:tr>
        <w:trPr>
          <w:trHeight w:val="210" w:hRule="atLeast"/>
        </w:trPr>
        <w:tc>
          <w:tcPr>
            <w:tcW w:w="811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77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Title:</w:t>
            </w:r>
          </w:p>
        </w:tc>
        <w:tc>
          <w:tcPr>
            <w:tcW w:w="474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Chief Executive Officer</w:t>
            </w:r>
          </w:p>
        </w:tc>
      </w:tr>
    </w:tbl>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left"/>
      </w:pPr>
    </w:p>
    <w:p>
      <w:pPr>
        <w:spacing w:before="0" w:after="0"/>
        <w:ind w:left="120"/>
        <w:jc w:val="left"/>
      </w:pPr>
    </w:p>
    <w:p>
      <w:pPr>
        <w:spacing w:before="0" w:after="0"/>
        <w:ind w:left="120"/>
        <w:jc w:val="center"/>
      </w:pPr>
      <w:r>
        <w:rPr>
          <w:rFonts w:ascii="Times New Roman" w:hAnsi="Times New Roman"/>
          <w:b w:val="false"/>
          <w:i w:val="false"/>
          <w:color w:val="000000"/>
          <w:sz w:val="20"/>
        </w:rPr>
        <w:t>3</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br w:type="page"/>
    <w:p>
      <w:pPr>
        <w:spacing w:before="0" w:after="0"/>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 xml:space="preserve">EX-99.1 </w:t>
      </w:r>
      <w:r>
        <w:rPr>
          <w:rFonts w:ascii="Times New Roman" w:hAnsi="Times New Roman"/>
          <w:b w:val="false"/>
          <w:i w:val="false"/>
          <w:color w:val="000000"/>
          <w:sz w:val="22"/>
        </w:rPr>
        <w:t xml:space="preserve">2 </w:t>
      </w:r>
      <w:r>
        <w:rPr>
          <w:rFonts w:ascii="Times New Roman" w:hAnsi="Times New Roman"/>
          <w:b w:val="false"/>
          <w:i w:val="false"/>
          <w:color w:val="000000"/>
          <w:sz w:val="22"/>
        </w:rPr>
        <w:t xml:space="preserve">ea028182101ex99-1.htm </w:t>
      </w:r>
      <w:r>
        <w:rPr>
          <w:rFonts w:ascii="Times New Roman" w:hAnsi="Times New Roman"/>
          <w:b w:val="false"/>
          <w:i w:val="false"/>
          <w:color w:val="000000"/>
          <w:sz w:val="22"/>
        </w:rPr>
        <w:t xml:space="preserve">PRESS RELEASE, DATED MARCH 19, 2026 </w:t>
      </w:r>
    </w:p>
    <w:p>
      <w:pPr>
        <w:spacing w:before="0" w:after="0"/>
        <w:ind w:left="480"/>
        <w:jc w:val="right"/>
      </w:pPr>
      <w:r>
        <w:rPr>
          <w:rFonts w:ascii="Times New Roman" w:hAnsi="Times New Roman"/>
          <w:b/>
          <w:i w:val="false"/>
          <w:color w:val="000000"/>
          <w:sz w:val="20"/>
        </w:rPr>
        <w:t>Exhibit 99.1</w:t>
      </w:r>
    </w:p>
    <w:p>
      <w:pPr>
        <w:spacing w:before="0" w:after="0"/>
        <w:ind w:left="120"/>
        <w:jc w:val="left"/>
      </w:pPr>
    </w:p>
    <w:p>
      <w:pPr>
        <w:spacing w:before="0" w:after="0"/>
        <w:ind w:left="480"/>
        <w:jc w:val="center"/>
      </w:pPr>
      <w:r>
        <w:rPr>
          <w:rFonts w:ascii="Times New Roman" w:hAnsi="Times New Roman"/>
          <w:b w:val="false"/>
          <w:i w:val="false"/>
          <w:color w:val="000000"/>
          <w:sz w:val="20"/>
        </w:rPr>
        <w:t> </w:t>
      </w:r>
    </w:p>
    <w:p>
      <w:pPr>
        <w:spacing w:before="0" w:after="0"/>
        <w:ind w:left="120"/>
        <w:jc w:val="left"/>
      </w:pPr>
    </w:p>
    <w:p>
      <w:pPr>
        <w:spacing w:before="0" w:after="0"/>
        <w:ind w:left="480"/>
        <w:jc w:val="center"/>
      </w:pPr>
    </w:p>
    <w:p>
      <w:pPr>
        <w:spacing w:before="0" w:after="0"/>
        <w:ind w:left="120"/>
        <w:jc w:val="left"/>
      </w:pPr>
    </w:p>
    <w:p>
      <w:pPr>
        <w:spacing w:before="0" w:after="0"/>
        <w:ind w:left="120"/>
        <w:jc w:val="left"/>
      </w:pPr>
      <w:r>
        <w:rPr>
          <w:rFonts w:ascii="Times New Roman" w:hAnsi="Times New Roman"/>
          <w:b w:val="false"/>
          <w:i w:val="false"/>
          <w:color w:val="000000"/>
          <w:sz w:val="20"/>
        </w:rPr>
        <w:t> </w:t>
      </w:r>
      <w:r>
        <w:drawing>
          <wp:inline distT="0" distB="0" distL="0" distR="0">
            <wp:extent cx="1514475" cy="48577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
                    <a:stretch>
                      <a:fillRect/>
                    </a:stretch>
                  </pic:blipFill>
                  <pic:spPr>
                    <a:xfrm>
                      <a:off x="0" y="0"/>
                      <a:ext cx="1514475" cy="485775"/>
                    </a:xfrm>
                    <a:prstGeom prst="rect">
                      <a:avLst/>
                    </a:prstGeom>
                  </pic:spPr>
                </pic:pic>
              </a:graphicData>
            </a:graphic>
          </wp:inline>
        </w:drawing>
      </w:r>
    </w:p>
    <w:p>
      <w:pPr>
        <w:spacing w:before="0" w:after="0"/>
        <w:ind w:left="120"/>
        <w:jc w:val="left"/>
      </w:pPr>
    </w:p>
    <w:p>
      <w:pPr>
        <w:spacing w:before="0" w:after="0"/>
        <w:ind w:left="120"/>
        <w:jc w:val="center"/>
      </w:pPr>
      <w:r>
        <w:rPr>
          <w:rFonts w:ascii="Times New Roman" w:hAnsi="Times New Roman"/>
          <w:b w:val="false"/>
          <w:i w:val="false"/>
          <w:color w:val="000000"/>
          <w:sz w:val="20"/>
        </w:rPr>
        <w:t> </w:t>
      </w:r>
    </w:p>
    <w:p>
      <w:pPr>
        <w:spacing w:before="0" w:after="0"/>
        <w:ind w:left="120"/>
        <w:jc w:val="left"/>
      </w:pPr>
    </w:p>
    <w:p>
      <w:pPr>
        <w:spacing w:before="0" w:after="0"/>
        <w:ind w:left="480"/>
        <w:jc w:val="center"/>
      </w:pPr>
      <w:r>
        <w:rPr>
          <w:rFonts w:ascii="Times New Roman" w:hAnsi="Times New Roman"/>
          <w:b w:val="false"/>
          <w:i w:val="false"/>
          <w:color w:val="000000"/>
          <w:sz w:val="20"/>
        </w:rPr>
        <w:t>InflaRx Reports Full Year 2025 Resultsand Highlights</w:t>
      </w:r>
      <w:r>
        <w:br/>
      </w:r>
      <w:r>
        <w:rPr>
          <w:rFonts w:ascii="Times New Roman" w:hAnsi="Times New Roman"/>
          <w:b w:val="false"/>
          <w:i w:val="false"/>
          <w:color w:val="000000"/>
          <w:sz w:val="20"/>
        </w:rPr>
        <w:t xml:space="preserve"> Key Achievements and Expected Milestones</w:t>
      </w:r>
    </w:p>
    <w:p>
      <w:pPr>
        <w:spacing w:before="0" w:after="0"/>
        <w:ind w:left="120"/>
        <w:jc w:val="left"/>
      </w:pPr>
    </w:p>
    <w:p>
      <w:pPr>
        <w:spacing w:before="0" w:after="0"/>
        <w:ind w:left="480"/>
        <w:jc w:val="center"/>
      </w:pPr>
      <w:r>
        <w:rPr>
          <w:rFonts w:ascii="Times New Roman" w:hAnsi="Times New Roman"/>
          <w:b w:val="false"/>
          <w:i w:val="false"/>
          <w:color w:val="000000"/>
          <w:sz w:val="20"/>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480"/>
        <w:gridCol w:w="12674"/>
      </w:tblGrid>
      <w:tr>
        <w:trPr>
          <w:trHeight w:val="435"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74" w:type="dxa"/>
            <w:tcBorders/>
            <w:tcMar>
              <w:top w:w="15" w:type="dxa"/>
              <w:left w:w="15" w:type="dxa"/>
              <w:bottom w:w="15" w:type="dxa"/>
              <w:right w:w="15" w:type="dxa"/>
            </w:tcMar>
            <w:vAlign w:val="top"/>
          </w:tcPr>
          <w:p>
            <w:pPr>
              <w:spacing w:before="0" w:after="0"/>
              <w:ind w:left="0"/>
              <w:jc w:val="both"/>
            </w:pPr>
            <w:r>
              <w:rPr>
                <w:rFonts w:ascii="Times New Roman" w:hAnsi="Times New Roman"/>
                <w:b w:val="false"/>
                <w:i w:val="false"/>
                <w:color w:val="000000"/>
                <w:sz w:val="20"/>
              </w:rPr>
              <w:t>Promising Phase 2a data announced for izicopan, underscoring its potential as a meaningfully differentiated,effective and safe oral inhibitor of C5aR</w:t>
            </w:r>
          </w:p>
        </w:tc>
      </w:tr>
    </w:tbl>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480"/>
        <w:gridCol w:w="12674"/>
      </w:tblGrid>
      <w:tr>
        <w:trPr>
          <w:trHeight w:val="210" w:hRule="atLeast"/>
        </w:trPr>
        <w:tc>
          <w:tcPr>
            <w:tcW w:w="480" w:type="dxa"/>
            <w:tcBorders/>
            <w:tcMar>
              <w:top w:w="15" w:type="dxa"/>
              <w:left w:w="15" w:type="dxa"/>
              <w:bottom w:w="15" w:type="dxa"/>
              <w:right w:w="15" w:type="dxa"/>
            </w:tcMar>
            <w:vAlign w:val="top"/>
          </w:tcP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74" w:type="dxa"/>
            <w:tcBorders/>
            <w:tcMar>
              <w:top w:w="15" w:type="dxa"/>
              <w:left w:w="15" w:type="dxa"/>
              <w:bottom w:w="15" w:type="dxa"/>
              <w:right w:w="15" w:type="dxa"/>
            </w:tcMar>
            <w:vAlign w:val="top"/>
          </w:tcPr>
          <w:p>
            <w:pPr>
              <w:spacing w:before="0" w:after="0"/>
              <w:ind w:left="0"/>
              <w:jc w:val="both"/>
            </w:pPr>
            <w:r>
              <w:rPr>
                <w:rFonts w:ascii="Times New Roman" w:hAnsi="Times New Roman"/>
                <w:b w:val="false"/>
                <w:i w:val="false"/>
                <w:color w:val="000000"/>
                <w:sz w:val="20"/>
              </w:rPr>
              <w:t>Substantial progress made toward Phase 2b readiness for izicopan in hidradenitis suppurativa (HS)</w:t>
            </w:r>
          </w:p>
        </w:tc>
      </w:tr>
    </w:tbl>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480"/>
        <w:gridCol w:w="12674"/>
      </w:tblGrid>
      <w:tr>
        <w:trPr>
          <w:trHeight w:val="210" w:hRule="atLeast"/>
        </w:trPr>
        <w:tc>
          <w:tcPr>
            <w:tcW w:w="480" w:type="dxa"/>
            <w:tcBorders/>
            <w:tcMar>
              <w:top w:w="15" w:type="dxa"/>
              <w:left w:w="15" w:type="dxa"/>
              <w:bottom w:w="15" w:type="dxa"/>
              <w:right w:w="15" w:type="dxa"/>
            </w:tcMar>
            <w:vAlign w:val="top"/>
          </w:tcP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74" w:type="dxa"/>
            <w:tcBorders/>
            <w:tcMar>
              <w:top w:w="15" w:type="dxa"/>
              <w:left w:w="15" w:type="dxa"/>
              <w:bottom w:w="15" w:type="dxa"/>
              <w:right w:w="15" w:type="dxa"/>
            </w:tcMar>
            <w:vAlign w:val="top"/>
          </w:tcPr>
          <w:p>
            <w:pPr>
              <w:spacing w:before="0" w:after="0"/>
              <w:ind w:left="0"/>
              <w:jc w:val="both"/>
            </w:pPr>
            <w:r>
              <w:rPr>
                <w:rFonts w:ascii="Times New Roman" w:hAnsi="Times New Roman"/>
                <w:b w:val="false"/>
                <w:i w:val="false"/>
                <w:color w:val="000000"/>
                <w:sz w:val="20"/>
              </w:rPr>
              <w:t>InflaRx actively reviewing and considering additional development in ANCA-associated vasculitis (AAV)</w:t>
            </w:r>
          </w:p>
        </w:tc>
      </w:tr>
    </w:tbl>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480"/>
        <w:gridCol w:w="12674"/>
      </w:tblGrid>
      <w:tr>
        <w:trPr>
          <w:trHeight w:val="660" w:hRule="atLeast"/>
        </w:trPr>
        <w:tc>
          <w:tcPr>
            <w:tcW w:w="480" w:type="dxa"/>
            <w:tcBorders/>
            <w:tcMar>
              <w:top w:w="15" w:type="dxa"/>
              <w:left w:w="15" w:type="dxa"/>
              <w:bottom w:w="15" w:type="dxa"/>
              <w:right w:w="15" w:type="dxa"/>
            </w:tcMar>
            <w:vAlign w:val="top"/>
          </w:tcP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74" w:type="dxa"/>
            <w:tcBorders/>
            <w:tcMar>
              <w:top w:w="15" w:type="dxa"/>
              <w:left w:w="15" w:type="dxa"/>
              <w:bottom w:w="15" w:type="dxa"/>
              <w:right w:w="15" w:type="dxa"/>
            </w:tcMar>
            <w:vAlign w:val="top"/>
          </w:tcPr>
          <w:p>
            <w:pPr>
              <w:spacing w:before="0" w:after="0"/>
              <w:ind w:left="0"/>
              <w:jc w:val="both"/>
            </w:pPr>
            <w:r>
              <w:rPr>
                <w:rFonts w:ascii="Times New Roman" w:hAnsi="Times New Roman"/>
                <w:b w:val="false"/>
                <w:i w:val="false"/>
                <w:color w:val="000000"/>
                <w:sz w:val="20"/>
              </w:rPr>
              <w:t>To broaden izicopan signal-finding activities and expedite proof-of-concept studies into additional indicationsin inflammation and immunology (I&amp;I), InflaRx intends to conduct a pharmacokinetic (PK) bridging study in China this year</w:t>
            </w:r>
          </w:p>
        </w:tc>
      </w:tr>
    </w:tbl>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480"/>
        <w:gridCol w:w="12674"/>
      </w:tblGrid>
      <w:tr>
        <w:trPr>
          <w:trHeight w:val="210" w:hRule="atLeast"/>
        </w:trPr>
        <w:tc>
          <w:tcPr>
            <w:tcW w:w="480" w:type="dxa"/>
            <w:tcBorders/>
            <w:tcMar>
              <w:top w:w="15" w:type="dxa"/>
              <w:left w:w="15" w:type="dxa"/>
              <w:bottom w:w="15" w:type="dxa"/>
              <w:right w:w="15" w:type="dxa"/>
            </w:tcMar>
            <w:vAlign w:val="top"/>
          </w:tcP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74" w:type="dxa"/>
            <w:tcBorders/>
            <w:tcMar>
              <w:top w:w="15" w:type="dxa"/>
              <w:left w:w="15" w:type="dxa"/>
              <w:bottom w:w="15" w:type="dxa"/>
              <w:right w:w="15" w:type="dxa"/>
            </w:tcMar>
            <w:vAlign w:val="top"/>
          </w:tcPr>
          <w:p>
            <w:pPr>
              <w:spacing w:before="0" w:after="0"/>
              <w:ind w:left="0"/>
              <w:jc w:val="both"/>
            </w:pPr>
            <w:r>
              <w:rPr>
                <w:rFonts w:ascii="Times New Roman" w:hAnsi="Times New Roman"/>
                <w:b w:val="false"/>
                <w:i w:val="false"/>
                <w:color w:val="000000"/>
                <w:sz w:val="20"/>
              </w:rPr>
              <w:t>Active dialog with potential collaborators to expedite the Company’s total pipeline development goalscontinues</w:t>
            </w:r>
          </w:p>
        </w:tc>
      </w:tr>
    </w:tbl>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480"/>
        <w:gridCol w:w="12674"/>
      </w:tblGrid>
      <w:tr>
        <w:trPr>
          <w:trHeight w:val="435" w:hRule="atLeast"/>
        </w:trPr>
        <w:tc>
          <w:tcPr>
            <w:tcW w:w="480" w:type="dxa"/>
            <w:tcBorders/>
            <w:tcMar>
              <w:top w:w="15" w:type="dxa"/>
              <w:left w:w="15" w:type="dxa"/>
              <w:bottom w:w="15" w:type="dxa"/>
              <w:right w:w="15" w:type="dxa"/>
            </w:tcMar>
            <w:vAlign w:val="top"/>
          </w:tcP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74" w:type="dxa"/>
            <w:tcBorders/>
            <w:tcMar>
              <w:top w:w="15" w:type="dxa"/>
              <w:left w:w="15" w:type="dxa"/>
              <w:bottom w:w="15" w:type="dxa"/>
              <w:right w:w="15" w:type="dxa"/>
            </w:tcMar>
            <w:vAlign w:val="top"/>
          </w:tcPr>
          <w:p>
            <w:pPr>
              <w:spacing w:before="0" w:after="0"/>
              <w:ind w:left="0"/>
              <w:jc w:val="both"/>
            </w:pPr>
            <w:r>
              <w:rPr>
                <w:rFonts w:ascii="Times New Roman" w:hAnsi="Times New Roman"/>
                <w:b w:val="false"/>
                <w:i w:val="false"/>
                <w:color w:val="000000"/>
                <w:sz w:val="20"/>
              </w:rPr>
              <w:t>InflaRx to host a virtual Capital Markets Day this spring to detail the expected clinical development pathfor izicopan in HS and to highlight its potential in HS, AAV and select additional I&amp;I indications</w:t>
            </w:r>
          </w:p>
        </w:tc>
      </w:tr>
    </w:tbl>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tbl>
      <w:tblPr>
        <w:tblW w:w="0" w:type="auto"/>
        <w:tblCellSpacing w:w="0" w:type="dxa"/>
        <w:tblBorders>
          <w:top w:val="none"/>
          <w:left w:val="none"/>
          <w:bottom w:val="none"/>
          <w:right w:val="none"/>
          <w:insideH w:val="none"/>
          <w:insideV w:val="none"/>
        </w:tblBorders>
      </w:tblPr>
      <w:tblGrid>
        <w:gridCol w:w="480"/>
        <w:gridCol w:w="480"/>
        <w:gridCol w:w="12674"/>
      </w:tblGrid>
      <w:tr>
        <w:trPr>
          <w:trHeight w:val="435" w:hRule="atLeast"/>
        </w:trPr>
        <w:tc>
          <w:tcPr>
            <w:tcW w:w="480" w:type="dxa"/>
            <w:tcBorders/>
            <w:tcMar>
              <w:top w:w="15" w:type="dxa"/>
              <w:left w:w="15" w:type="dxa"/>
              <w:bottom w:w="15" w:type="dxa"/>
              <w:right w:w="15" w:type="dxa"/>
            </w:tcMar>
            <w:vAlign w:val="top"/>
          </w:tcPr>
          <w:p/>
        </w:tc>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2674" w:type="dxa"/>
            <w:tcBorders/>
            <w:tcMar>
              <w:top w:w="15" w:type="dxa"/>
              <w:left w:w="15" w:type="dxa"/>
              <w:bottom w:w="15" w:type="dxa"/>
              <w:right w:w="15" w:type="dxa"/>
            </w:tcMar>
            <w:vAlign w:val="top"/>
          </w:tcPr>
          <w:p>
            <w:pPr>
              <w:spacing w:before="0" w:after="0"/>
              <w:ind w:left="0"/>
              <w:jc w:val="both"/>
            </w:pPr>
            <w:r>
              <w:rPr>
                <w:rFonts w:ascii="Times New Roman" w:hAnsi="Times New Roman"/>
                <w:b w:val="false"/>
                <w:i w:val="false"/>
                <w:color w:val="000000"/>
                <w:sz w:val="20"/>
              </w:rPr>
              <w:t>Cash, cash equivalents and marketable securities totaled €46.2 millionon December 31, 2025, expected to fund ongoing operations to mid-2027</w:t>
            </w:r>
          </w:p>
        </w:tc>
      </w:tr>
    </w:tbl>
    <w:p>
      <w:pPr>
        <w:spacing w:before="0" w:after="0"/>
        <w:ind w:left="120"/>
        <w:jc w:val="left"/>
      </w:pPr>
    </w:p>
    <w:p>
      <w:pPr>
        <w:spacing w:before="0" w:after="0"/>
        <w:ind w:left="120"/>
        <w:jc w:val="both"/>
      </w:pPr>
      <w:r>
        <w:rPr>
          <w:rFonts w:ascii="Times New Roman" w:hAnsi="Times New Roman"/>
          <w:b/>
          <w:i w:val="false"/>
          <w:color w:val="000000"/>
          <w:sz w:val="20"/>
        </w:rPr>
        <w:t> </w:t>
      </w:r>
    </w:p>
    <w:p>
      <w:pPr>
        <w:spacing w:before="0" w:after="0"/>
        <w:ind w:left="120"/>
        <w:jc w:val="left"/>
      </w:pPr>
    </w:p>
    <w:p>
      <w:pPr>
        <w:spacing w:before="0" w:after="0"/>
        <w:ind w:left="120"/>
        <w:jc w:val="both"/>
      </w:pPr>
      <w:r>
        <w:rPr>
          <w:rFonts w:ascii="Times New Roman" w:hAnsi="Times New Roman"/>
          <w:b/>
          <w:i w:val="false"/>
          <w:color w:val="000000"/>
          <w:sz w:val="20"/>
        </w:rPr>
        <w:t>Jena, Germany, March 19, 2026</w:t>
      </w:r>
      <w:r>
        <w:rPr>
          <w:rFonts w:ascii="Times New Roman" w:hAnsi="Times New Roman"/>
          <w:b w:val="false"/>
          <w:i w:val="false"/>
          <w:color w:val="000000"/>
          <w:sz w:val="20"/>
        </w:rPr>
        <w:t xml:space="preserve"> – InflaRxN.V. (Nasdaq: IFRX), a biopharmaceutical company pioneering anti-inflammatory therapeutics by targeting the complement system, today announcedits financial results for the three and twelve months ended December 31, 2025, and provided a business update.</w:t>
      </w:r>
    </w:p>
    <w:p>
      <w:pPr>
        <w:spacing w:before="0" w:after="0"/>
        <w:ind w:left="120"/>
        <w:jc w:val="left"/>
      </w:pPr>
    </w:p>
    <w:p>
      <w:pPr>
        <w:spacing w:before="0" w:after="0"/>
        <w:ind w:left="120"/>
        <w:jc w:val="both"/>
      </w:pPr>
      <w:r>
        <w:rPr>
          <w:rFonts w:ascii="Times New Roman" w:hAnsi="Times New Roman"/>
          <w:b/>
          <w:i w:val="false"/>
          <w:color w:val="000000"/>
          <w:sz w:val="20"/>
        </w:rPr>
        <w:t> </w:t>
      </w:r>
    </w:p>
    <w:p>
      <w:pPr>
        <w:spacing w:before="0" w:after="0"/>
        <w:ind w:left="120"/>
        <w:jc w:val="left"/>
      </w:pPr>
    </w:p>
    <w:p>
      <w:pPr>
        <w:spacing w:before="0" w:after="0"/>
        <w:ind w:left="120"/>
        <w:jc w:val="both"/>
      </w:pPr>
      <w:r>
        <w:rPr>
          <w:rFonts w:ascii="Times New Roman" w:hAnsi="Times New Roman"/>
          <w:b/>
          <w:i w:val="false"/>
          <w:color w:val="000000"/>
          <w:sz w:val="20"/>
        </w:rPr>
        <w:t>Prof. Niels C. Riedemann, Chief Executive Officerand Founder of InflaRx</w:t>
      </w:r>
      <w:r>
        <w:rPr>
          <w:rFonts w:ascii="Times New Roman" w:hAnsi="Times New Roman"/>
          <w:b w:val="false"/>
          <w:i w:val="false"/>
          <w:color w:val="000000"/>
          <w:sz w:val="20"/>
        </w:rPr>
        <w:t>, said:</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“With the strong Phase 2a results reportedin hidradenitis suppurativa and chronic spontaneous urticaria, and its best-in-class potential, we made the strategic decision to focusour resources on izicopan. We are in active discussions with the FDA for the design of our Phase 2b trial in HS and look forward to establishinga clear path forward soon. By tightly focusing the Company on izicopan in select inflammation and immunology indications, we believe weare well positioned to advance to the next stage of development and effectively execute our plans.”</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val="false"/>
          <w:color w:val="000000"/>
          <w:sz w:val="20"/>
        </w:rPr>
        <w:t>Select Recent Highlights and Business Update</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Next steps with izicopan</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In November 2025, InflaRx announced positive toplinedata from a Phase 2a basket study exploring izicopan in HS and chronic spontaneous urticaria (CSU). InflaRx believes results from thisstudy provide strong rationale for further development, with a priority placed on HS. In HS, InflaRx has made substantial progress towardsPhase 2b readiness and expects to close out communications with the FDA in the upcoming months. In CSU, where InflaRx continues to weighoptions, the Company remains in ongoing dialog with key opinion leaders who remain supportive of izicopan’s potential in CSU toaddress unmet need.</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 </w:t>
      </w:r>
      <w:r>
        <w:drawing>
          <wp:inline distT="0" distB="0" distL="0" distR="0">
            <wp:extent cx="1514475" cy="48577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
                    <a:stretch>
                      <a:fillRect/>
                    </a:stretch>
                  </pic:blipFill>
                  <pic:spPr>
                    <a:xfrm>
                      <a:off x="0" y="0"/>
                      <a:ext cx="1514475" cy="485775"/>
                    </a:xfrm>
                    <a:prstGeom prst="rect">
                      <a:avLst/>
                    </a:prstGeom>
                  </pic:spPr>
                </pic:pic>
              </a:graphicData>
            </a:graphic>
          </wp:inline>
        </w:drawing>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Complete Phase 2a results are targeted for releaseat major scientific meetings this year. In addition, InflaRx expects to host a virtual Capital Markets Day this spring to provide clarityon izicopan’s expected clinical development path in HS, greater insight into the HS market opportunity, and updated thinking onizicopan’s clinical utility in select additional I&amp;I indications, including AAV.</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As the Company evaluates the optimal strategyto fully realize izicopan’s potential as a pipeline-in-a-product, it is actively reviewing and considering additional developmentin AAV. Izicopan was designed as a best-in-class therapy, offering differentiated chemistry, metabolic properties, and safety advantagesover the currently marketed C5aR inhibitor. This includes minimal CYP3A4/5 inhibition measured in pre-clinical studies, which suggestsa low potential for drug-drug interactions and liver toxicity. The Company believes these features could unlock significant opportunitiesfor development across multiple meaningful I&amp;I markets, including AAV, where safer and more active drugs are needed.</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Furthermore, with the goal of generating proof-of-conceptdata in additional I&amp;I indications as efficiently as possible, InflaRx intends to conduct a PK bridging study with izicopan in Chinathis year to expedite subsequent proof-of-concept studies in China and elsewhere.</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Summary of izicopan Phase 2a data in HSand CSU reported to date</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In HS, izicopan induced rapid, meaningful andconsistent reductions in the number of abscesses and nodules (ANs) and draining tunnels (dTs), in addition to improvements in measuressuch as HiSCR, IHS4, NRS30, and DLQI. Improvements in reported efficacy measures were largely rapid and consistent, beginning from Week1, and deepened over the 4-week treatment period. Furthermore, initial data reported from 25 HS patients who completed the 4-week off-drugfollow-up period showed that HiSCR responses continued to deepen four weeks after the treatment period. No signals of safety concern weredetected. Given this positive biologic-like emerging clinical profile, InflaRx believes izicopan’s market opportunity in HS couldsubstantially exceed $1 billion.</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p>
    <w:p>
      <w:pPr>
        <w:spacing w:before="0" w:after="0"/>
        <w:ind w:left="120"/>
        <w:jc w:val="left"/>
      </w:pPr>
    </w:p>
    <w:p>
      <w:pPr>
        <w:spacing w:before="0" w:after="0"/>
        <w:ind w:left="120"/>
        <w:jc w:val="center"/>
      </w:pPr>
      <w:r>
        <w:rPr>
          <w:rFonts w:ascii="Times New Roman" w:hAnsi="Times New Roman"/>
          <w:b w:val="false"/>
          <w:i w:val="false"/>
          <w:color w:val="000000"/>
          <w:sz w:val="20"/>
        </w:rPr>
        <w:t>2</w:t>
      </w: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 </w:t>
      </w:r>
      <w:r>
        <w:drawing>
          <wp:inline distT="0" distB="0" distL="0" distR="0">
            <wp:extent cx="1514475" cy="48577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5"/>
                    <a:stretch>
                      <a:fillRect/>
                    </a:stretch>
                  </pic:blipFill>
                  <pic:spPr>
                    <a:xfrm>
                      <a:off x="0" y="0"/>
                      <a:ext cx="1514475" cy="485775"/>
                    </a:xfrm>
                    <a:prstGeom prst="rect">
                      <a:avLst/>
                    </a:prstGeom>
                  </pic:spPr>
                </pic:pic>
              </a:graphicData>
            </a:graphic>
          </wp:inline>
        </w:drawing>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In CSU, reported improvements in clinical measuressuch as UAS7 indicate a level of activity that exceeds average historically reported placebo levels and is within the range of existingapproved CSU therapies. Furthermore, in the subset of patients with severe CSU at baseline (UAS7 of 28–42) and those who presentedwith angioedema, the improvement appeared greater. Initial data reported from patients who completed the 4-week off-drug observationalfollow-up period indicated that patients continued to benefit from izicopan four weeks after the last dose. No signals of safety concernwere detected. Overall, InflaRx believes these data suggest that izicopan is active in CSU. Given this positive emerging clinical profileand an addressable market for izicopan that InflaRx believes could exceed $1 billion, the Company is considering further development forizicopan in CSU.</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Vilobelimab for pyoderma gangrenosum (PG)</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In December2025, InflaRx announced that post-hoc analyses performed on the Phase 3 trial for vilobelimab in PG previously terminated for futilitysuggest a positive trend in favor of vilobelimab. The analyses found signals indicating a consistent treatment effect on clinical measuressuch as disease remission, proportion of patients with &gt;50% reduction of target ulcer volume, DLQI, and ulcer volume mean change frombaseline. While InflaRx is currently prioritizing its HS-related interactions with the dermatology division of the FDA, the Company continuesto anticipate meeting with the agency to determine a potential development path forward for vilobelimab in PG. InflaRx expects that anyfuture development activities in PG would likely be conducted only in collaboration with a partner.</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In addition, late-breaking abstract titled “</w:t>
      </w:r>
      <w:r>
        <w:rPr>
          <w:rFonts w:ascii="Times New Roman" w:hAnsi="Times New Roman"/>
          <w:b w:val="false"/>
          <w:i/>
          <w:color w:val="000000"/>
          <w:sz w:val="20"/>
        </w:rPr>
        <w:t xml:space="preserve">VilobelimabTreatment for Ulcerative Pyoderma Gangrenosum: Results from a Multicenter, Randomized, Placebo Controlled Phase 3 Trial” </w:t>
      </w:r>
      <w:r>
        <w:rPr>
          <w:rFonts w:ascii="Times New Roman" w:hAnsi="Times New Roman"/>
          <w:b w:val="false"/>
          <w:i w:val="false"/>
          <w:color w:val="000000"/>
          <w:sz w:val="20"/>
        </w:rPr>
        <w:t>hasbeen selected for an oral presentation during the Late-Breaking Research abstract session at the 2026 American Academy of Dermatology(AAD) Annual Meeting on March 28, 2026, 2:24-2:36 PM MT.</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val="false"/>
          <w:color w:val="000000"/>
          <w:sz w:val="20"/>
        </w:rPr>
        <w:t>Dr. Thomas Taapken, Chief Financial Officerof InflaRx,</w:t>
      </w:r>
      <w:r>
        <w:rPr>
          <w:rFonts w:ascii="Times New Roman" w:hAnsi="Times New Roman"/>
          <w:b w:val="false"/>
          <w:i w:val="false"/>
          <w:color w:val="000000"/>
          <w:sz w:val="20"/>
        </w:rPr>
        <w:t xml:space="preserve"> said: “Our goal is to implement a clear, focused strategy that directs our resources toward izicopan, our highestvalue asset and pipeline-in-a-product. With this focus and related significant cost reductions, we have a projected cash runway to mid-2027and believe we are well positioned to execute on our key milestones and the next phase of our clinical development plan.”</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p>
    <w:p>
      <w:pPr>
        <w:spacing w:before="0" w:after="0"/>
        <w:ind w:left="120"/>
        <w:jc w:val="left"/>
      </w:pPr>
    </w:p>
    <w:p>
      <w:pPr>
        <w:spacing w:before="0" w:after="0"/>
        <w:ind w:left="120"/>
        <w:jc w:val="center"/>
      </w:pPr>
      <w:r>
        <w:rPr>
          <w:rFonts w:ascii="Times New Roman" w:hAnsi="Times New Roman"/>
          <w:b w:val="false"/>
          <w:i w:val="false"/>
          <w:color w:val="000000"/>
          <w:sz w:val="20"/>
        </w:rPr>
        <w:t>3</w:t>
      </w: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 </w:t>
      </w:r>
      <w:r>
        <w:drawing>
          <wp:inline distT="0" distB="0" distL="0" distR="0">
            <wp:extent cx="1514475" cy="48577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6"/>
                    <a:stretch>
                      <a:fillRect/>
                    </a:stretch>
                  </pic:blipFill>
                  <pic:spPr>
                    <a:xfrm>
                      <a:off x="0" y="0"/>
                      <a:ext cx="1514475" cy="485775"/>
                    </a:xfrm>
                    <a:prstGeom prst="rect">
                      <a:avLst/>
                    </a:prstGeom>
                  </pic:spPr>
                </pic:pic>
              </a:graphicData>
            </a:graphic>
          </wp:inline>
        </w:drawing>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val="false"/>
          <w:color w:val="000000"/>
          <w:sz w:val="20"/>
        </w:rPr>
        <w:t>2025 Financial Highlights</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GOHIBIC revenue and cost of sales</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As part of its strategy focused on capital-efficientexecution announced in January 2026, InflaRx carried out significant reductions in GOHIBIC (vilobelimab) commercial spending and relatedfunctions, including personnel-related costs, as well as the termination or modification of certain third-party contracts. InflaRx willkeep GOHIBIC (vilobelimab) available for ordering inside the United States under its Emergency Use Authorization and maintain the abilityto satisfy demand in the United States on a reactive basis.</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Cost of sales expenses increased by €4.0 millionfor the year ended December 31, 2025 compared to the corresponding costs for the year ended December 31, 2024 primarily due to higherinventory write-downs of €4.0 million. As a result of the scaling back and discontinuation of GOHIBIC sales activities in theUnited States, the related inventory has been fully written down.</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Marketing and sales expenses</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Marketing and sales expenses for the twelve monthsended December 31, 2025 decreased by €2.3 million compared to the twelve months ended December 31, 2024. This decrease was primarilydue to lower costs in external services for distribution and marketing expenses.</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Research and development expenses</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Research and development expenses decreased by€9.6 million for the year ended December 31, 2025, compared to the year ended December 31, 2024, primarily due to lower third-partycosts from manufacturing development activities and from clinical trials, which decreased by €7.2 million, and €2.2 millionlower other expenses compared to the previous year.</w:t>
      </w:r>
    </w:p>
    <w:p>
      <w:pPr>
        <w:spacing w:before="0" w:after="0"/>
        <w:ind w:left="120"/>
        <w:jc w:val="left"/>
      </w:pPr>
    </w:p>
    <w:p>
      <w:pPr>
        <w:spacing w:before="0" w:after="0"/>
        <w:ind w:left="120"/>
        <w:jc w:val="both"/>
      </w:pPr>
      <w:r>
        <w:rPr>
          <w:rFonts w:ascii="Times New Roman" w:hAnsi="Times New Roman"/>
          <w:b/>
          <w:i w:val="false"/>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General and administrative expenses</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General and administrative expenses increasedby €0.5 million to €13.5 million for the year ended December 31, 2025, from €13.0 million for the year endedDecember 31, 2024. This increase is comprised of higher legal and consulting fees by €0.6 million and higher personnel expensesby €0.3 million, offset by €0.5 million lower other expenses, associated with insurance expenses.</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Other income</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Other income decreased by €2.6 millionfor the year ended December 31, 2025, compared to the year ended December 31, 2024, due primarily to lower income from government grantsand research allowances. In 2024, upon qualifying for an allowance under the German Research Allowance Act, InflaRx recognized €5.1million in income relating to expenses eligible for reimbursement, which were incurred in the years 2020 to 2024. In 2025, we recognized€2.6 million for the year 2025. We remain eligible for reimbursement of eligible expenses to be incurred from 2026 to 2027.</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p>
    <w:p>
      <w:pPr>
        <w:spacing w:before="0" w:after="0"/>
        <w:ind w:left="120"/>
        <w:jc w:val="left"/>
      </w:pPr>
    </w:p>
    <w:p>
      <w:pPr>
        <w:spacing w:before="0" w:after="0"/>
        <w:ind w:left="120"/>
        <w:jc w:val="center"/>
      </w:pPr>
      <w:r>
        <w:rPr>
          <w:rFonts w:ascii="Times New Roman" w:hAnsi="Times New Roman"/>
          <w:b w:val="false"/>
          <w:i w:val="false"/>
          <w:color w:val="000000"/>
          <w:sz w:val="20"/>
        </w:rPr>
        <w:t>4</w:t>
      </w: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 </w:t>
      </w:r>
      <w:r>
        <w:drawing>
          <wp:inline distT="0" distB="0" distL="0" distR="0">
            <wp:extent cx="1514475" cy="48577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7"/>
                    <a:stretch>
                      <a:fillRect/>
                    </a:stretch>
                  </pic:blipFill>
                  <pic:spPr>
                    <a:xfrm>
                      <a:off x="0" y="0"/>
                      <a:ext cx="1514475" cy="485775"/>
                    </a:xfrm>
                    <a:prstGeom prst="rect">
                      <a:avLst/>
                    </a:prstGeom>
                  </pic:spPr>
                </pic:pic>
              </a:graphicData>
            </a:graphic>
          </wp:inline>
        </w:drawing>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Net financial result</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For the twelve months ended December 31, 2025,net financial result decreased by €4.3 million from a gain of €6.9 million in the twelve months ended December 31,2024. This decrease was mainly attributable to the decrease of the foreign exchange result by €8.5 million due to the weakeningof the U.S. dollar. Financial result decreased by €1.4 million due to lower interest income on marketable securities. This effectwas partially offset by a gain of €5.7 million from the fair value remeasurement of pre-funded warrants issued in February 2025.</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Net loss</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For the years ended December 31, 2025, and 2024,the Company incurred net losses of €45.6 million or €0.68 per ordinary share and €46.1 million or €0.78 per ordinaryshare, respectively.</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Liquidity and capital resources</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As of December 31, 2025, total funds availableamounted to approximately €46.2 million, comprised of €16.0 million in cash and cash equivalents and €30.2 millionin marketable securities.</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Net cash used in operating activities</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Net cash used in operating activities increasedto €35.3 million in the year ended December 31, 2025, from €48.6 million in the year ended December 31, 2024.</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Net cash from investing activities</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Net cash used in investing activities during theyear ended December 31, 2025 amounted to €3.2 million due to lower proceeds from sales of marketable securities. During theprevious year ending on December 31, 2024, the Company had a net cash outflow of €52.4 million due to more cash outflows fromthe purchase of marketable securities than inflows from the proceeds from sales of marketable securities.</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Net cash from financing activities</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Net cash generatedfrom financing activities increased to €33.3 million in the year ended December 31, 2025, from €0.4 million in theyear ended December 31, 2024, primarily due to higher proceeds from the issuance of shares and pre-funded warrants.</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center"/>
      </w:pPr>
      <w:r>
        <w:rPr>
          <w:rFonts w:ascii="Times New Roman" w:hAnsi="Times New Roman"/>
          <w:b w:val="false"/>
          <w:i w:val="false"/>
          <w:color w:val="000000"/>
          <w:sz w:val="20"/>
        </w:rPr>
        <w:t>5</w:t>
      </w: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 </w:t>
      </w:r>
      <w:r>
        <w:drawing>
          <wp:inline distT="0" distB="0" distL="0" distR="0">
            <wp:extent cx="1514475" cy="48577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8"/>
                    <a:stretch>
                      <a:fillRect/>
                    </a:stretch>
                  </pic:blipFill>
                  <pic:spPr>
                    <a:xfrm>
                      <a:off x="0" y="0"/>
                      <a:ext cx="1514475" cy="485775"/>
                    </a:xfrm>
                    <a:prstGeom prst="rect">
                      <a:avLst/>
                    </a:prstGeom>
                  </pic:spPr>
                </pic:pic>
              </a:graphicData>
            </a:graphic>
          </wp:inline>
        </w:drawing>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val="false"/>
          <w:color w:val="000000"/>
          <w:sz w:val="20"/>
          <w:u w:val="single"/>
        </w:rPr>
        <w:t>InflaRx N.V. and subsidiaries</w:t>
      </w:r>
    </w:p>
    <w:p>
      <w:pPr>
        <w:spacing w:before="0" w:after="0"/>
        <w:ind w:left="120"/>
        <w:jc w:val="left"/>
      </w:pPr>
    </w:p>
    <w:p>
      <w:pPr>
        <w:spacing w:before="0" w:after="0"/>
        <w:ind w:left="120"/>
        <w:jc w:val="both"/>
      </w:pPr>
      <w:r>
        <w:rPr>
          <w:rFonts w:ascii="Times New Roman" w:hAnsi="Times New Roman"/>
          <w:b/>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Consolidated statements of operations and comprehensiveloss for the years ended December 31, 2025, 2024 and 2023</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tbl>
      <w:tblPr>
        <w:tblW w:w="0" w:type="auto"/>
        <w:tblCellSpacing w:w="0" w:type="auto"/>
        <w:tblBorders>
          <w:top w:val="none"/>
          <w:left w:val="none"/>
          <w:bottom w:val="none"/>
          <w:right w:val="none"/>
          <w:insideH w:val="none"/>
          <w:insideV w:val="none"/>
        </w:tblBorders>
      </w:tblPr>
      <w:tblGrid>
        <w:gridCol w:w="8546"/>
        <w:gridCol w:w="135"/>
        <w:gridCol w:w="135"/>
        <w:gridCol w:w="1291"/>
        <w:gridCol w:w="135"/>
        <w:gridCol w:w="135"/>
        <w:gridCol w:w="135"/>
        <w:gridCol w:w="1291"/>
        <w:gridCol w:w="135"/>
        <w:gridCol w:w="135"/>
        <w:gridCol w:w="135"/>
        <w:gridCol w:w="1291"/>
        <w:gridCol w:w="135"/>
      </w:tblGrid>
      <w:tr>
        <w:trPr>
          <w:trHeight w:val="255" w:hRule="atLeast"/>
        </w:trPr>
        <w:tc>
          <w:tcPr>
            <w:tcW w:w="8546" w:type="dxa"/>
            <w:tcBorders/>
            <w:tcMar>
              <w:top w:w="15" w:type="dxa"/>
              <w:left w:w="15" w:type="dxa"/>
              <w:bottom w:w="15" w:type="dxa"/>
              <w:right w:w="15" w:type="dxa"/>
            </w:tcMar>
            <w:vAlign w:val="bottom"/>
          </w:tcPr>
          <w:p>
            <w:pPr>
              <w:spacing w:before="0" w:after="0"/>
              <w:ind w:left="0"/>
              <w:jc w:val="center"/>
            </w:pPr>
            <w:r>
              <w:rPr>
                <w:rFonts w:ascii="Times New Roman" w:hAnsi="Times New Roman"/>
                <w:b w:val="false"/>
                <w:i w:val="false"/>
                <w:color w:val="000000"/>
                <w:sz w:val="20"/>
              </w:rPr>
              <w:t> </w:t>
            </w:r>
          </w:p>
        </w:tc>
        <w:tc>
          <w:tcPr>
            <w:tcW w:w="135" w:type="dxa"/>
            <w:tcBorders/>
            <w:tcMar>
              <w:top w:w="15" w:type="dxa"/>
              <w:left w:w="15" w:type="dxa"/>
              <w:bottom w:w="23" w:type="dxa"/>
              <w:right w:w="15" w:type="dxa"/>
            </w:tcMar>
            <w:vAlign w:val="bottom"/>
          </w:tcPr>
          <w:p>
            <w:pPr>
              <w:spacing w:before="0" w:after="0"/>
              <w:ind w:left="0"/>
              <w:jc w:val="center"/>
            </w:pPr>
            <w:r>
              <w:rPr>
                <w:rFonts w:ascii="Times New Roman" w:hAnsi="Times New Roman"/>
                <w:b/>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0"/>
              <w:jc w:val="center"/>
            </w:pPr>
            <w:r>
              <w:rPr>
                <w:rFonts w:ascii="Times New Roman" w:hAnsi="Times New Roman"/>
                <w:b/>
                <w:i w:val="false"/>
                <w:color w:val="000000"/>
                <w:sz w:val="20"/>
              </w:rPr>
              <w:t>2025</w:t>
            </w:r>
          </w:p>
        </w:tc>
        <w:tc>
          <w:tcPr>
            <w:tcW w:w="135" w:type="dxa"/>
            <w:tcBorders/>
            <w:tcMar>
              <w:top w:w="15" w:type="dxa"/>
              <w:left w:w="15" w:type="dxa"/>
              <w:bottom w:w="23" w:type="dxa"/>
              <w:right w:w="15" w:type="dxa"/>
            </w:tcMar>
            <w:vAlign w:val="bottom"/>
          </w:tcPr>
          <w:p>
            <w:pPr>
              <w:spacing w:before="0" w:after="0"/>
              <w:ind w:left="0"/>
              <w:jc w:val="center"/>
            </w:pPr>
            <w:r>
              <w:rPr>
                <w:rFonts w:ascii="Times New Roman" w:hAnsi="Times New Roman"/>
                <w:b/>
                <w:i w:val="false"/>
                <w:color w:val="000000"/>
                <w:sz w:val="20"/>
              </w:rPr>
              <w:t> </w:t>
            </w:r>
          </w:p>
        </w:tc>
        <w:tc>
          <w:tcPr>
            <w:tcW w:w="135" w:type="dxa"/>
            <w:tcBorders/>
            <w:tcMar>
              <w:top w:w="15" w:type="dxa"/>
              <w:left w:w="15" w:type="dxa"/>
              <w:bottom w:w="23" w:type="dxa"/>
              <w:right w:w="15" w:type="dxa"/>
            </w:tcMar>
            <w:vAlign w:val="bottom"/>
          </w:tcPr>
          <w:p>
            <w:pPr>
              <w:spacing w:before="0" w:after="0"/>
              <w:ind w:left="0"/>
              <w:jc w:val="center"/>
            </w:pPr>
            <w:r>
              <w:rPr>
                <w:rFonts w:ascii="Times New Roman" w:hAnsi="Times New Roman"/>
                <w:b/>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0"/>
              <w:jc w:val="center"/>
            </w:pPr>
            <w:r>
              <w:rPr>
                <w:rFonts w:ascii="Times New Roman" w:hAnsi="Times New Roman"/>
                <w:b/>
                <w:i w:val="false"/>
                <w:color w:val="000000"/>
                <w:sz w:val="20"/>
              </w:rPr>
              <w:t>2024</w:t>
            </w:r>
          </w:p>
        </w:tc>
        <w:tc>
          <w:tcPr>
            <w:tcW w:w="135" w:type="dxa"/>
            <w:tcBorders/>
            <w:tcMar>
              <w:top w:w="15" w:type="dxa"/>
              <w:left w:w="15" w:type="dxa"/>
              <w:bottom w:w="23" w:type="dxa"/>
              <w:right w:w="15" w:type="dxa"/>
            </w:tcMar>
            <w:vAlign w:val="bottom"/>
          </w:tcPr>
          <w:p>
            <w:pPr>
              <w:spacing w:before="0" w:after="0"/>
              <w:ind w:left="0"/>
              <w:jc w:val="center"/>
            </w:pPr>
            <w:r>
              <w:rPr>
                <w:rFonts w:ascii="Times New Roman" w:hAnsi="Times New Roman"/>
                <w:b/>
                <w:i w:val="false"/>
                <w:color w:val="000000"/>
                <w:sz w:val="20"/>
              </w:rPr>
              <w:t> </w:t>
            </w:r>
          </w:p>
        </w:tc>
        <w:tc>
          <w:tcPr>
            <w:tcW w:w="135" w:type="dxa"/>
            <w:tcBorders/>
            <w:tcMar>
              <w:top w:w="15" w:type="dxa"/>
              <w:left w:w="15" w:type="dxa"/>
              <w:bottom w:w="23" w:type="dxa"/>
              <w:right w:w="15" w:type="dxa"/>
            </w:tcMar>
            <w:vAlign w:val="bottom"/>
          </w:tcPr>
          <w:p>
            <w:pPr>
              <w:spacing w:before="0" w:after="0"/>
              <w:ind w:left="0"/>
              <w:jc w:val="center"/>
            </w:pPr>
            <w:r>
              <w:rPr>
                <w:rFonts w:ascii="Times New Roman" w:hAnsi="Times New Roman"/>
                <w:b/>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0"/>
              <w:jc w:val="center"/>
            </w:pPr>
            <w:r>
              <w:rPr>
                <w:rFonts w:ascii="Times New Roman" w:hAnsi="Times New Roman"/>
                <w:b/>
                <w:i w:val="false"/>
                <w:color w:val="000000"/>
                <w:sz w:val="20"/>
              </w:rPr>
              <w:t>2023</w:t>
            </w:r>
          </w:p>
        </w:tc>
        <w:tc>
          <w:tcPr>
            <w:tcW w:w="135" w:type="dxa"/>
            <w:tcBorders/>
            <w:tcMar>
              <w:top w:w="15" w:type="dxa"/>
              <w:left w:w="15" w:type="dxa"/>
              <w:bottom w:w="23" w:type="dxa"/>
              <w:right w:w="15" w:type="dxa"/>
            </w:tcMar>
            <w:vAlign w:val="bottom"/>
          </w:tcPr>
          <w:p>
            <w:pPr>
              <w:spacing w:before="0" w:after="0"/>
              <w:ind w:left="0"/>
              <w:jc w:val="center"/>
            </w:pPr>
            <w:r>
              <w:rPr>
                <w:rFonts w:ascii="Times New Roman" w:hAnsi="Times New Roman"/>
                <w:b/>
                <w:i w:val="false"/>
                <w:color w:val="000000"/>
                <w:sz w:val="20"/>
              </w:rPr>
              <w:t> </w:t>
            </w:r>
          </w:p>
        </w:tc>
      </w:tr>
      <w:tr>
        <w:trPr>
          <w:trHeight w:val="240" w:hRule="atLeast"/>
        </w:trPr>
        <w:tc>
          <w:tcPr>
            <w:tcW w:w="8546" w:type="dxa"/>
            <w:tcBorders/>
            <w:tcMar>
              <w:top w:w="15" w:type="dxa"/>
              <w:left w:w="15" w:type="dxa"/>
              <w:bottom w:w="15" w:type="dxa"/>
              <w:right w:w="15" w:type="dxa"/>
            </w:tcMar>
            <w:vAlign w:val="bottom"/>
          </w:tcPr>
          <w:p>
            <w:pPr>
              <w:spacing w:before="0" w:after="0"/>
              <w:ind w:left="0"/>
              <w:jc w:val="center"/>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center"/>
            </w:pPr>
            <w:r>
              <w:rPr>
                <w:rFonts w:ascii="Times New Roman" w:hAnsi="Times New Roman"/>
                <w:b/>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0"/>
              <w:jc w:val="center"/>
            </w:pPr>
            <w:r>
              <w:rPr>
                <w:rFonts w:ascii="Times New Roman" w:hAnsi="Times New Roman"/>
                <w:b/>
                <w:i w:val="false"/>
                <w:color w:val="000000"/>
                <w:sz w:val="20"/>
              </w:rPr>
              <w:t>(in €, except for share data)</w:t>
            </w:r>
          </w:p>
        </w:tc>
        <w:tc>
          <w:tcPr>
            <w:tcW w:w="135" w:type="dxa"/>
            <w:tcBorders/>
            <w:tcMar>
              <w:top w:w="15" w:type="dxa"/>
              <w:left w:w="15" w:type="dxa"/>
              <w:bottom w:w="15" w:type="dxa"/>
              <w:right w:w="15" w:type="dxa"/>
            </w:tcMar>
            <w:vAlign w:val="bottom"/>
          </w:tcPr>
          <w:p>
            <w:pPr>
              <w:spacing w:before="0" w:after="0"/>
              <w:ind w:left="0"/>
              <w:jc w:val="center"/>
            </w:pPr>
            <w:r>
              <w:rPr>
                <w:rFonts w:ascii="Times New Roman" w:hAnsi="Times New Roman"/>
                <w:b/>
                <w:i w:val="false"/>
                <w:color w:val="000000"/>
                <w:sz w:val="20"/>
              </w:rPr>
              <w:t> </w:t>
            </w:r>
          </w:p>
        </w:tc>
      </w:tr>
      <w:tr>
        <w:trPr>
          <w:trHeight w:val="210" w:hRule="atLeast"/>
        </w:trPr>
        <w:tc>
          <w:tcPr>
            <w:tcW w:w="854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4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Revenues</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29,331</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165,789</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63,089</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546"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Cost of sales</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(7,267,618</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(3,317,039</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(532,262</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55" w:hRule="atLeast"/>
        </w:trPr>
        <w:tc>
          <w:tcPr>
            <w:tcW w:w="8546"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Gross profit</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(7,238,287</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(3,151,250</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(469,173</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r>
      <w:tr>
        <w:trPr>
          <w:trHeight w:val="225" w:hRule="atLeast"/>
        </w:trPr>
        <w:tc>
          <w:tcPr>
            <w:tcW w:w="854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Marketing and sales expenses</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(4,482,011</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(6,756,595</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(4,001,299</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10" w:hRule="atLeast"/>
        </w:trPr>
        <w:tc>
          <w:tcPr>
            <w:tcW w:w="854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Research and development expenses</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(25,720,788</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(35,363,897</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(41,024,131</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10" w:hRule="atLeast"/>
        </w:trPr>
        <w:tc>
          <w:tcPr>
            <w:tcW w:w="854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General and administrative expenses</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(13,475,085</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(13,024,441</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(12,628,756</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10" w:hRule="atLeast"/>
        </w:trPr>
        <w:tc>
          <w:tcPr>
            <w:tcW w:w="854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Other income</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2,671,380</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5,287,616</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13,219,704</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546"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Other expenses</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(14,629</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(297</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(4,440</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55" w:hRule="atLeast"/>
        </w:trPr>
        <w:tc>
          <w:tcPr>
            <w:tcW w:w="8546"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Operating result</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(48,259,420</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(53,008,864</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(44,908,096</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r>
      <w:tr>
        <w:trPr>
          <w:trHeight w:val="225" w:hRule="atLeast"/>
        </w:trPr>
        <w:tc>
          <w:tcPr>
            <w:tcW w:w="854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Finance income</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1,845,428</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3,196,813</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3,804,827</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4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Finance expenses</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(39,239</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(20,655</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(35,628</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10" w:hRule="atLeast"/>
        </w:trPr>
        <w:tc>
          <w:tcPr>
            <w:tcW w:w="854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Foreign exchange result</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(4,852,203</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3,670,235</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(1,841,872</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40" w:hRule="atLeast"/>
        </w:trPr>
        <w:tc>
          <w:tcPr>
            <w:tcW w:w="8546"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Other financial result</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5,683,935</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103,285</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313,240</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546"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Income taxes</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(12,282</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(5,217</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r>
      <w:tr>
        <w:trPr>
          <w:trHeight w:val="255" w:hRule="atLeast"/>
        </w:trPr>
        <w:tc>
          <w:tcPr>
            <w:tcW w:w="8546"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Loss for the period</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(45,633,780</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(46,064,402</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(42,667,529</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r>
      <w:tr>
        <w:trPr>
          <w:trHeight w:val="435" w:hRule="atLeast"/>
        </w:trPr>
        <w:tc>
          <w:tcPr>
            <w:tcW w:w="8546"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 xml:space="preserve">Other comprehensive income (loss) that may be </w:t>
            </w:r>
            <w:r>
              <w:br/>
            </w:r>
            <w:r>
              <w:rPr>
                <w:rFonts w:ascii="Times New Roman" w:hAnsi="Times New Roman"/>
                <w:b w:val="false"/>
                <w:i w:val="false"/>
                <w:color w:val="000000"/>
                <w:sz w:val="20"/>
              </w:rPr>
              <w:t xml:space="preserve"> reclassified to profit or loss in subsequent periods:</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546"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Exchange differences on translation of foreign currency</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(269,131</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58,344</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125,085</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8546"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TOTAL COMPREHENSIVE LOSS</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(45,902,911</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(46,006,058</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5"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(42,542,444</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r>
      <w:tr>
        <w:trPr>
          <w:trHeight w:val="225" w:hRule="atLeast"/>
        </w:trPr>
        <w:tc>
          <w:tcPr>
            <w:tcW w:w="854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8546" w:type="dxa"/>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Share information</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4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Weighted average number of shares outstanding</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67,288,321</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58,919,958</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54,940,137</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546"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Loss per share (basic/diluted)</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(0.68</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(0.78</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(0.78</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bl>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center"/>
      </w:pPr>
      <w:r>
        <w:rPr>
          <w:rFonts w:ascii="Times New Roman" w:hAnsi="Times New Roman"/>
          <w:b w:val="false"/>
          <w:i w:val="false"/>
          <w:color w:val="000000"/>
          <w:sz w:val="20"/>
        </w:rPr>
        <w:t>6</w:t>
      </w: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left"/>
      </w:pPr>
      <w:r>
        <w:rPr>
          <w:rFonts w:ascii="Times New Roman" w:hAnsi="Times New Roman"/>
          <w:b w:val="false"/>
          <w:i w:val="false"/>
          <w:color w:val="000000"/>
          <w:sz w:val="20"/>
        </w:rPr>
        <w:t> </w:t>
      </w:r>
      <w:r>
        <w:drawing>
          <wp:inline distT="0" distB="0" distL="0" distR="0">
            <wp:extent cx="1514475" cy="48577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9"/>
                    <a:stretch>
                      <a:fillRect/>
                    </a:stretch>
                  </pic:blipFill>
                  <pic:spPr>
                    <a:xfrm>
                      <a:off x="0" y="0"/>
                      <a:ext cx="1514475" cy="485775"/>
                    </a:xfrm>
                    <a:prstGeom prst="rect">
                      <a:avLst/>
                    </a:prstGeom>
                  </pic:spPr>
                </pic:pic>
              </a:graphicData>
            </a:graphic>
          </wp:inline>
        </w:drawing>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val="false"/>
          <w:color w:val="000000"/>
          <w:sz w:val="20"/>
          <w:u w:val="single"/>
        </w:rPr>
        <w:t xml:space="preserve">InflaRxN.V. </w:t>
      </w:r>
      <w:r>
        <w:rPr>
          <w:rFonts w:ascii="Times New Roman" w:hAnsi="Times New Roman"/>
          <w:b/>
          <w:i w:val="false"/>
          <w:color w:val="000000"/>
          <w:sz w:val="20"/>
          <w:u w:val="single"/>
        </w:rPr>
        <w:t>and subsidiaries</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left"/>
      </w:pPr>
      <w:r>
        <w:rPr>
          <w:rFonts w:ascii="Times New Roman" w:hAnsi="Times New Roman"/>
          <w:b/>
          <w:i w:val="false"/>
          <w:color w:val="000000"/>
          <w:sz w:val="20"/>
        </w:rPr>
        <w:t>Unaudited condensed consolidated statementsof financial position as of December 31, 2025 and December 31, 2024</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tbl>
      <w:tblPr>
        <w:tblW w:w="0" w:type="auto"/>
        <w:tblCellSpacing w:w="0" w:type="auto"/>
        <w:tblBorders>
          <w:top w:val="none"/>
          <w:left w:val="none"/>
          <w:bottom w:val="none"/>
          <w:right w:val="none"/>
          <w:insideH w:val="none"/>
          <w:insideV w:val="none"/>
        </w:tblBorders>
      </w:tblPr>
      <w:tblGrid>
        <w:gridCol w:w="9982"/>
        <w:gridCol w:w="134"/>
        <w:gridCol w:w="134"/>
        <w:gridCol w:w="1424"/>
        <w:gridCol w:w="134"/>
        <w:gridCol w:w="134"/>
        <w:gridCol w:w="134"/>
        <w:gridCol w:w="1424"/>
        <w:gridCol w:w="134"/>
      </w:tblGrid>
      <w:tr>
        <w:trPr>
          <w:trHeight w:val="465" w:hRule="atLeast"/>
        </w:trPr>
        <w:tc>
          <w:tcPr>
            <w:tcW w:w="9982" w:type="dxa"/>
            <w:tcBorders/>
            <w:tcMar>
              <w:top w:w="15" w:type="dxa"/>
              <w:left w:w="15" w:type="dxa"/>
              <w:bottom w:w="15" w:type="dxa"/>
              <w:right w:w="15" w:type="dxa"/>
            </w:tcMar>
            <w:vAlign w:val="bottom"/>
          </w:tcPr>
          <w:p>
            <w:pPr>
              <w:spacing w:before="0" w:after="0"/>
              <w:ind w:left="0"/>
              <w:jc w:val="center"/>
            </w:pPr>
            <w:r>
              <w:rPr>
                <w:rFonts w:ascii="Times New Roman" w:hAnsi="Times New Roman"/>
                <w:b w:val="false"/>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center"/>
            </w:pPr>
            <w:r>
              <w:rPr>
                <w:rFonts w:ascii="Times New Roman" w:hAnsi="Times New Roman"/>
                <w:b/>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0"/>
              <w:jc w:val="center"/>
            </w:pPr>
            <w:r>
              <w:rPr>
                <w:rFonts w:ascii="Times New Roman" w:hAnsi="Times New Roman"/>
                <w:b/>
                <w:i w:val="false"/>
                <w:color w:val="000000"/>
                <w:sz w:val="20"/>
              </w:rPr>
              <w:t>December 31,</w:t>
            </w:r>
            <w:r>
              <w:br/>
            </w:r>
            <w:r>
              <w:rPr>
                <w:rFonts w:ascii="Times New Roman" w:hAnsi="Times New Roman"/>
                <w:b/>
                <w:i w:val="false"/>
                <w:color w:val="000000"/>
                <w:sz w:val="20"/>
              </w:rPr>
              <w:t xml:space="preserve"> 2025</w:t>
            </w:r>
          </w:p>
        </w:tc>
        <w:tc>
          <w:tcPr>
            <w:tcW w:w="134" w:type="dxa"/>
            <w:tcBorders/>
            <w:tcMar>
              <w:top w:w="15" w:type="dxa"/>
              <w:left w:w="15" w:type="dxa"/>
              <w:bottom w:w="23" w:type="dxa"/>
              <w:right w:w="15" w:type="dxa"/>
            </w:tcMar>
            <w:vAlign w:val="bottom"/>
          </w:tcPr>
          <w:p>
            <w:pPr>
              <w:spacing w:before="0" w:after="0"/>
              <w:ind w:left="0"/>
              <w:jc w:val="center"/>
            </w:pPr>
            <w:r>
              <w:rPr>
                <w:rFonts w:ascii="Times New Roman" w:hAnsi="Times New Roman"/>
                <w:b/>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center"/>
            </w:pPr>
            <w:r>
              <w:rPr>
                <w:rFonts w:ascii="Times New Roman" w:hAnsi="Times New Roman"/>
                <w:b/>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0"/>
              <w:jc w:val="center"/>
            </w:pPr>
            <w:r>
              <w:rPr>
                <w:rFonts w:ascii="Times New Roman" w:hAnsi="Times New Roman"/>
                <w:b/>
                <w:i w:val="false"/>
                <w:color w:val="000000"/>
                <w:sz w:val="20"/>
              </w:rPr>
              <w:t>December 31,</w:t>
            </w:r>
            <w:r>
              <w:br/>
            </w:r>
            <w:r>
              <w:rPr>
                <w:rFonts w:ascii="Times New Roman" w:hAnsi="Times New Roman"/>
                <w:b/>
                <w:i w:val="false"/>
                <w:color w:val="000000"/>
                <w:sz w:val="20"/>
              </w:rPr>
              <w:t xml:space="preserve"> 2024</w:t>
            </w:r>
          </w:p>
        </w:tc>
        <w:tc>
          <w:tcPr>
            <w:tcW w:w="134" w:type="dxa"/>
            <w:tcBorders/>
            <w:tcMar>
              <w:top w:w="15" w:type="dxa"/>
              <w:left w:w="15" w:type="dxa"/>
              <w:bottom w:w="23" w:type="dxa"/>
              <w:right w:w="15" w:type="dxa"/>
            </w:tcMar>
            <w:vAlign w:val="bottom"/>
          </w:tcPr>
          <w:p>
            <w:pPr>
              <w:spacing w:before="0" w:after="0"/>
              <w:ind w:left="0"/>
              <w:jc w:val="center"/>
            </w:pPr>
            <w:r>
              <w:rPr>
                <w:rFonts w:ascii="Times New Roman" w:hAnsi="Times New Roman"/>
                <w:b/>
                <w:i w:val="false"/>
                <w:color w:val="000000"/>
                <w:sz w:val="20"/>
              </w:rPr>
              <w:t> </w:t>
            </w:r>
          </w:p>
        </w:tc>
      </w:tr>
      <w:tr>
        <w:trPr>
          <w:trHeight w:val="240" w:hRule="atLeast"/>
        </w:trPr>
        <w:tc>
          <w:tcPr>
            <w:tcW w:w="9982" w:type="dxa"/>
            <w:tcBorders/>
            <w:tcMar>
              <w:top w:w="15" w:type="dxa"/>
              <w:left w:w="15" w:type="dxa"/>
              <w:bottom w:w="15" w:type="dxa"/>
              <w:right w:w="15" w:type="dxa"/>
            </w:tcMar>
            <w:vAlign w:val="bottom"/>
          </w:tcP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0" w:type="auto"/>
            <w:gridSpan w:val="6"/>
            <w:tcBorders/>
            <w:tcMar>
              <w:top w:w="15" w:type="dxa"/>
              <w:left w:w="15" w:type="dxa"/>
              <w:bottom w:w="15" w:type="dxa"/>
              <w:right w:w="15" w:type="dxa"/>
            </w:tcMar>
            <w:vAlign w:val="bottom"/>
          </w:tcPr>
          <w:p>
            <w:pPr>
              <w:spacing w:before="0" w:after="0"/>
              <w:ind w:left="0"/>
              <w:jc w:val="center"/>
            </w:pPr>
            <w:r>
              <w:rPr>
                <w:rFonts w:ascii="Times New Roman" w:hAnsi="Times New Roman"/>
                <w:b/>
                <w:i w:val="false"/>
                <w:color w:val="000000"/>
                <w:sz w:val="20"/>
              </w:rPr>
              <w:t>(in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r>
      <w:tr>
        <w:trPr>
          <w:trHeight w:val="225"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ASSETS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Non-current assets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Property and equipment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289,317</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256,280</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Right-of-use assets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861,667</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758,368</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Intangible assets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42,255</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50,781</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Other assets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151,198</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204,233</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9982"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Financial assets</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237,373</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3,092,290</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9982"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Total non-current assets</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1,581,810</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4,361,952</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r>
      <w:tr>
        <w:trPr>
          <w:trHeight w:val="225"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Current assets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Inventories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6,897,666</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Current other assets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3,261,038</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5,103,402</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Other assets from government grants and research allowance</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2,487,763</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5,081,772</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Tax receivable</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1,428,428</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1,735,335</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Financial assets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30,435,088</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34,462,352</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9982"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Cash and cash equivalents</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16,022,171</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18,375,979</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9982"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Total current assets</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53,634,487</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71,656,505</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r>
      <w:tr>
        <w:trPr>
          <w:trHeight w:val="300" w:hRule="atLeast"/>
        </w:trPr>
        <w:tc>
          <w:tcPr>
            <w:tcW w:w="9982" w:type="dxa"/>
            <w:tcBorders/>
            <w:tcMar>
              <w:top w:w="15" w:type="dxa"/>
              <w:left w:w="15" w:type="dxa"/>
              <w:bottom w:w="60" w:type="dxa"/>
              <w:right w:w="15" w:type="dxa"/>
            </w:tcMar>
            <w:vAlign w:val="bottom"/>
          </w:tcPr>
          <w:p>
            <w:pPr>
              <w:spacing w:before="0" w:after="0"/>
              <w:ind w:left="0"/>
              <w:jc w:val="left"/>
            </w:pPr>
            <w:r>
              <w:rPr>
                <w:rFonts w:ascii="Times New Roman" w:hAnsi="Times New Roman"/>
                <w:b/>
                <w:i w:val="false"/>
                <w:color w:val="000000"/>
                <w:sz w:val="20"/>
              </w:rPr>
              <w:t>TOTAL ASSETS</w:t>
            </w:r>
          </w:p>
        </w:tc>
        <w:tc>
          <w:tcPr>
            <w:tcW w:w="134" w:type="dxa"/>
            <w:tcBorders/>
            <w:tcMar>
              <w:top w:w="15" w:type="dxa"/>
              <w:left w:w="15" w:type="dxa"/>
              <w:bottom w:w="60"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double" w:color="000000" w:sz="14"/>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double" w:color="000000" w:sz="14"/>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55,216,297</w:t>
            </w:r>
          </w:p>
        </w:tc>
        <w:tc>
          <w:tcPr>
            <w:tcW w:w="134" w:type="dxa"/>
            <w:tcBorders/>
            <w:tcMar>
              <w:top w:w="15" w:type="dxa"/>
              <w:left w:w="15" w:type="dxa"/>
              <w:bottom w:w="60"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tcMar>
              <w:top w:w="15" w:type="dxa"/>
              <w:left w:w="15" w:type="dxa"/>
              <w:bottom w:w="60"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double" w:color="000000" w:sz="14"/>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double" w:color="000000" w:sz="14"/>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76,018,457</w:t>
            </w:r>
          </w:p>
        </w:tc>
        <w:tc>
          <w:tcPr>
            <w:tcW w:w="134" w:type="dxa"/>
            <w:tcBorders/>
            <w:tcMar>
              <w:top w:w="15" w:type="dxa"/>
              <w:left w:w="15" w:type="dxa"/>
              <w:bottom w:w="60" w:type="dxa"/>
              <w:right w:w="15" w:type="dxa"/>
            </w:tcMar>
            <w:vAlign w:val="bottom"/>
          </w:tcPr>
          <w:p>
            <w:pPr>
              <w:spacing w:before="0" w:after="0"/>
              <w:ind w:left="0"/>
              <w:jc w:val="left"/>
            </w:pPr>
            <w:r>
              <w:rPr>
                <w:rFonts w:ascii="Times New Roman" w:hAnsi="Times New Roman"/>
                <w:b/>
                <w:i w:val="false"/>
                <w:color w:val="000000"/>
                <w:sz w:val="20"/>
              </w:rPr>
              <w:t> </w:t>
            </w:r>
          </w:p>
        </w:tc>
      </w:tr>
      <w:tr>
        <w:trPr>
          <w:trHeight w:val="255"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EQUITY AND LIABILITIES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25"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Equity</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Issued capital</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8,675,143</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7,122,205</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Share premium</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354,975,760</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334,929,685</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Other capital reserves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48,560,500</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44,115,861</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Accumulated deficit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(377,826,001</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(332,192,221</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40" w:hRule="atLeast"/>
        </w:trPr>
        <w:tc>
          <w:tcPr>
            <w:tcW w:w="9982"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Other components of equity</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7,171,379</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7,440,510</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9982"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Total equity</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41,556,781</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61,416,039</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r>
      <w:tr>
        <w:trPr>
          <w:trHeight w:val="225"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Non-current liabilities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Lease liabilities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640,973</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399,066</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9982"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Other liabilities</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36,877</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36,877</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9982"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Total non-current liabilities</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677,850</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435,943</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r>
      <w:tr>
        <w:trPr>
          <w:trHeight w:val="225"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Current liabilities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Trade and other payables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5,399,383</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11,394,232</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Lease liabilities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256,943</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406,020</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Employee benefits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1,164,259</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2,064,678</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98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Liabilities to warrant holders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5,802,128</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9982"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Other liabilities</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358,954</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301,544</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9982"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Total current liabilities</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12,981,666</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14,166,475</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r>
      <w:tr>
        <w:trPr>
          <w:trHeight w:val="255" w:hRule="atLeast"/>
        </w:trPr>
        <w:tc>
          <w:tcPr>
            <w:tcW w:w="9982"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Total liabilities</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13,659,516</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14,602,417</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r>
      <w:tr>
        <w:trPr>
          <w:trHeight w:val="300" w:hRule="atLeast"/>
        </w:trPr>
        <w:tc>
          <w:tcPr>
            <w:tcW w:w="9982" w:type="dxa"/>
            <w:tcBorders/>
            <w:tcMar>
              <w:top w:w="15" w:type="dxa"/>
              <w:left w:w="15" w:type="dxa"/>
              <w:bottom w:w="60" w:type="dxa"/>
              <w:right w:w="15" w:type="dxa"/>
            </w:tcMar>
            <w:vAlign w:val="bottom"/>
          </w:tcPr>
          <w:p>
            <w:pPr>
              <w:spacing w:before="0" w:after="0"/>
              <w:ind w:left="0"/>
              <w:jc w:val="left"/>
            </w:pPr>
            <w:r>
              <w:rPr>
                <w:rFonts w:ascii="Times New Roman" w:hAnsi="Times New Roman"/>
                <w:b/>
                <w:i w:val="false"/>
                <w:color w:val="000000"/>
                <w:sz w:val="20"/>
              </w:rPr>
              <w:t>TOTAL EQUITY AND LIABILITIES</w:t>
            </w:r>
          </w:p>
        </w:tc>
        <w:tc>
          <w:tcPr>
            <w:tcW w:w="134" w:type="dxa"/>
            <w:tcBorders/>
            <w:tcMar>
              <w:top w:w="15" w:type="dxa"/>
              <w:left w:w="15" w:type="dxa"/>
              <w:bottom w:w="60"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double" w:color="000000" w:sz="14"/>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double" w:color="000000" w:sz="14"/>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55,216,297</w:t>
            </w:r>
          </w:p>
        </w:tc>
        <w:tc>
          <w:tcPr>
            <w:tcW w:w="134" w:type="dxa"/>
            <w:tcBorders/>
            <w:tcMar>
              <w:top w:w="15" w:type="dxa"/>
              <w:left w:w="15" w:type="dxa"/>
              <w:bottom w:w="60"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tcMar>
              <w:top w:w="15" w:type="dxa"/>
              <w:left w:w="15" w:type="dxa"/>
              <w:bottom w:w="60"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double" w:color="000000" w:sz="14"/>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double" w:color="000000" w:sz="14"/>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76,018,457</w:t>
            </w:r>
          </w:p>
        </w:tc>
        <w:tc>
          <w:tcPr>
            <w:tcW w:w="134" w:type="dxa"/>
            <w:tcBorders/>
            <w:tcMar>
              <w:top w:w="15" w:type="dxa"/>
              <w:left w:w="15" w:type="dxa"/>
              <w:bottom w:w="60" w:type="dxa"/>
              <w:right w:w="15" w:type="dxa"/>
            </w:tcMar>
            <w:vAlign w:val="bottom"/>
          </w:tcPr>
          <w:p>
            <w:pPr>
              <w:spacing w:before="0" w:after="0"/>
              <w:ind w:left="0"/>
              <w:jc w:val="left"/>
            </w:pPr>
            <w:r>
              <w:rPr>
                <w:rFonts w:ascii="Times New Roman" w:hAnsi="Times New Roman"/>
                <w:b/>
                <w:i w:val="false"/>
                <w:color w:val="000000"/>
                <w:sz w:val="20"/>
              </w:rPr>
              <w:t> </w:t>
            </w:r>
          </w:p>
        </w:tc>
      </w:tr>
    </w:tbl>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p>
    <w:p>
      <w:pPr>
        <w:spacing w:before="0" w:after="0"/>
        <w:ind w:left="120"/>
        <w:jc w:val="left"/>
      </w:pPr>
    </w:p>
    <w:p>
      <w:pPr>
        <w:spacing w:before="0" w:after="0"/>
        <w:ind w:left="120"/>
        <w:jc w:val="center"/>
      </w:pPr>
      <w:r>
        <w:rPr>
          <w:rFonts w:ascii="Times New Roman" w:hAnsi="Times New Roman"/>
          <w:b w:val="false"/>
          <w:i w:val="false"/>
          <w:color w:val="000000"/>
          <w:sz w:val="20"/>
        </w:rPr>
        <w:t>7</w:t>
      </w: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 </w:t>
      </w:r>
      <w:r>
        <w:drawing>
          <wp:inline distT="0" distB="0" distL="0" distR="0">
            <wp:extent cx="1514475" cy="48577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0"/>
                    <a:stretch>
                      <a:fillRect/>
                    </a:stretch>
                  </pic:blipFill>
                  <pic:spPr>
                    <a:xfrm>
                      <a:off x="0" y="0"/>
                      <a:ext cx="1514475" cy="485775"/>
                    </a:xfrm>
                    <a:prstGeom prst="rect">
                      <a:avLst/>
                    </a:prstGeom>
                  </pic:spPr>
                </pic:pic>
              </a:graphicData>
            </a:graphic>
          </wp:inline>
        </w:drawing>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val="false"/>
          <w:color w:val="000000"/>
          <w:sz w:val="20"/>
          <w:u w:val="single"/>
        </w:rPr>
        <w:t>InflaRx N.V. and subsidiaries</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left"/>
      </w:pPr>
      <w:r>
        <w:rPr>
          <w:rFonts w:ascii="Times New Roman" w:hAnsi="Times New Roman"/>
          <w:b/>
          <w:i w:val="false"/>
          <w:color w:val="000000"/>
          <w:sz w:val="20"/>
        </w:rPr>
        <w:t>Unaudited condensed consolidated statementsof changes in shareholders’ equity</w:t>
      </w:r>
      <w:r>
        <w:br/>
      </w:r>
      <w:r>
        <w:rPr>
          <w:rFonts w:ascii="Times New Roman" w:hAnsi="Times New Roman"/>
          <w:b/>
          <w:i w:val="false"/>
          <w:color w:val="000000"/>
          <w:sz w:val="20"/>
        </w:rPr>
        <w:t xml:space="preserve"> for the twelve months ended December 31, 2025, 2024 and 2023</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tbl>
      <w:tblPr>
        <w:tblW w:w="0" w:type="auto"/>
        <w:tblCellSpacing w:w="0" w:type="auto"/>
        <w:tblBorders>
          <w:top w:val="none"/>
          <w:left w:val="none"/>
          <w:bottom w:val="none"/>
          <w:right w:val="none"/>
          <w:insideH w:val="none"/>
          <w:insideV w:val="none"/>
        </w:tblBorders>
      </w:tblPr>
      <w:tblGrid>
        <w:gridCol w:w="4008"/>
        <w:gridCol w:w="109"/>
        <w:gridCol w:w="109"/>
        <w:gridCol w:w="1068"/>
        <w:gridCol w:w="109"/>
        <w:gridCol w:w="109"/>
        <w:gridCol w:w="109"/>
        <w:gridCol w:w="1335"/>
        <w:gridCol w:w="118"/>
        <w:gridCol w:w="109"/>
        <w:gridCol w:w="109"/>
        <w:gridCol w:w="1202"/>
        <w:gridCol w:w="109"/>
        <w:gridCol w:w="109"/>
        <w:gridCol w:w="118"/>
        <w:gridCol w:w="1424"/>
        <w:gridCol w:w="118"/>
        <w:gridCol w:w="109"/>
        <w:gridCol w:w="170"/>
        <w:gridCol w:w="1194"/>
        <w:gridCol w:w="118"/>
        <w:gridCol w:w="109"/>
        <w:gridCol w:w="109"/>
        <w:gridCol w:w="1335"/>
        <w:gridCol w:w="118"/>
      </w:tblGrid>
      <w:tr>
        <w:trPr>
          <w:trHeight w:val="930" w:hRule="atLeast"/>
        </w:trPr>
        <w:tc>
          <w:tcPr>
            <w:tcW w:w="400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in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0"/>
              <w:jc w:val="center"/>
            </w:pPr>
            <w:r>
              <w:rPr>
                <w:rFonts w:ascii="Times New Roman" w:hAnsi="Times New Roman"/>
                <w:b/>
                <w:i w:val="false"/>
                <w:color w:val="000000"/>
                <w:sz w:val="20"/>
              </w:rPr>
              <w:t>Issued</w:t>
            </w:r>
            <w:r>
              <w:br/>
            </w:r>
            <w:r>
              <w:rPr>
                <w:rFonts w:ascii="Times New Roman" w:hAnsi="Times New Roman"/>
                <w:b/>
                <w:i w:val="false"/>
                <w:color w:val="000000"/>
                <w:sz w:val="20"/>
              </w:rPr>
              <w:t xml:space="preserve"> capital</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0"/>
              <w:jc w:val="center"/>
            </w:pPr>
            <w:r>
              <w:rPr>
                <w:rFonts w:ascii="Times New Roman" w:hAnsi="Times New Roman"/>
                <w:b/>
                <w:i w:val="false"/>
                <w:color w:val="000000"/>
                <w:sz w:val="20"/>
              </w:rPr>
              <w:t>Share</w:t>
            </w:r>
            <w:r>
              <w:br/>
            </w:r>
            <w:r>
              <w:rPr>
                <w:rFonts w:ascii="Times New Roman" w:hAnsi="Times New Roman"/>
                <w:b/>
                <w:i w:val="false"/>
                <w:color w:val="000000"/>
                <w:sz w:val="20"/>
              </w:rPr>
              <w:t xml:space="preserve"> premium</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0"/>
              <w:jc w:val="center"/>
            </w:pPr>
            <w:r>
              <w:rPr>
                <w:rFonts w:ascii="Times New Roman" w:hAnsi="Times New Roman"/>
                <w:b/>
                <w:i w:val="false"/>
                <w:color w:val="000000"/>
                <w:sz w:val="20"/>
              </w:rPr>
              <w:t>Other</w:t>
            </w:r>
            <w:r>
              <w:br/>
            </w:r>
            <w:r>
              <w:rPr>
                <w:rFonts w:ascii="Times New Roman" w:hAnsi="Times New Roman"/>
                <w:b/>
                <w:i w:val="false"/>
                <w:color w:val="000000"/>
                <w:sz w:val="20"/>
              </w:rPr>
              <w:t xml:space="preserve"> capital</w:t>
            </w:r>
            <w:r>
              <w:br/>
            </w:r>
            <w:r>
              <w:rPr>
                <w:rFonts w:ascii="Times New Roman" w:hAnsi="Times New Roman"/>
                <w:b/>
                <w:i w:val="false"/>
                <w:color w:val="000000"/>
                <w:sz w:val="20"/>
              </w:rPr>
              <w:t xml:space="preserve"> reserves</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0"/>
              <w:jc w:val="center"/>
            </w:pPr>
            <w:r>
              <w:rPr>
                <w:rFonts w:ascii="Times New Roman" w:hAnsi="Times New Roman"/>
                <w:b/>
                <w:i w:val="false"/>
                <w:color w:val="000000"/>
                <w:sz w:val="20"/>
              </w:rPr>
              <w:t>Accumulated</w:t>
            </w:r>
            <w:r>
              <w:br/>
            </w:r>
            <w:r>
              <w:rPr>
                <w:rFonts w:ascii="Times New Roman" w:hAnsi="Times New Roman"/>
                <w:b/>
                <w:i w:val="false"/>
                <w:color w:val="000000"/>
                <w:sz w:val="20"/>
              </w:rPr>
              <w:t xml:space="preserve"> deficit</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0"/>
              <w:jc w:val="center"/>
            </w:pPr>
            <w:r>
              <w:rPr>
                <w:rFonts w:ascii="Times New Roman" w:hAnsi="Times New Roman"/>
                <w:b/>
                <w:i w:val="false"/>
                <w:color w:val="000000"/>
                <w:sz w:val="20"/>
              </w:rPr>
              <w:t>Other</w:t>
            </w:r>
            <w:r>
              <w:br/>
            </w:r>
            <w:r>
              <w:rPr>
                <w:rFonts w:ascii="Times New Roman" w:hAnsi="Times New Roman"/>
                <w:b/>
                <w:i w:val="false"/>
                <w:color w:val="000000"/>
                <w:sz w:val="20"/>
              </w:rPr>
              <w:t xml:space="preserve"> components</w:t>
            </w:r>
            <w:r>
              <w:br/>
            </w:r>
            <w:r>
              <w:rPr>
                <w:rFonts w:ascii="Times New Roman" w:hAnsi="Times New Roman"/>
                <w:b/>
                <w:i w:val="false"/>
                <w:color w:val="000000"/>
                <w:sz w:val="20"/>
              </w:rPr>
              <w:t xml:space="preserve"> of equity</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0"/>
              <w:jc w:val="center"/>
            </w:pPr>
            <w:r>
              <w:rPr>
                <w:rFonts w:ascii="Times New Roman" w:hAnsi="Times New Roman"/>
                <w:b/>
                <w:i w:val="false"/>
                <w:color w:val="000000"/>
                <w:sz w:val="20"/>
              </w:rPr>
              <w:t>Total</w:t>
            </w:r>
            <w:r>
              <w:br/>
            </w:r>
            <w:r>
              <w:rPr>
                <w:rFonts w:ascii="Times New Roman" w:hAnsi="Times New Roman"/>
                <w:b/>
                <w:i w:val="false"/>
                <w:color w:val="000000"/>
                <w:sz w:val="20"/>
              </w:rPr>
              <w:t xml:space="preserve"> equity</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r>
      <w:tr>
        <w:trPr>
          <w:trHeight w:val="225" w:hRule="atLeast"/>
        </w:trPr>
        <w:tc>
          <w:tcPr>
            <w:tcW w:w="400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center"/>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center"/>
            </w:pPr>
            <w:r>
              <w:rPr>
                <w:rFonts w:ascii="Times New Roman" w:hAnsi="Times New Roman"/>
                <w:b w:val="false"/>
                <w:i w:val="false"/>
                <w:color w:val="000000"/>
                <w:sz w:val="20"/>
              </w:rPr>
              <w:t> </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center"/>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center"/>
            </w:pPr>
            <w:r>
              <w:rPr>
                <w:rFonts w:ascii="Times New Roman" w:hAnsi="Times New Roman"/>
                <w:b w:val="false"/>
                <w:i w:val="false"/>
                <w:color w:val="000000"/>
                <w:sz w:val="20"/>
              </w:rPr>
              <w:t> </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center"/>
            </w:pPr>
            <w:r>
              <w:rPr>
                <w:rFonts w:ascii="Times New Roman" w:hAnsi="Times New Roman"/>
                <w:b w:val="false"/>
                <w:i w:val="false"/>
                <w:color w:val="000000"/>
                <w:sz w:val="20"/>
              </w:rPr>
              <w:t> </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center"/>
            </w:pPr>
            <w:r>
              <w:rPr>
                <w:rFonts w:ascii="Times New Roman" w:hAnsi="Times New Roman"/>
                <w:b w:val="false"/>
                <w:i w:val="false"/>
                <w:color w:val="000000"/>
                <w:sz w:val="20"/>
              </w:rPr>
              <w:t> </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4008" w:type="dxa"/>
            <w:tcBorders/>
            <w:tcMar>
              <w:top w:w="15" w:type="dxa"/>
              <w:left w:w="2" w:type="dxa"/>
              <w:bottom w:w="23" w:type="dxa"/>
              <w:right w:w="15" w:type="dxa"/>
            </w:tcMar>
            <w:vAlign w:val="bottom"/>
          </w:tcPr>
          <w:p>
            <w:pPr>
              <w:spacing w:before="0" w:after="0"/>
              <w:ind w:left="0"/>
              <w:jc w:val="left"/>
            </w:pPr>
            <w:r>
              <w:rPr>
                <w:rFonts w:ascii="Times New Roman" w:hAnsi="Times New Roman"/>
                <w:b/>
                <w:i w:val="false"/>
                <w:color w:val="000000"/>
                <w:sz w:val="20"/>
              </w:rPr>
              <w:t>Balance as of January 01, 2023</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068"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5,364,452</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335"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282,552,633</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02"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36,635,564</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1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(243,460,290</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70"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19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7,257,080</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335"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88,349,440</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r>
      <w:tr>
        <w:trPr>
          <w:trHeight w:val="345" w:hRule="atLeast"/>
        </w:trPr>
        <w:tc>
          <w:tcPr>
            <w:tcW w:w="400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Loss for the Period</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6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(42,667,529</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7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9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(42,667,529</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435" w:hRule="atLeast"/>
        </w:trPr>
        <w:tc>
          <w:tcPr>
            <w:tcW w:w="4008"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Exchange differences on translation of foreign currency</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6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7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9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125,085</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125,085</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400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Total Comprehensive Loss</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068"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335"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02"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1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(42,667,529</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70"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19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125,085</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335"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(42,542,444</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r>
      <w:tr>
        <w:trPr>
          <w:trHeight w:val="225" w:hRule="atLeast"/>
        </w:trPr>
        <w:tc>
          <w:tcPr>
            <w:tcW w:w="400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Issuance of ordinary shares</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6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1,687,110</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54,796,819</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7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9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56,483,929</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400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Transaction costs</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6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(3,360,626</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7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9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(3,360,626</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10" w:hRule="atLeast"/>
        </w:trPr>
        <w:tc>
          <w:tcPr>
            <w:tcW w:w="4008"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Equity-settled share-based payments</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6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3,414,489</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7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9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3,414,489</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400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Share options exercised</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6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14,431</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222,512</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7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9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236,943</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4008" w:type="dxa"/>
            <w:tcBorders/>
            <w:tcMar>
              <w:top w:w="15" w:type="dxa"/>
              <w:left w:w="2" w:type="dxa"/>
              <w:bottom w:w="23" w:type="dxa"/>
              <w:right w:w="15" w:type="dxa"/>
            </w:tcMar>
            <w:vAlign w:val="bottom"/>
          </w:tcPr>
          <w:p>
            <w:pPr>
              <w:spacing w:before="0" w:after="0"/>
              <w:ind w:left="0"/>
              <w:jc w:val="left"/>
            </w:pPr>
            <w:r>
              <w:rPr>
                <w:rFonts w:ascii="Times New Roman" w:hAnsi="Times New Roman"/>
                <w:b/>
                <w:i w:val="false"/>
                <w:color w:val="000000"/>
                <w:sz w:val="20"/>
              </w:rPr>
              <w:t>Balance as of December 31, 2023</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068"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7,065,993</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335"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334,211,338</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02"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40,050,053</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1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(286,127,819</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70"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19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7,382,166</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335"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102,581,730</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r>
      <w:tr>
        <w:trPr>
          <w:trHeight w:val="225" w:hRule="atLeast"/>
        </w:trPr>
        <w:tc>
          <w:tcPr>
            <w:tcW w:w="400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Loss for the Period</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6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(46,064,402</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7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9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(46,064,402</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435" w:hRule="atLeast"/>
        </w:trPr>
        <w:tc>
          <w:tcPr>
            <w:tcW w:w="4008"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Exchange differences on translation of foreign currency</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6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7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9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58,344</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58,344</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400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Total Comprehensive Loss</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068"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335"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02"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1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(46,064,402</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70"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19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58,344</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335"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(46,006,058</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r>
      <w:tr>
        <w:trPr>
          <w:trHeight w:val="225" w:hRule="atLeast"/>
        </w:trPr>
        <w:tc>
          <w:tcPr>
            <w:tcW w:w="400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Issuance of ordinary shares</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6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56,213</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1,042,076</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7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9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1,098,289</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400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Transaction costs</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6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(323,729</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7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9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(323,729</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10" w:hRule="atLeast"/>
        </w:trPr>
        <w:tc>
          <w:tcPr>
            <w:tcW w:w="4008"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Equity-settled share-based payments</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6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4,065,807</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7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9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4,065,807</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4008" w:type="dxa"/>
            <w:tcBorders/>
            <w:tcMar>
              <w:top w:w="15" w:type="dxa"/>
              <w:left w:w="2" w:type="dxa"/>
              <w:bottom w:w="23" w:type="dxa"/>
              <w:right w:w="15" w:type="dxa"/>
            </w:tcMar>
            <w:vAlign w:val="bottom"/>
          </w:tcPr>
          <w:p>
            <w:pPr>
              <w:spacing w:before="0" w:after="0"/>
              <w:ind w:left="0"/>
              <w:jc w:val="left"/>
            </w:pPr>
            <w:r>
              <w:rPr>
                <w:rFonts w:ascii="Times New Roman" w:hAnsi="Times New Roman"/>
                <w:b/>
                <w:i w:val="false"/>
                <w:color w:val="000000"/>
                <w:sz w:val="20"/>
              </w:rPr>
              <w:t>Balance as of December 31, 2024</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068"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7,122,205</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335"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334,929,685</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02"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44,115,861</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1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(332,192,221</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70"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19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7,440,510</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335"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61,416,039</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r>
      <w:tr>
        <w:trPr>
          <w:trHeight w:val="225" w:hRule="atLeast"/>
        </w:trPr>
        <w:tc>
          <w:tcPr>
            <w:tcW w:w="400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Loss for the Period</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6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(45,633,780</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7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9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(45,633,780</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435" w:hRule="atLeast"/>
        </w:trPr>
        <w:tc>
          <w:tcPr>
            <w:tcW w:w="4008"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Exchange differences on translation of foreign currency</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6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7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9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(269,131</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(269,131</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55" w:hRule="atLeast"/>
        </w:trPr>
        <w:tc>
          <w:tcPr>
            <w:tcW w:w="400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Total Comprehensive Loss</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068"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335"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02"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1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(45,633,780</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70"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19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(269,131</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335"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(45,902,911</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r>
      <w:tr>
        <w:trPr>
          <w:trHeight w:val="225" w:hRule="atLeast"/>
        </w:trPr>
        <w:tc>
          <w:tcPr>
            <w:tcW w:w="400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Issuance of ordinary shares</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6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1,552,938</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21,347,913</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7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9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22,900,851</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400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Transaction costs</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6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(1,301,837</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7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9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(1,301,837</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10" w:hRule="atLeast"/>
        </w:trPr>
        <w:tc>
          <w:tcPr>
            <w:tcW w:w="4008"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Equity-settled share-based payments</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68"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02"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4,444,639</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70"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9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09"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35"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4,444,639</w:t>
            </w:r>
          </w:p>
        </w:tc>
        <w:tc>
          <w:tcPr>
            <w:tcW w:w="118"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55" w:hRule="atLeast"/>
        </w:trPr>
        <w:tc>
          <w:tcPr>
            <w:tcW w:w="4008" w:type="dxa"/>
            <w:tcBorders/>
            <w:tcMar>
              <w:top w:w="15" w:type="dxa"/>
              <w:left w:w="2" w:type="dxa"/>
              <w:bottom w:w="23" w:type="dxa"/>
              <w:right w:w="15" w:type="dxa"/>
            </w:tcMar>
            <w:vAlign w:val="bottom"/>
          </w:tcPr>
          <w:p>
            <w:pPr>
              <w:spacing w:before="0" w:after="0"/>
              <w:ind w:left="0"/>
              <w:jc w:val="left"/>
            </w:pPr>
            <w:r>
              <w:rPr>
                <w:rFonts w:ascii="Times New Roman" w:hAnsi="Times New Roman"/>
                <w:b/>
                <w:i w:val="false"/>
                <w:color w:val="000000"/>
                <w:sz w:val="20"/>
              </w:rPr>
              <w:t>Balance as of December 31, 2025</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068"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8,675,143</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335"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354,975,760</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02"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48,560,500</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18"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(377,826,001</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70"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19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7,171,379</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09"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335"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41,556,781</w:t>
            </w:r>
          </w:p>
        </w:tc>
        <w:tc>
          <w:tcPr>
            <w:tcW w:w="118"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r>
    </w:tbl>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center"/>
      </w:pPr>
      <w:r>
        <w:rPr>
          <w:rFonts w:ascii="Times New Roman" w:hAnsi="Times New Roman"/>
          <w:b w:val="false"/>
          <w:i w:val="false"/>
          <w:color w:val="000000"/>
          <w:sz w:val="20"/>
        </w:rPr>
        <w:t>8</w:t>
      </w: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left"/>
      </w:pPr>
      <w:r>
        <w:rPr>
          <w:rFonts w:ascii="Times New Roman" w:hAnsi="Times New Roman"/>
          <w:b w:val="false"/>
          <w:i w:val="false"/>
          <w:color w:val="000000"/>
          <w:sz w:val="20"/>
        </w:rPr>
        <w:t> </w:t>
      </w:r>
      <w:r>
        <w:drawing>
          <wp:inline distT="0" distB="0" distL="0" distR="0">
            <wp:extent cx="1514475" cy="48577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1"/>
                    <a:stretch>
                      <a:fillRect/>
                    </a:stretch>
                  </pic:blipFill>
                  <pic:spPr>
                    <a:xfrm>
                      <a:off x="0" y="0"/>
                      <a:ext cx="1514475" cy="485775"/>
                    </a:xfrm>
                    <a:prstGeom prst="rect">
                      <a:avLst/>
                    </a:prstGeom>
                  </pic:spPr>
                </pic:pic>
              </a:graphicData>
            </a:graphic>
          </wp:inline>
        </w:drawing>
      </w:r>
    </w:p>
    <w:p>
      <w:pPr>
        <w:spacing w:before="0" w:after="0"/>
        <w:ind w:left="120"/>
        <w:jc w:val="left"/>
      </w:pPr>
    </w:p>
    <w:p>
      <w:pPr>
        <w:spacing w:before="0" w:after="0"/>
        <w:ind w:left="120"/>
        <w:jc w:val="left"/>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val="false"/>
          <w:color w:val="000000"/>
          <w:sz w:val="20"/>
          <w:u w:val="single"/>
        </w:rPr>
        <w:t>InflaRx N.V. and subsidiaries</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left"/>
      </w:pPr>
      <w:r>
        <w:rPr>
          <w:rFonts w:ascii="Times New Roman" w:hAnsi="Times New Roman"/>
          <w:b/>
          <w:i w:val="false"/>
          <w:color w:val="000000"/>
          <w:sz w:val="20"/>
        </w:rPr>
        <w:t xml:space="preserve">Unaudited condensed consolidated statementsof cash flows </w:t>
      </w:r>
      <w:r>
        <w:br/>
      </w:r>
      <w:r>
        <w:rPr>
          <w:rFonts w:ascii="Times New Roman" w:hAnsi="Times New Roman"/>
          <w:b/>
          <w:i w:val="false"/>
          <w:color w:val="000000"/>
          <w:sz w:val="20"/>
        </w:rPr>
        <w:t xml:space="preserve"> for the twelve months ended December 31, 2025, 2024 and 2023</w:t>
      </w:r>
    </w:p>
    <w:p>
      <w:pPr>
        <w:spacing w:before="0" w:after="0"/>
        <w:ind w:left="120"/>
        <w:jc w:val="left"/>
      </w:pPr>
    </w:p>
    <w:p>
      <w:pPr>
        <w:spacing w:before="0" w:after="0"/>
        <w:ind w:left="120"/>
        <w:jc w:val="right"/>
      </w:pPr>
      <w:r>
        <w:rPr>
          <w:rFonts w:ascii="Times New Roman" w:hAnsi="Times New Roman"/>
          <w:b w:val="false"/>
          <w:i w:val="false"/>
          <w:color w:val="000000"/>
          <w:sz w:val="20"/>
        </w:rPr>
        <w:t> </w:t>
      </w:r>
    </w:p>
    <w:p>
      <w:pPr>
        <w:spacing w:before="0" w:after="0"/>
        <w:ind w:left="120"/>
        <w:jc w:val="left"/>
      </w:pPr>
    </w:p>
    <w:tbl>
      <w:tblPr>
        <w:tblW w:w="0" w:type="auto"/>
        <w:tblCellSpacing w:w="0" w:type="auto"/>
        <w:tblBorders>
          <w:top w:val="none"/>
          <w:left w:val="none"/>
          <w:bottom w:val="none"/>
          <w:right w:val="none"/>
          <w:insideH w:val="none"/>
          <w:insideV w:val="none"/>
        </w:tblBorders>
      </w:tblPr>
      <w:tblGrid>
        <w:gridCol w:w="8421"/>
        <w:gridCol w:w="134"/>
        <w:gridCol w:w="134"/>
        <w:gridCol w:w="1291"/>
        <w:gridCol w:w="134"/>
        <w:gridCol w:w="134"/>
        <w:gridCol w:w="134"/>
        <w:gridCol w:w="1291"/>
        <w:gridCol w:w="134"/>
        <w:gridCol w:w="134"/>
        <w:gridCol w:w="134"/>
        <w:gridCol w:w="1424"/>
        <w:gridCol w:w="135"/>
      </w:tblGrid>
      <w:tr>
        <w:trPr>
          <w:trHeight w:val="255" w:hRule="atLeast"/>
        </w:trPr>
        <w:tc>
          <w:tcPr>
            <w:tcW w:w="8421" w:type="dxa"/>
            <w:tcBorders/>
            <w:tcMar>
              <w:top w:w="15" w:type="dxa"/>
              <w:left w:w="15" w:type="dxa"/>
              <w:bottom w:w="15" w:type="dxa"/>
              <w:right w:w="15" w:type="dxa"/>
            </w:tcMar>
            <w:vAlign w:val="bottom"/>
          </w:tcPr>
          <w:p>
            <w:pPr>
              <w:spacing w:before="0" w:after="0"/>
              <w:ind w:left="0"/>
              <w:jc w:val="center"/>
            </w:pPr>
            <w:r>
              <w:rPr>
                <w:rFonts w:ascii="Times New Roman" w:hAnsi="Times New Roman"/>
                <w:b w:val="false"/>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center"/>
            </w:pPr>
            <w:r>
              <w:rPr>
                <w:rFonts w:ascii="Times New Roman" w:hAnsi="Times New Roman"/>
                <w:b/>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0"/>
              <w:jc w:val="center"/>
            </w:pPr>
            <w:r>
              <w:rPr>
                <w:rFonts w:ascii="Times New Roman" w:hAnsi="Times New Roman"/>
                <w:b/>
                <w:i w:val="false"/>
                <w:color w:val="000000"/>
                <w:sz w:val="20"/>
              </w:rPr>
              <w:t>2025</w:t>
            </w:r>
          </w:p>
        </w:tc>
        <w:tc>
          <w:tcPr>
            <w:tcW w:w="134" w:type="dxa"/>
            <w:tcBorders/>
            <w:tcMar>
              <w:top w:w="15" w:type="dxa"/>
              <w:left w:w="15" w:type="dxa"/>
              <w:bottom w:w="23" w:type="dxa"/>
              <w:right w:w="15" w:type="dxa"/>
            </w:tcMar>
            <w:vAlign w:val="bottom"/>
          </w:tcPr>
          <w:p>
            <w:pPr>
              <w:spacing w:before="0" w:after="0"/>
              <w:ind w:left="0"/>
              <w:jc w:val="center"/>
            </w:pPr>
            <w:r>
              <w:rPr>
                <w:rFonts w:ascii="Times New Roman" w:hAnsi="Times New Roman"/>
                <w:b/>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center"/>
            </w:pPr>
            <w:r>
              <w:rPr>
                <w:rFonts w:ascii="Times New Roman" w:hAnsi="Times New Roman"/>
                <w:b/>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0"/>
              <w:jc w:val="center"/>
            </w:pPr>
            <w:r>
              <w:rPr>
                <w:rFonts w:ascii="Times New Roman" w:hAnsi="Times New Roman"/>
                <w:b/>
                <w:i w:val="false"/>
                <w:color w:val="000000"/>
                <w:sz w:val="20"/>
              </w:rPr>
              <w:t>2024</w:t>
            </w:r>
          </w:p>
        </w:tc>
        <w:tc>
          <w:tcPr>
            <w:tcW w:w="134" w:type="dxa"/>
            <w:tcBorders/>
            <w:tcMar>
              <w:top w:w="15" w:type="dxa"/>
              <w:left w:w="15" w:type="dxa"/>
              <w:bottom w:w="23" w:type="dxa"/>
              <w:right w:w="15" w:type="dxa"/>
            </w:tcMar>
            <w:vAlign w:val="bottom"/>
          </w:tcPr>
          <w:p>
            <w:pPr>
              <w:spacing w:before="0" w:after="0"/>
              <w:ind w:left="0"/>
              <w:jc w:val="center"/>
            </w:pPr>
            <w:r>
              <w:rPr>
                <w:rFonts w:ascii="Times New Roman" w:hAnsi="Times New Roman"/>
                <w:b/>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center"/>
            </w:pPr>
            <w:r>
              <w:rPr>
                <w:rFonts w:ascii="Times New Roman" w:hAnsi="Times New Roman"/>
                <w:b/>
                <w:i w:val="false"/>
                <w:color w:val="000000"/>
                <w:sz w:val="20"/>
              </w:rPr>
              <w:t> </w:t>
            </w:r>
          </w:p>
        </w:tc>
        <w:tc>
          <w:tcPr>
            <w:tcW w:w="0" w:type="auto"/>
            <w:gridSpan w:val="2"/>
            <w:tcBorders>
              <w:bottom w:val="single" w:color="000000" w:sz="16"/>
            </w:tcBorders>
            <w:tcMar>
              <w:top w:w="15" w:type="dxa"/>
              <w:left w:w="15" w:type="dxa"/>
              <w:bottom w:w="15" w:type="dxa"/>
              <w:right w:w="15" w:type="dxa"/>
            </w:tcMar>
            <w:vAlign w:val="bottom"/>
          </w:tcPr>
          <w:p>
            <w:pPr>
              <w:spacing w:before="0" w:after="0"/>
              <w:ind w:left="0"/>
              <w:jc w:val="center"/>
            </w:pPr>
            <w:r>
              <w:rPr>
                <w:rFonts w:ascii="Times New Roman" w:hAnsi="Times New Roman"/>
                <w:b/>
                <w:i w:val="false"/>
                <w:color w:val="000000"/>
                <w:sz w:val="20"/>
              </w:rPr>
              <w:t>2023</w:t>
            </w:r>
          </w:p>
        </w:tc>
        <w:tc>
          <w:tcPr>
            <w:tcW w:w="135" w:type="dxa"/>
            <w:tcBorders/>
            <w:tcMar>
              <w:top w:w="15" w:type="dxa"/>
              <w:left w:w="15" w:type="dxa"/>
              <w:bottom w:w="23" w:type="dxa"/>
              <w:right w:w="15" w:type="dxa"/>
            </w:tcMar>
            <w:vAlign w:val="bottom"/>
          </w:tcPr>
          <w:p>
            <w:pPr>
              <w:spacing w:before="0" w:after="0"/>
              <w:ind w:left="0"/>
              <w:jc w:val="center"/>
            </w:pPr>
            <w:r>
              <w:rPr>
                <w:rFonts w:ascii="Times New Roman" w:hAnsi="Times New Roman"/>
                <w:b/>
                <w:i w:val="false"/>
                <w:color w:val="000000"/>
                <w:sz w:val="20"/>
              </w:rPr>
              <w:t> </w:t>
            </w:r>
          </w:p>
        </w:tc>
      </w:tr>
      <w:tr>
        <w:trPr>
          <w:trHeight w:val="240" w:hRule="atLeast"/>
        </w:trPr>
        <w:tc>
          <w:tcPr>
            <w:tcW w:w="8421" w:type="dxa"/>
            <w:tcBorders/>
            <w:tcMar>
              <w:top w:w="15" w:type="dxa"/>
              <w:left w:w="15" w:type="dxa"/>
              <w:bottom w:w="15" w:type="dxa"/>
              <w:right w:w="15" w:type="dxa"/>
            </w:tcMar>
            <w:vAlign w:val="bottom"/>
          </w:tcPr>
          <w:p>
            <w:pPr>
              <w:spacing w:before="0" w:after="0"/>
              <w:ind w:left="0"/>
              <w:jc w:val="center"/>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center"/>
            </w:pPr>
            <w:r>
              <w:rPr>
                <w:rFonts w:ascii="Times New Roman" w:hAnsi="Times New Roman"/>
                <w:b/>
                <w:i w:val="false"/>
                <w:color w:val="000000"/>
                <w:sz w:val="20"/>
              </w:rPr>
              <w:t> </w:t>
            </w:r>
          </w:p>
        </w:tc>
        <w:tc>
          <w:tcPr>
            <w:tcW w:w="0" w:type="auto"/>
            <w:gridSpan w:val="10"/>
            <w:tcBorders/>
            <w:tcMar>
              <w:top w:w="15" w:type="dxa"/>
              <w:left w:w="15" w:type="dxa"/>
              <w:bottom w:w="15" w:type="dxa"/>
              <w:right w:w="15" w:type="dxa"/>
            </w:tcMar>
            <w:vAlign w:val="bottom"/>
          </w:tcPr>
          <w:p>
            <w:pPr>
              <w:spacing w:before="0" w:after="0"/>
              <w:ind w:left="0"/>
              <w:jc w:val="center"/>
            </w:pPr>
            <w:r>
              <w:rPr>
                <w:rFonts w:ascii="Times New Roman" w:hAnsi="Times New Roman"/>
                <w:b/>
                <w:i w:val="false"/>
                <w:color w:val="000000"/>
                <w:sz w:val="20"/>
              </w:rPr>
              <w:t>(in €)</w:t>
            </w:r>
          </w:p>
        </w:tc>
        <w:tc>
          <w:tcPr>
            <w:tcW w:w="135" w:type="dxa"/>
            <w:tcBorders/>
            <w:tcMar>
              <w:top w:w="15" w:type="dxa"/>
              <w:left w:w="15" w:type="dxa"/>
              <w:bottom w:w="15" w:type="dxa"/>
              <w:right w:w="15" w:type="dxa"/>
            </w:tcMar>
            <w:vAlign w:val="bottom"/>
          </w:tcPr>
          <w:p>
            <w:pPr>
              <w:spacing w:before="0" w:after="0"/>
              <w:ind w:left="0"/>
              <w:jc w:val="center"/>
            </w:pPr>
            <w:r>
              <w:rPr>
                <w:rFonts w:ascii="Times New Roman" w:hAnsi="Times New Roman"/>
                <w:b/>
                <w:i w:val="false"/>
                <w:color w:val="000000"/>
                <w:sz w:val="20"/>
              </w:rPr>
              <w:t> </w:t>
            </w:r>
          </w:p>
        </w:tc>
      </w:tr>
      <w:tr>
        <w:trPr>
          <w:trHeight w:val="225" w:hRule="atLeast"/>
        </w:trPr>
        <w:tc>
          <w:tcPr>
            <w:tcW w:w="8421" w:type="dxa"/>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Operating activities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1"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Loss for the period</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(45,633,780</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(46,064,402</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(42,667,529</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10" w:hRule="atLeast"/>
        </w:trPr>
        <w:tc>
          <w:tcPr>
            <w:tcW w:w="8421"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Adjustments for:</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435" w:hRule="atLeast"/>
        </w:trPr>
        <w:tc>
          <w:tcPr>
            <w:tcW w:w="8421" w:type="dxa"/>
            <w:tcBorders/>
            <w:tcMar>
              <w:top w:w="15" w:type="dxa"/>
              <w:left w:w="4" w:type="dxa"/>
              <w:bottom w:w="15" w:type="dxa"/>
              <w:right w:w="15" w:type="dxa"/>
            </w:tcMar>
            <w:vAlign w:val="bottom"/>
          </w:tcPr>
          <w:p>
            <w:pPr>
              <w:spacing w:before="0" w:after="0"/>
              <w:ind w:left="0"/>
              <w:jc w:val="left"/>
            </w:pPr>
            <w:r>
              <w:rPr>
                <w:rFonts w:ascii="Times New Roman" w:hAnsi="Times New Roman"/>
                <w:b w:val="false"/>
                <w:i w:val="false"/>
                <w:color w:val="000000"/>
                <w:sz w:val="20"/>
              </w:rPr>
              <w:t>Depreciation &amp; amortization of property and equipment, right-of-use assets and intangible assets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419,483</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485,114</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567,780</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1"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Net finance income</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(2,637,922</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(6,949,679</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(2,240,566</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10" w:hRule="atLeast"/>
        </w:trPr>
        <w:tc>
          <w:tcPr>
            <w:tcW w:w="8421"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Share-based payment expense</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4,444,639</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4,065,807</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3,414,489</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1"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Net foreign exchange differences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1,533,408</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(37,101</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413,017</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1"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1"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Changes in:</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1"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Other assets from government grants and research allowances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2,594,009</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(5,081,772</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732,971</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1"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Other assets and trade receivables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2,202,304</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1,042,513</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7,825,181</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1"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Employee benefits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(900,419</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454,912</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297,518</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1"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Other liabilities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57,410</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(2,584,228</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2,738,164</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1"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Liabilities from government grants received</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(6,209,266</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10" w:hRule="atLeast"/>
        </w:trPr>
        <w:tc>
          <w:tcPr>
            <w:tcW w:w="8421"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Trade and other payables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(5,994,849</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(580,129</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6,986,824</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1"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Inventories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6,897,666</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4,470,141</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(11,367,807</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10" w:hRule="atLeast"/>
        </w:trPr>
        <w:tc>
          <w:tcPr>
            <w:tcW w:w="8421"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Interest received</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1,738,197</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2,243,197</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1,732,284</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421" w:type="dxa"/>
            <w:tcBorders/>
            <w:tcMar>
              <w:top w:w="15" w:type="dxa"/>
              <w:left w:w="2" w:type="dxa"/>
              <w:bottom w:w="23" w:type="dxa"/>
              <w:right w:w="15" w:type="dxa"/>
            </w:tcMar>
            <w:vAlign w:val="bottom"/>
          </w:tcPr>
          <w:p>
            <w:pPr>
              <w:spacing w:before="0" w:after="0"/>
              <w:ind w:left="0"/>
              <w:jc w:val="left"/>
            </w:pPr>
            <w:r>
              <w:rPr>
                <w:rFonts w:ascii="Times New Roman" w:hAnsi="Times New Roman"/>
                <w:b w:val="false"/>
                <w:i w:val="false"/>
                <w:color w:val="000000"/>
                <w:sz w:val="20"/>
              </w:rPr>
              <w:t>Interest paid</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(34,474</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(21,064</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(36,025</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55" w:hRule="atLeast"/>
        </w:trPr>
        <w:tc>
          <w:tcPr>
            <w:tcW w:w="8421"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Net cash used in operating activities</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(35,314,328</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(48,556,690</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(37,812,966</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r>
      <w:tr>
        <w:trPr>
          <w:trHeight w:val="225" w:hRule="atLeast"/>
        </w:trPr>
        <w:tc>
          <w:tcPr>
            <w:tcW w:w="8421" w:type="dxa"/>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Investing activities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1"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Purchase of intangible assets and property and equipment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(115,694</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(46,871</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(81,100</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10" w:hRule="atLeast"/>
        </w:trPr>
        <w:tc>
          <w:tcPr>
            <w:tcW w:w="8421"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Purchase of current and non-current financial assets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(46,100,315</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(35,340,107</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(104,051,972</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40" w:hRule="atLeast"/>
        </w:trPr>
        <w:tc>
          <w:tcPr>
            <w:tcW w:w="8421" w:type="dxa"/>
            <w:tcBorders/>
            <w:tcMar>
              <w:top w:w="15" w:type="dxa"/>
              <w:left w:w="2" w:type="dxa"/>
              <w:bottom w:w="23" w:type="dxa"/>
              <w:right w:w="15" w:type="dxa"/>
            </w:tcMar>
            <w:vAlign w:val="bottom"/>
          </w:tcPr>
          <w:p>
            <w:pPr>
              <w:spacing w:before="0" w:after="0"/>
              <w:ind w:left="0"/>
              <w:jc w:val="left"/>
            </w:pPr>
            <w:r>
              <w:rPr>
                <w:rFonts w:ascii="Times New Roman" w:hAnsi="Times New Roman"/>
                <w:b w:val="false"/>
                <w:i w:val="false"/>
                <w:color w:val="000000"/>
                <w:sz w:val="20"/>
              </w:rPr>
              <w:t>Proceeds from sale of current financial assets</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49,449,058</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87,751,331</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86,436,456</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495" w:hRule="atLeast"/>
        </w:trPr>
        <w:tc>
          <w:tcPr>
            <w:tcW w:w="8421"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Net cash from/ (used in) investing activities</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3,233,048</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52,364,354</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(17,696,616</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w:t>
            </w:r>
          </w:p>
        </w:tc>
      </w:tr>
      <w:tr>
        <w:trPr>
          <w:trHeight w:val="225" w:hRule="atLeast"/>
        </w:trPr>
        <w:tc>
          <w:tcPr>
            <w:tcW w:w="8421" w:type="dxa"/>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Financing activities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 </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1"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Proceeds from issuance of ordinary shares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22,900,851</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1,098,289</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56,483,929</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1"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Proceeds from pre-funded warrants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12,915,909</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8421" w:type="dxa"/>
            <w:tcBorders/>
            <w:tcMar>
              <w:top w:w="15" w:type="dxa"/>
              <w:left w:w="4" w:type="dxa"/>
              <w:bottom w:w="15" w:type="dxa"/>
              <w:right w:w="15" w:type="dxa"/>
            </w:tcMar>
            <w:vAlign w:val="bottom"/>
          </w:tcPr>
          <w:p>
            <w:pPr>
              <w:spacing w:before="0" w:after="0"/>
              <w:ind w:left="0"/>
              <w:jc w:val="left"/>
            </w:pPr>
            <w:r>
              <w:rPr>
                <w:rFonts w:ascii="Times New Roman" w:hAnsi="Times New Roman"/>
                <w:b w:val="false"/>
                <w:i w:val="false"/>
                <w:color w:val="000000"/>
                <w:sz w:val="20"/>
              </w:rPr>
              <w:t>Transaction costs from issuance of ordinary shares and pre-funded warrants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(2,142,530</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(323,729</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(3,360,626</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10" w:hRule="atLeast"/>
        </w:trPr>
        <w:tc>
          <w:tcPr>
            <w:tcW w:w="8421"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Proceeds from exercise of share options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236,943</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8421" w:type="dxa"/>
            <w:tcBorders/>
            <w:tcMar>
              <w:top w:w="15" w:type="dxa"/>
              <w:left w:w="2" w:type="dxa"/>
              <w:bottom w:w="23" w:type="dxa"/>
              <w:right w:w="15" w:type="dxa"/>
            </w:tcMar>
            <w:vAlign w:val="bottom"/>
          </w:tcPr>
          <w:p>
            <w:pPr>
              <w:spacing w:before="0" w:after="0"/>
              <w:ind w:left="0"/>
              <w:jc w:val="left"/>
            </w:pPr>
            <w:r>
              <w:rPr>
                <w:rFonts w:ascii="Times New Roman" w:hAnsi="Times New Roman"/>
                <w:b w:val="false"/>
                <w:i w:val="false"/>
                <w:color w:val="000000"/>
                <w:sz w:val="20"/>
              </w:rPr>
              <w:t>Repayment of lease liabilities</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(357,583</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(388,114</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(373,977</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55" w:hRule="atLeast"/>
        </w:trPr>
        <w:tc>
          <w:tcPr>
            <w:tcW w:w="8421"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Net cash from financing activities</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33,316,646</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386,446</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52,986,269</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i w:val="false"/>
                <w:color w:val="000000"/>
                <w:sz w:val="20"/>
              </w:rPr>
              <w:t> </w:t>
            </w:r>
          </w:p>
        </w:tc>
      </w:tr>
      <w:tr>
        <w:trPr>
          <w:trHeight w:val="225" w:hRule="atLeast"/>
        </w:trPr>
        <w:tc>
          <w:tcPr>
            <w:tcW w:w="8421"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Net in-/decrease in cash and cash equivalents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1,235,366</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4,194,110</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(2,523,313</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10" w:hRule="atLeast"/>
        </w:trPr>
        <w:tc>
          <w:tcPr>
            <w:tcW w:w="8421" w:type="dxa"/>
            <w:tcBorders/>
            <w:tcMar>
              <w:top w:w="15" w:type="dxa"/>
              <w:left w:w="2" w:type="dxa"/>
              <w:bottom w:w="15" w:type="dxa"/>
              <w:right w:w="15" w:type="dxa"/>
            </w:tcMar>
            <w:vAlign w:val="bottom"/>
          </w:tcPr>
          <w:p>
            <w:pPr>
              <w:spacing w:before="0" w:after="0"/>
              <w:ind w:left="0"/>
              <w:jc w:val="left"/>
            </w:pPr>
            <w:r>
              <w:rPr>
                <w:rFonts w:ascii="Times New Roman" w:hAnsi="Times New Roman"/>
                <w:b w:val="false"/>
                <w:i w:val="false"/>
                <w:color w:val="000000"/>
                <w:sz w:val="20"/>
              </w:rPr>
              <w:t>Effect of exchange rate changes on cash and cash equivalents</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(3,589,174</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1,413,926</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(974,099</w:t>
            </w:r>
          </w:p>
        </w:tc>
        <w:tc>
          <w:tcPr>
            <w:tcW w:w="135"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w:t>
            </w:r>
          </w:p>
        </w:tc>
      </w:tr>
      <w:tr>
        <w:trPr>
          <w:trHeight w:val="240" w:hRule="atLeast"/>
        </w:trPr>
        <w:tc>
          <w:tcPr>
            <w:tcW w:w="8421" w:type="dxa"/>
            <w:tcBorders/>
            <w:tcMar>
              <w:top w:w="15" w:type="dxa"/>
              <w:left w:w="2" w:type="dxa"/>
              <w:bottom w:w="23" w:type="dxa"/>
              <w:right w:w="15" w:type="dxa"/>
            </w:tcMar>
            <w:vAlign w:val="bottom"/>
          </w:tcPr>
          <w:p>
            <w:pPr>
              <w:spacing w:before="0" w:after="0"/>
              <w:ind w:left="0"/>
              <w:jc w:val="left"/>
            </w:pPr>
            <w:r>
              <w:rPr>
                <w:rFonts w:ascii="Times New Roman" w:hAnsi="Times New Roman"/>
                <w:b w:val="false"/>
                <w:i w:val="false"/>
                <w:color w:val="000000"/>
                <w:sz w:val="20"/>
              </w:rPr>
              <w:t>Cash and cash equivalents at beginning of period</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18,375,979</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291"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12,767,943</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4" w:type="dxa"/>
            <w:tcBorders>
              <w:bottom w:val="single" w:color="000000" w:sz="16"/>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24" w:type="dxa"/>
            <w:tcBorders>
              <w:bottom w:val="single" w:color="000000" w:sz="16"/>
            </w:tcBorders>
            <w:tcMar>
              <w:top w:w="15" w:type="dxa"/>
              <w:left w:w="15" w:type="dxa"/>
              <w:bottom w:w="15" w:type="dxa"/>
              <w:right w:w="15" w:type="dxa"/>
            </w:tcMar>
            <w:vAlign w:val="bottom"/>
          </w:tcPr>
          <w:p>
            <w:pPr>
              <w:spacing w:before="0" w:after="0"/>
              <w:ind w:left="0"/>
              <w:jc w:val="right"/>
            </w:pPr>
            <w:r>
              <w:rPr>
                <w:rFonts w:ascii="Times New Roman" w:hAnsi="Times New Roman"/>
                <w:b w:val="false"/>
                <w:i w:val="false"/>
                <w:color w:val="000000"/>
                <w:sz w:val="20"/>
              </w:rPr>
              <w:t>16,265,355</w:t>
            </w:r>
          </w:p>
        </w:tc>
        <w:tc>
          <w:tcPr>
            <w:tcW w:w="135" w:type="dxa"/>
            <w:tcBorders/>
            <w:tcMar>
              <w:top w:w="15" w:type="dxa"/>
              <w:left w:w="15" w:type="dxa"/>
              <w:bottom w:w="23"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300" w:hRule="atLeast"/>
        </w:trPr>
        <w:tc>
          <w:tcPr>
            <w:tcW w:w="8421" w:type="dxa"/>
            <w:tcBorders/>
            <w:tcMar>
              <w:top w:w="15" w:type="dxa"/>
              <w:left w:w="15" w:type="dxa"/>
              <w:bottom w:w="60" w:type="dxa"/>
              <w:right w:w="15" w:type="dxa"/>
            </w:tcMar>
            <w:vAlign w:val="bottom"/>
          </w:tcPr>
          <w:p>
            <w:pPr>
              <w:spacing w:before="0" w:after="0"/>
              <w:ind w:left="0"/>
              <w:jc w:val="left"/>
            </w:pPr>
            <w:r>
              <w:rPr>
                <w:rFonts w:ascii="Times New Roman" w:hAnsi="Times New Roman"/>
                <w:b/>
                <w:i w:val="false"/>
                <w:color w:val="000000"/>
                <w:sz w:val="20"/>
              </w:rPr>
              <w:t>Cash and cash equivalents at end of period</w:t>
            </w:r>
          </w:p>
        </w:tc>
        <w:tc>
          <w:tcPr>
            <w:tcW w:w="134" w:type="dxa"/>
            <w:tcBorders/>
            <w:tcMar>
              <w:top w:w="15" w:type="dxa"/>
              <w:left w:w="15" w:type="dxa"/>
              <w:bottom w:w="60"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double" w:color="000000" w:sz="14"/>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double" w:color="000000" w:sz="14"/>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16,022,171</w:t>
            </w:r>
          </w:p>
        </w:tc>
        <w:tc>
          <w:tcPr>
            <w:tcW w:w="134" w:type="dxa"/>
            <w:tcBorders/>
            <w:tcMar>
              <w:top w:w="15" w:type="dxa"/>
              <w:left w:w="15" w:type="dxa"/>
              <w:bottom w:w="60"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tcMar>
              <w:top w:w="15" w:type="dxa"/>
              <w:left w:w="15" w:type="dxa"/>
              <w:bottom w:w="60"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double" w:color="000000" w:sz="14"/>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291" w:type="dxa"/>
            <w:tcBorders>
              <w:bottom w:val="double" w:color="000000" w:sz="14"/>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18,375,979</w:t>
            </w:r>
          </w:p>
        </w:tc>
        <w:tc>
          <w:tcPr>
            <w:tcW w:w="134" w:type="dxa"/>
            <w:tcBorders/>
            <w:tcMar>
              <w:top w:w="15" w:type="dxa"/>
              <w:left w:w="15" w:type="dxa"/>
              <w:bottom w:w="60"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tcMar>
              <w:top w:w="15" w:type="dxa"/>
              <w:left w:w="15" w:type="dxa"/>
              <w:bottom w:w="60" w:type="dxa"/>
              <w:right w:w="15" w:type="dxa"/>
            </w:tcMar>
            <w:vAlign w:val="bottom"/>
          </w:tcPr>
          <w:p>
            <w:pPr>
              <w:spacing w:before="0" w:after="0"/>
              <w:ind w:left="0"/>
              <w:jc w:val="left"/>
            </w:pPr>
            <w:r>
              <w:rPr>
                <w:rFonts w:ascii="Times New Roman" w:hAnsi="Times New Roman"/>
                <w:b/>
                <w:i w:val="false"/>
                <w:color w:val="000000"/>
                <w:sz w:val="20"/>
              </w:rPr>
              <w:t> </w:t>
            </w:r>
          </w:p>
        </w:tc>
        <w:tc>
          <w:tcPr>
            <w:tcW w:w="134" w:type="dxa"/>
            <w:tcBorders>
              <w:bottom w:val="double" w:color="000000" w:sz="14"/>
            </w:tcBorders>
            <w:tcMar>
              <w:top w:w="15" w:type="dxa"/>
              <w:left w:w="15" w:type="dxa"/>
              <w:bottom w:w="15" w:type="dxa"/>
              <w:right w:w="15" w:type="dxa"/>
            </w:tcMar>
            <w:vAlign w:val="bottom"/>
          </w:tcPr>
          <w:p>
            <w:pPr>
              <w:spacing w:before="0" w:after="0"/>
              <w:ind w:left="0"/>
              <w:jc w:val="left"/>
            </w:pPr>
            <w:r>
              <w:rPr>
                <w:rFonts w:ascii="Times New Roman" w:hAnsi="Times New Roman"/>
                <w:b/>
                <w:i w:val="false"/>
                <w:color w:val="000000"/>
                <w:sz w:val="20"/>
              </w:rPr>
              <w:t> </w:t>
            </w:r>
          </w:p>
        </w:tc>
        <w:tc>
          <w:tcPr>
            <w:tcW w:w="1424" w:type="dxa"/>
            <w:tcBorders>
              <w:bottom w:val="double" w:color="000000" w:sz="14"/>
            </w:tcBorders>
            <w:tcMar>
              <w:top w:w="15" w:type="dxa"/>
              <w:left w:w="15" w:type="dxa"/>
              <w:bottom w:w="15" w:type="dxa"/>
              <w:right w:w="15" w:type="dxa"/>
            </w:tcMar>
            <w:vAlign w:val="bottom"/>
          </w:tcPr>
          <w:p>
            <w:pPr>
              <w:spacing w:before="0" w:after="0"/>
              <w:ind w:left="0"/>
              <w:jc w:val="right"/>
            </w:pPr>
            <w:r>
              <w:rPr>
                <w:rFonts w:ascii="Times New Roman" w:hAnsi="Times New Roman"/>
                <w:b/>
                <w:i w:val="false"/>
                <w:color w:val="000000"/>
                <w:sz w:val="20"/>
              </w:rPr>
              <w:t>12,767,943</w:t>
            </w:r>
          </w:p>
        </w:tc>
        <w:tc>
          <w:tcPr>
            <w:tcW w:w="135" w:type="dxa"/>
            <w:tcBorders/>
            <w:tcMar>
              <w:top w:w="15" w:type="dxa"/>
              <w:left w:w="15" w:type="dxa"/>
              <w:bottom w:w="60" w:type="dxa"/>
              <w:right w:w="15" w:type="dxa"/>
            </w:tcMar>
            <w:vAlign w:val="bottom"/>
          </w:tcPr>
          <w:p>
            <w:pPr>
              <w:spacing w:before="0" w:after="0"/>
              <w:ind w:left="0"/>
              <w:jc w:val="left"/>
            </w:pPr>
            <w:r>
              <w:rPr>
                <w:rFonts w:ascii="Times New Roman" w:hAnsi="Times New Roman"/>
                <w:b/>
                <w:i w:val="false"/>
                <w:color w:val="000000"/>
                <w:sz w:val="20"/>
              </w:rPr>
              <w:t> </w:t>
            </w:r>
          </w:p>
        </w:tc>
      </w:tr>
    </w:tbl>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p>
    <w:p>
      <w:pPr>
        <w:spacing w:before="0" w:after="0"/>
        <w:ind w:left="120"/>
        <w:jc w:val="left"/>
      </w:pPr>
    </w:p>
    <w:p>
      <w:pPr>
        <w:spacing w:before="0" w:after="0"/>
        <w:ind w:left="120"/>
        <w:jc w:val="center"/>
      </w:pPr>
      <w:r>
        <w:rPr>
          <w:rFonts w:ascii="Times New Roman" w:hAnsi="Times New Roman"/>
          <w:b w:val="false"/>
          <w:i w:val="false"/>
          <w:color w:val="000000"/>
          <w:sz w:val="20"/>
        </w:rPr>
        <w:t>9</w:t>
      </w: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 </w:t>
      </w:r>
      <w:r>
        <w:drawing>
          <wp:inline distT="0" distB="0" distL="0" distR="0">
            <wp:extent cx="1514475" cy="48577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2"/>
                    <a:stretch>
                      <a:fillRect/>
                    </a:stretch>
                  </pic:blipFill>
                  <pic:spPr>
                    <a:xfrm>
                      <a:off x="0" y="0"/>
                      <a:ext cx="1514475" cy="485775"/>
                    </a:xfrm>
                    <a:prstGeom prst="rect">
                      <a:avLst/>
                    </a:prstGeom>
                  </pic:spPr>
                </pic:pic>
              </a:graphicData>
            </a:graphic>
          </wp:inline>
        </w:drawing>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About GOHIBIC (vilobelimab)</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Inthe United States, vilobelimab has been granted an Emergency Use Authorization by the U.S. Food and Drug Administration (FDA) for thetreatment of COVID-19 in hospitalized adults when initiated within 48 hours of receiving invasive mechanical ventilation (IMV) or extracorporealmembrane oxygenation (ECMO) under the trade name GOHIBIC. The emergency use of GOHIBIC (vilobelimab) is only authorized for the durationof the declaration that circumstances exist justifying the authorization of the emergency use of drugs and biological products duringthe COVID-19 pandemic under Section 564(b)(1) of the Act, 21 U.S.C. § 360bbb-3(b)(1), unless the declaration is terminated, or authorizationrevoked sooner. GOHIBIC (vilobelimab) is an investigational drug that has not been approved by the FDA for any indication, includingfor the treatment of COVID-19. There is limited information known about the safety and effectiveness of using GOHIBIC (vilobelimab) totreat people in the hospital with COVID-19. Please see additional information in the Fact Sheet for Healthcare Providers, Fact Sheetfor Patients and Parents/Caregivers and FDA Letter of Authorization on the GOHIBIC website http://www.gohibic.com.</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In the European Union, GOHIBIC (vilobelimab) hasbeen granted marketing authorization (Marketing Authorization) under exceptional circumstances for the treatment of adult patients withSARS-CoV-2-induced acute respiratory distress syndrome (ARDS) who are receiving systemic corticosteroids as part of standard of care andreceiving IMV with or without ECMO. The EU approval of GOHIBIC (vilobelimab) is supported by the previously announced results of the multicenterPhase 3 PANAMO trial, one of the largest 1:1 randomized, double-blind, placebo-controlled trials in invasively mechanically ventilatedCOVID-19 patients in intensive care units. The results showed that vilobelimab treatment improved survival with a relative reduction in28-day all-cause mortality of 23.9% compared to placebo in the global data set. The data were published in The Lancet Respiratory Medicine.</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A Marketing Authorization under exceptional circumstancesis recommended when the benefit/risk assessment is determined to be positive but, due to the rarity of the disease, it’s unlikelythat comprehensive data can be obtained under normal conditions of use. Under the terms of GOHIBIC (vilobelimab)’s approval in theEuropean Commission, InflaRx will provide annual updates to European Medicines Agency on the previously announced clinical platform studyby the Biomedical Advanced Research and Development Authority. Vilobelimab is included in this study as one of three new potential therapiesfor treating ARDS.</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The COVID-19 related work described herein waspartly funded by the German Federal Government through grant number 16LW0113 (VILO-COVID). All responsibility for the content of thiswork lies with InflaRx.</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Important Safety Information about GOHIBIC(vilobelimab)</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There is limited clinical data available for GOHIBIC(vilobelimab). Serious and unexpected adverse events (AEs) may occur that have not been previously reported with GOHIBIC (vilobelimab)use.</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GOHIBIC (vilobelimab) has been associated withan increase of serious infections. In patients with COVID-19, monitor for signs and symptoms of new infections during and after treatmentwith GOHIBIC (vilobelimab). Hypersensitivity reactions have been observed with GOHIBIC (vilobelimab). If a severe hypersensitivity reactionoccurs, administration of GOHIBIC (vilobelimab) should be discontinued and appropriate therapy initiated.</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The most common adverse reactions (incidence ≥3%)are pneumonia, sepsis, delirium, pulmonary embolism, hypertension, pneumothorax, deep vein thrombosis, herpes simplex, enterococcal infection,bronchopulmonary aspergillosis, hepatic enzyme increased, urinary tract infection, hypoxia, thrombocytopenia, pneumomediastinum, respiratorytract infection, supraventricular tachycardia, constipation, and rash.</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Healthcare providers and/or their designee areresponsible for mandatory FDA MedWatch reporting of all medication errors, serious AEs or deaths that occur during GOHIBIC (vilobelimab)treatment and are considered to be potentially attributable to GOHIBIC (vilobelimab).</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Report side effects to the FDA at 1-800-FDA-1088or www.FDA.gov/medwatch. In addition, side effects can be reported to InflaRx at: pvusa@inflarx.de.</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For the full prescribing information and additionalimportant safety information, please visit www.GOHIBIC.com.</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p>
    <w:p>
      <w:pPr>
        <w:spacing w:before="0" w:after="0"/>
        <w:ind w:left="120"/>
        <w:jc w:val="left"/>
      </w:pPr>
    </w:p>
    <w:p>
      <w:pPr>
        <w:spacing w:before="0" w:after="0"/>
        <w:ind w:left="120"/>
        <w:jc w:val="center"/>
      </w:pPr>
      <w:r>
        <w:rPr>
          <w:rFonts w:ascii="Times New Roman" w:hAnsi="Times New Roman"/>
          <w:b w:val="false"/>
          <w:i w:val="false"/>
          <w:color w:val="000000"/>
          <w:sz w:val="20"/>
        </w:rPr>
        <w:t>10</w:t>
      </w: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 </w:t>
      </w:r>
      <w:r>
        <w:drawing>
          <wp:inline distT="0" distB="0" distL="0" distR="0">
            <wp:extent cx="1514475" cy="48577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3"/>
                    <a:stretch>
                      <a:fillRect/>
                    </a:stretch>
                  </pic:blipFill>
                  <pic:spPr>
                    <a:xfrm>
                      <a:off x="0" y="0"/>
                      <a:ext cx="1514475" cy="485775"/>
                    </a:xfrm>
                    <a:prstGeom prst="rect">
                      <a:avLst/>
                    </a:prstGeom>
                  </pic:spPr>
                </pic:pic>
              </a:graphicData>
            </a:graphic>
          </wp:inline>
        </w:drawing>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About vilobelimab</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Vilobelimab is a first-in-class monoclonal anti-humancomplement factor C5a antibody, which highly and effectively blocks the biological activity of free C5a and demonstrates high selectivitytowards its target in human blood. Thus, vilobelimab leaves the formation of the membrane attack complex (C5b-9) intact as an importantdefense mechanism of the innate immune system, which is not the case for molecules blocking C5. In pre-clinical studies, vilobelimab hasbeen shown to control the inflammatory response-driven tissue and organ damage by specifically blocking free C5a as a key “amplifier”of this response.</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About izicopan</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Izicopan is an orally administered, small moleculeinhibitor of the C5a receptor Ca5R1 that has shown anti-inflammatory therapeutic effects in several pre-clinical disease models and inhuman studies. Further, in contrast to the marketed C5aR inhibitor, in vitro experiments demonstrated that izicopan has minimal inhibitionof the cytochrome P450 3A4/5 (CYP3A4/5) enzymes, which play an important role in the metabolism of a variety of metabolites and drugs,including glucocorticoids. Reported results from a first-in-human study demonstrated that izicopan was well tolerated in treated subjectsand exhibited no safety signals of concern in single doses ranging from 3 mg to 240 mg or multiple doses ranging from 30 mg once per dayto 90 mg twice per day for 14 days. Pharmacokinetic / pharmacodynamic data support the best-in-class potential of izicopan, with a ≥90%blockade of C5a-induced neutrophil activation achieved over the 14-day dosing period. Topline Phase 2a data further support the safetyprofile of izicopan, with no reported safety signals of concern. In patients with hidradenitis suppurativa, over 4 weeks of therapy, izicopanprovided rapid and clinically meaningful reductions in abscesses and nodules (ANs) and draining tunnels (dTs), robust HiSCR responsesthat continued to deepen four weeks after the treatment period, and substantial reductions in patient-reported pain scores, overall demonstratingthe potential for biologic-like efficacy. In chronic spontaneous urticaria, InflaRx observed substantial reductions in the 7-day UrticariaActivity Score (UAS7) broadly across patients and particularly in those with severe disease, as well as improved disease control as measuredby the Urticaria Control Test (UCT7).</w:t>
      </w:r>
    </w:p>
    <w:p>
      <w:pPr>
        <w:spacing w:before="0" w:after="0"/>
        <w:ind w:left="120"/>
        <w:jc w:val="left"/>
      </w:pPr>
    </w:p>
    <w:p>
      <w:pPr>
        <w:spacing w:before="0" w:after="0"/>
        <w:ind w:left="120"/>
        <w:jc w:val="both"/>
      </w:pPr>
      <w:r>
        <w:rPr>
          <w:rFonts w:ascii="Times New Roman" w:hAnsi="Times New Roman"/>
          <w:b w:val="false"/>
          <w:i/>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About InflaRx N.V.</w:t>
      </w:r>
    </w:p>
    <w:p>
      <w:pPr>
        <w:spacing w:before="0" w:after="0"/>
        <w:ind w:left="120"/>
        <w:jc w:val="left"/>
      </w:pPr>
    </w:p>
    <w:p>
      <w:pPr>
        <w:spacing w:before="0" w:after="0"/>
        <w:ind w:left="120"/>
        <w:jc w:val="both"/>
      </w:pPr>
      <w:r>
        <w:rPr>
          <w:rFonts w:ascii="Times New Roman" w:hAnsi="Times New Roman"/>
          <w:b/>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InflaRx (Nasdaq: IFRX) is a biopharmaceuticalcompany pioneering anti-inflammatory therapeutics by applying its proprietary anti-C5a and anti-C5aR technologies to discover, developand commercialize highly potent and specific inhibitors of the complement activation factor C5a and its receptor, C5aR. C5a is a powerfulinflammatory mediator involved in the progression of a wide variety of inflammatory diseases. InflaRx’s lead program is izicopan,an orally administered small molecule inhibitor of C5a-induced signaling via the C5a receptor, which has shown promising PK/PD characteristicsas well as therapeutic potential in Phase 1 and Phase 2a clinical studies. The Company is developing izicopan for the treatment of severalinflammatory diseases, including hidradenitis suppurativa. InflaRx also has developed vilobelimab, a novel, intravenously delivered, first-in-class,anti-C5a monoclonal antibody that selectively binds to free C5a and has demonstrated disease-modifying clinical activity and tolerabilityin multiple clinical studies.</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InflaRx was founded in 2007, and the group hasoffices and subsidiaries in Jena and Munich, Germany, as well as Ann Arbor, MI, USA. For further information, please visit www.inflarx.de.InflaRx GmbH (Germany) and InflaRx Pharmaceuticals Inc. (USA) are wholly owned subsidiaries of InflaRx N.V. (together, InflaRx).</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color w:val="000000"/>
          <w:sz w:val="20"/>
        </w:rPr>
        <w:t>Contacts:</w:t>
      </w:r>
    </w:p>
    <w:p>
      <w:pPr>
        <w:spacing w:before="0" w:after="0"/>
        <w:ind w:left="120"/>
        <w:jc w:val="left"/>
      </w:pPr>
    </w:p>
    <w:p>
      <w:pPr>
        <w:spacing w:before="0" w:after="0"/>
        <w:ind w:left="120"/>
        <w:jc w:val="both"/>
      </w:pPr>
      <w:r>
        <w:rPr>
          <w:rFonts w:ascii="Times New Roman" w:hAnsi="Times New Roman"/>
          <w:b/>
          <w:i/>
          <w:color w:val="000000"/>
          <w:sz w:val="20"/>
        </w:rPr>
        <w:t> </w:t>
      </w:r>
    </w:p>
    <w:p>
      <w:pPr>
        <w:spacing w:before="0" w:after="0"/>
        <w:ind w:left="120"/>
        <w:jc w:val="left"/>
      </w:pPr>
    </w:p>
    <w:tbl>
      <w:tblPr>
        <w:tblW w:w="0" w:type="auto"/>
        <w:tblCellSpacing w:w="0" w:type="auto"/>
        <w:tblBorders>
          <w:top w:val="none"/>
          <w:left w:val="none"/>
          <w:bottom w:val="none"/>
          <w:right w:val="none"/>
          <w:insideH w:val="none"/>
          <w:insideV w:val="none"/>
        </w:tblBorders>
      </w:tblPr>
      <w:tblGrid>
        <w:gridCol w:w="6817"/>
        <w:gridCol w:w="6817"/>
      </w:tblGrid>
      <w:tr>
        <w:trPr>
          <w:trHeight w:val="240" w:hRule="atLeast"/>
        </w:trPr>
        <w:tc>
          <w:tcPr>
            <w:tcW w:w="6817" w:type="dxa"/>
            <w:tcBorders>
              <w:top w:val="single" w:color="000000" w:sz="11"/>
              <w:left w:val="single" w:color="000000" w:sz="11"/>
              <w:bottom w:val="single" w:color="000000" w:sz="11"/>
              <w:right w:val="single" w:color="000000" w:sz="11"/>
            </w:tcBorders>
            <w:tcMar>
              <w:top w:w="15" w:type="dxa"/>
              <w:left w:w="81" w:type="dxa"/>
              <w:bottom w:w="15" w:type="dxa"/>
              <w:right w:w="15" w:type="dxa"/>
            </w:tcMar>
            <w:vAlign w:val="top"/>
          </w:tcPr>
          <w:p>
            <w:pPr>
              <w:spacing w:before="0" w:after="0"/>
              <w:ind w:left="0"/>
              <w:jc w:val="both"/>
            </w:pPr>
            <w:r>
              <w:rPr>
                <w:rFonts w:ascii="Times New Roman" w:hAnsi="Times New Roman"/>
                <w:b/>
                <w:i w:val="false"/>
                <w:color w:val="000000"/>
                <w:sz w:val="20"/>
              </w:rPr>
              <w:t>InflaRx N.V.</w:t>
            </w:r>
          </w:p>
        </w:tc>
        <w:tc>
          <w:tcPr>
            <w:tcW w:w="6817" w:type="dxa"/>
            <w:tcBorders>
              <w:top w:val="single" w:color="000000" w:sz="11"/>
              <w:bottom w:val="single" w:color="000000" w:sz="11"/>
              <w:right w:val="single" w:color="000000" w:sz="11"/>
            </w:tcBorders>
            <w:tcMar>
              <w:top w:w="15" w:type="dxa"/>
              <w:left w:w="81" w:type="dxa"/>
              <w:bottom w:w="15" w:type="dxa"/>
              <w:right w:w="15" w:type="dxa"/>
            </w:tcMar>
            <w:vAlign w:val="top"/>
          </w:tcPr>
          <w:p>
            <w:pPr>
              <w:spacing w:before="0" w:after="0"/>
              <w:ind w:left="0"/>
              <w:jc w:val="both"/>
            </w:pPr>
            <w:r>
              <w:rPr>
                <w:rFonts w:ascii="Times New Roman" w:hAnsi="Times New Roman"/>
                <w:b/>
                <w:i w:val="false"/>
                <w:color w:val="000000"/>
                <w:sz w:val="20"/>
              </w:rPr>
              <w:t>MC Services AG</w:t>
            </w:r>
          </w:p>
        </w:tc>
      </w:tr>
      <w:tr>
        <w:trPr>
          <w:trHeight w:val="1110" w:hRule="atLeast"/>
        </w:trPr>
        <w:tc>
          <w:tcPr>
            <w:tcW w:w="6817" w:type="dxa"/>
            <w:tcBorders>
              <w:left w:val="single" w:color="000000" w:sz="11"/>
              <w:bottom w:val="single" w:color="000000" w:sz="11"/>
              <w:right w:val="single" w:color="000000" w:sz="11"/>
            </w:tcBorders>
            <w:tcMar>
              <w:top w:w="15" w:type="dxa"/>
              <w:left w:w="81" w:type="dxa"/>
              <w:bottom w:w="15" w:type="dxa"/>
              <w:right w:w="81" w:type="dxa"/>
            </w:tcMar>
            <w:vAlign w:val="top"/>
          </w:tcPr>
          <w:p>
            <w:pPr>
              <w:spacing w:before="0" w:after="0"/>
              <w:ind w:left="228"/>
              <w:jc w:val="both"/>
            </w:pPr>
            <w:r>
              <w:rPr>
                <w:rFonts w:ascii="Times New Roman" w:hAnsi="Times New Roman"/>
                <w:b w:val="false"/>
                <w:i w:val="false"/>
                <w:color w:val="000000"/>
                <w:sz w:val="20"/>
              </w:rPr>
              <w:t>Jan Medina, CFA</w:t>
            </w:r>
          </w:p>
          <w:p>
            <w:pPr>
              <w:spacing w:before="0" w:after="0"/>
              <w:ind w:left="228"/>
              <w:jc w:val="both"/>
            </w:pPr>
            <w:r>
              <w:rPr>
                <w:rFonts w:ascii="Times New Roman" w:hAnsi="Times New Roman"/>
                <w:b w:val="false"/>
                <w:i w:val="false"/>
                <w:color w:val="000000"/>
                <w:sz w:val="20"/>
              </w:rPr>
              <w:t>Vice President, Head of Investor Relations</w:t>
            </w:r>
          </w:p>
          <w:p>
            <w:pPr>
              <w:spacing w:before="0" w:after="0"/>
              <w:ind w:left="228"/>
              <w:jc w:val="both"/>
            </w:pPr>
            <w:r>
              <w:rPr>
                <w:rFonts w:ascii="Times New Roman" w:hAnsi="Times New Roman"/>
                <w:b w:val="false"/>
                <w:i w:val="false"/>
                <w:color w:val="000000"/>
                <w:sz w:val="20"/>
              </w:rPr>
              <w:t>Email: IR@inflarx.de</w:t>
            </w:r>
          </w:p>
        </w:tc>
        <w:tc>
          <w:tcPr>
            <w:tcW w:w="6817" w:type="dxa"/>
            <w:tcBorders>
              <w:bottom w:val="single" w:color="000000" w:sz="11"/>
              <w:right w:val="single" w:color="000000" w:sz="11"/>
            </w:tcBorders>
            <w:tcMar>
              <w:top w:w="15" w:type="dxa"/>
              <w:left w:w="81" w:type="dxa"/>
              <w:bottom w:w="15" w:type="dxa"/>
              <w:right w:w="81" w:type="dxa"/>
            </w:tcMar>
            <w:vAlign w:val="top"/>
          </w:tcPr>
          <w:p>
            <w:pPr>
              <w:spacing w:before="0" w:after="0"/>
              <w:ind w:left="228"/>
              <w:jc w:val="both"/>
            </w:pPr>
            <w:r>
              <w:rPr>
                <w:rFonts w:ascii="Times New Roman" w:hAnsi="Times New Roman"/>
                <w:b w:val="false"/>
                <w:i w:val="false"/>
                <w:color w:val="000000"/>
                <w:sz w:val="20"/>
              </w:rPr>
              <w:t>Katja Arnold, Laurie Doyle, Dr. Regina Lutz</w:t>
            </w:r>
          </w:p>
          <w:p>
            <w:pPr>
              <w:spacing w:before="0" w:after="0"/>
              <w:ind w:left="228"/>
              <w:jc w:val="both"/>
            </w:pPr>
            <w:r>
              <w:rPr>
                <w:rFonts w:ascii="Times New Roman" w:hAnsi="Times New Roman"/>
                <w:b w:val="false"/>
                <w:i w:val="false"/>
                <w:color w:val="000000"/>
                <w:sz w:val="20"/>
              </w:rPr>
              <w:t>Email: inflarx@mc-services.eu</w:t>
            </w:r>
          </w:p>
          <w:p>
            <w:pPr>
              <w:spacing w:before="0" w:after="0"/>
              <w:ind w:left="228"/>
              <w:jc w:val="both"/>
            </w:pPr>
            <w:r>
              <w:rPr>
                <w:rFonts w:ascii="Times New Roman" w:hAnsi="Times New Roman"/>
                <w:b w:val="false"/>
                <w:i w:val="false"/>
                <w:color w:val="000000"/>
                <w:sz w:val="20"/>
              </w:rPr>
              <w:t>Europe: +49 89-210 2280</w:t>
            </w:r>
          </w:p>
          <w:p>
            <w:pPr>
              <w:spacing w:before="0" w:after="0"/>
              <w:ind w:left="228"/>
              <w:jc w:val="both"/>
            </w:pPr>
            <w:r>
              <w:rPr>
                <w:rFonts w:ascii="Times New Roman" w:hAnsi="Times New Roman"/>
                <w:b w:val="false"/>
                <w:i w:val="false"/>
                <w:color w:val="000000"/>
                <w:sz w:val="20"/>
              </w:rPr>
              <w:t>U.S.: +1-339-832-0752</w:t>
            </w:r>
          </w:p>
        </w:tc>
      </w:tr>
    </w:tbl>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p>
    <w:p>
      <w:pPr>
        <w:spacing w:before="0" w:after="0"/>
        <w:ind w:left="120"/>
        <w:jc w:val="left"/>
      </w:pPr>
    </w:p>
    <w:p>
      <w:pPr>
        <w:spacing w:before="0" w:after="0"/>
        <w:ind w:left="120"/>
        <w:jc w:val="center"/>
      </w:pPr>
      <w:r>
        <w:rPr>
          <w:rFonts w:ascii="Times New Roman" w:hAnsi="Times New Roman"/>
          <w:b w:val="false"/>
          <w:i w:val="false"/>
          <w:color w:val="000000"/>
          <w:sz w:val="20"/>
        </w:rPr>
        <w:t>11</w:t>
      </w:r>
    </w:p>
    <w:p>
      <w:pPr>
        <w:spacing w:before="0" w:after="0"/>
        <w:ind w:left="120"/>
        <w:jc w:val="left"/>
      </w:pPr>
    </w:p>
    <w:p>
      <w:pPr>
        <w:spacing w:before="0" w:after="0"/>
        <w:ind w:left="120"/>
        <w:jc w:val="left"/>
      </w:pPr>
      <w:r>
        <w:rPr>
          <w:rFonts w:ascii="Times New Roman" w:hAnsi="Times New Roman"/>
          <w:b w:val="false"/>
          <w:i w:val="false"/>
          <w:color w:val="000000"/>
          <w:sz w:val="22"/>
        </w:rPr>
        <w:t> </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 </w:t>
      </w:r>
      <w:r>
        <w:drawing>
          <wp:inline distT="0" distB="0" distL="0" distR="0">
            <wp:extent cx="1514475" cy="48577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4"/>
                    <a:stretch>
                      <a:fillRect/>
                    </a:stretch>
                  </pic:blipFill>
                  <pic:spPr>
                    <a:xfrm>
                      <a:off x="0" y="0"/>
                      <a:ext cx="1514475" cy="485775"/>
                    </a:xfrm>
                    <a:prstGeom prst="rect">
                      <a:avLst/>
                    </a:prstGeom>
                  </pic:spPr>
                </pic:pic>
              </a:graphicData>
            </a:graphic>
          </wp:inline>
        </w:drawing>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r>
        <w:rPr>
          <w:rFonts w:ascii="Times New Roman" w:hAnsi="Times New Roman"/>
          <w:b/>
          <w:i w:val="false"/>
          <w:color w:val="000000"/>
          <w:sz w:val="20"/>
        </w:rPr>
        <w:t>FORWARD-LOOKING STATEMENTS</w:t>
      </w:r>
    </w:p>
    <w:p>
      <w:pPr>
        <w:spacing w:before="0" w:after="0"/>
        <w:ind w:left="120"/>
        <w:jc w:val="left"/>
      </w:pPr>
    </w:p>
    <w:p>
      <w:pPr>
        <w:spacing w:before="0" w:after="0"/>
        <w:ind w:left="120"/>
        <w:jc w:val="both"/>
      </w:pPr>
      <w:r>
        <w:rPr>
          <w:rFonts w:ascii="Times New Roman" w:hAnsi="Times New Roman"/>
          <w:b/>
          <w:i w:val="false"/>
          <w:color w:val="000000"/>
          <w:sz w:val="20"/>
        </w:rPr>
        <w:t> </w:t>
      </w:r>
    </w:p>
    <w:p>
      <w:pPr>
        <w:spacing w:before="0" w:after="0"/>
        <w:ind w:left="120"/>
        <w:jc w:val="left"/>
      </w:pPr>
    </w:p>
    <w:p>
      <w:pPr>
        <w:spacing w:before="0" w:after="0"/>
        <w:ind w:left="120"/>
        <w:jc w:val="both"/>
      </w:pPr>
      <w:r>
        <w:rPr>
          <w:rFonts w:ascii="Times New Roman" w:hAnsi="Times New Roman"/>
          <w:b w:val="false"/>
          <w:i w:val="false"/>
          <w:color w:val="000000"/>
          <w:sz w:val="20"/>
        </w:rPr>
        <w:t>This press release contains forward-looking statements.All statements other than statements of historical fact are forward-looking statements, which are often indicated by terms such as “may,”“will,” “should,” “expect,” “plan,” “anticipate,” “could,” “intend,”“target,” “project,” “estimate,” “believe,” “predict,” “potential”or “continue,” among others. Forward-looking statements appear in a number of places throughout this release and may includestatements regarding our intentions, beliefs, projections, outlook, analyses and current expectations concerning, among other things,the success of our future clinical trials for vilobelimab’s treatment of other debilitating or life-threatening inflammatory indications,including acute respiratory distress syndrome, or ARDS; the potential strategic transactions or collaborations, including a potentialpartnership of izicopan, or vilobelimab for PG; the success of our future clinical trials for izicopan, and whether such clinical resultswill reflect results seen in previously conducted pre-clinical studies and clinical trials; the timing, progress and results of pre-clinicalstudies and clinical trials of vilobelimab, izicopan and any other of our product candidates and statements regarding the timing of initiationand completion of studies or trials and related preparatory work, the period during which the results of the trials will become available,the costs of such trials and our research and development programs generally; our interactions with regulators regarding the results ofclinical trials and potential regulatory approval pathways, including related to our biologics license application submission for GOHIBIC(vilobelimab), and our ability to obtain and maintain full regulatory approval of vilobelimab or GOHIBIC (vilobelimab) for any indication;whether the FDA, or any comparable foreign regulatory authority will accept or agree with the number, design, size, conduct or implementationof our clinical trials, including any proposed primary or secondary endpoints for such trials; our ability to leverage our proprietaryanti-C5a and anti-C5aR technologies to discover and develop therapies to treat complement-mediated immunological and inflammatory diseases;our ability to protect, maintain and enforce our intellectual property protection for vilobelimab, izicopan and any other product candidates,and the scope of such protection; our manufacturing capabilities and strategy, including the scalability and cost of our manufacturingmethods and processes and the optimization of our manufacturing methods and processes, and our ability to continue to rely on our existingthird-party manufacturers and our ability to engage additional third-party manufacturers for our planned future clinical trials and forcommercial supply of vilobelimab and for the finished product GOHIBIC (vilobelimab); our estimates of our expenses, ongoing losses, futurerevenue, capital requirements and our needs for or ability to obtain additional financing; our ability to defend against liability claimsresulting from the testing of our product candidates in the clinic or, if approved, any commercial sales; if any of our product candidatesobtain regulatory approval, our ability to comply with and satisfy ongoing obligations and continued regulatory overview; our abilityto comply with enacted and future legislation in seeking marketing approval or commercialization; our future growth and ability to compete,which depends on our retaining key personnel and recruiting additional qualified personnel; and our competitive position and the developmentof and projections relating to our competitors in the development of C5a and C5aR inhibitors or our industry; and the risks, uncertaintiesand other factors described under the heading “Risk Factors” in our periodic filings with the SEC. These statements speakonly as of the date of this press release and involve known and unknown risks, uncertainties and other important factors that may causeour actual results, performance or achievements to be materially different from any future results, performance or achievements expressedor implied by the forward-looking statements. Given these risks, uncertainties and other factors, you should not place undue relianceon these forward-looking statements, and we assume no obligation to update these forward-looking statements, even if new information becomesavailable in the future, except as required by law.</w:t>
      </w:r>
    </w:p>
    <w:p>
      <w:pPr>
        <w:spacing w:before="0" w:after="0"/>
        <w:ind w:left="120"/>
        <w:jc w:val="left"/>
      </w:pPr>
    </w:p>
    <w:p>
      <w:pPr>
        <w:spacing w:before="0" w:after="0"/>
        <w:ind w:left="120"/>
        <w:jc w:val="both"/>
      </w:pPr>
      <w:r>
        <w:rPr>
          <w:rFonts w:ascii="Times New Roman" w:hAnsi="Times New Roman"/>
          <w:b w:val="false"/>
          <w:i w:val="false"/>
          <w:color w:val="000000"/>
          <w:sz w:val="20"/>
        </w:rPr>
        <w:t> </w:t>
      </w:r>
    </w:p>
    <w:p>
      <w:pPr>
        <w:spacing w:before="0" w:after="0"/>
        <w:ind w:left="120"/>
        <w:jc w:val="left"/>
      </w:pPr>
    </w:p>
    <w:p>
      <w:pPr>
        <w:spacing w:before="0" w:after="0"/>
        <w:ind w:left="120"/>
        <w:jc w:val="both"/>
      </w:pPr>
    </w:p>
    <w:p>
      <w:pPr>
        <w:spacing w:before="0" w:after="0"/>
        <w:ind w:left="120"/>
        <w:jc w:val="left"/>
      </w:pPr>
    </w:p>
    <w:p>
      <w:pPr>
        <w:spacing w:before="0" w:after="0"/>
        <w:ind w:left="120"/>
        <w:jc w:val="center"/>
      </w:pPr>
      <w:r>
        <w:rPr>
          <w:rFonts w:ascii="Times New Roman" w:hAnsi="Times New Roman"/>
          <w:b w:val="false"/>
          <w:i w:val="false"/>
          <w:color w:val="000000"/>
          <w:sz w:val="20"/>
        </w:rPr>
        <w:t>12</w:t>
      </w:r>
    </w:p>
    <w:p>
      <w:pPr>
        <w:spacing w:before="0" w:after="0"/>
        <w:ind w:left="120"/>
        <w:jc w:val="left"/>
      </w:pPr>
    </w:p>
    <w:p>
      <w:pPr>
        <w:spacing w:before="0" w:after="0"/>
        <w:ind w:left="120"/>
        <w:jc w:val="both"/>
      </w:pPr>
    </w:p>
    <w:p>
      <w:pPr>
        <w:spacing w:before="0" w:after="0"/>
        <w:ind w:left="120"/>
        <w:jc w:val="left"/>
      </w:pPr>
    </w:p>
    <w:p/>
    <w:br w:type="page"/>
    <w:sectPr>
      <w:pgSz w:w="11907" w:h="16839" w:code="9"/>
      <w:pgMar w:top="1440" w:right="1440" w:bottom="1440" w:left="1440"/>
    </w:sectPr>
  </w:body>
</w:document>
</file>

<file path=word/settings.xml><?xml version="1.0" encoding="utf-8"?>
<w:settings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
  <w:compat>
    <w:compatSetting w:name="overrideTableStyleFontSizeAndJustification" w:uri="http://schemas.microsoft.com/office/word" w:val="1"/>
  </w:compat>
</w:settings>
</file>

<file path=word/styles.xml><?xml version="1.0" encoding="utf-8"?>
<w:styles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false" w:defUIPriority="99" w:defSemiHidden="true" w:defUnhideWhenUsed="true" w:defQFormat="false" w:count="267">
    <w:lsdException w:name="Normal" w:uiPriority="0" w:semiHidden="false" w:unhideWhenUsed="false" w:qFormat="true"/>
    <w:lsdException w:name="heading 1" w:uiPriority="9" w:semiHidden="false" w:unhideWhenUsed="false" w:qFormat="true"/>
    <w:lsdException w:name="heading 2" w:uiPriority="9" w:qFormat="true"/>
    <w:lsdException w:name="heading 3" w:uiPriority="9" w:qFormat="true"/>
    <w:lsdException w:name="heading 4" w:uiPriority="9" w:qFormat="true"/>
    <w:lsdException w:name="Title" w:uiPriority="10" w:semiHidden="false" w:unhideWhenUsed="false" w:qFormat="true"/>
    <w:lsdException w:name="Default Paragraph Font" w:uiPriority="1"/>
    <w:lsdException w:name="Subtitle" w:uiPriority="11" w:semiHidden="false" w:unhideWhenUsed="false" w:qFormat="true"/>
    <w:lsdException w:name="Emphasis" w:uiPriority="20" w:semiHidden="false" w:unhideWhenUsed="false" w:qFormat="true"/>
    <w:lsdException w:name="Table Grid" w:uiPriority="59" w:semiHidden="false" w:unhideWhenUsed="false"/>
  </w:latentStyles>
  <w:style w:type="paragraph" w:styleId="Normal" w:default="true">
    <w:name w:val="Normal"/>
    <w:qFormat/>
    <w:rsid w:val="004A3277"/>
  </w:style>
  <w:style w:type="paragraph" w:styleId="Heading1">
    <w:name w:val="heading 1"/>
    <w:basedOn w:val="Normal"/>
    <w:next w:val="Normal"/>
    <w:link w:val="Heading1Char"/>
    <w:uiPriority w:val="9"/>
    <w:qFormat/>
    <w:rsid w:val="00841CD9"/>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41CD9"/>
    <w:pPr>
      <w:keepNext/>
      <w:keepLines/>
      <w:spacing w:before="200"/>
      <w:outlineLvl w:val="1"/>
    </w:pPr>
    <w:rPr>
      <w:rFonts w:asciiTheme="majorHAnsi" w:hAnsiTheme="majorHAnsi"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841CD9"/>
    <w:pPr>
      <w:keepNext/>
      <w:keepLines/>
      <w:spacing w:before="200"/>
      <w:outlineLvl w:val="2"/>
    </w:pPr>
    <w:rPr>
      <w:rFonts w:asciiTheme="majorHAnsi" w:hAnsiTheme="majorHAnsi" w:eastAsiaTheme="majorEastAsia" w:cstheme="majorBidi"/>
      <w:b/>
      <w:bCs/>
      <w:color w:val="4F81BD" w:themeColor="accent1"/>
    </w:rPr>
  </w:style>
  <w:style w:type="paragraph" w:styleId="Heading4">
    <w:name w:val="heading 4"/>
    <w:basedOn w:val="Normal"/>
    <w:next w:val="Normal"/>
    <w:link w:val="Heading4Char"/>
    <w:uiPriority w:val="9"/>
    <w:unhideWhenUsed/>
    <w:qFormat/>
    <w:rsid w:val="00841CD9"/>
    <w:pPr>
      <w:keepNext/>
      <w:keepLines/>
      <w:spacing w:before="200"/>
      <w:outlineLvl w:val="3"/>
    </w:pPr>
    <w:rPr>
      <w:rFonts w:asciiTheme="majorHAnsi" w:hAnsiTheme="majorHAnsi" w:eastAsiaTheme="majorEastAsia" w:cstheme="majorBidi"/>
      <w:b/>
      <w:bCs/>
      <w:i/>
      <w:iCs/>
      <w:color w:val="4F81BD" w:themeColor="accent1"/>
    </w:rPr>
  </w:style>
  <w:style w:type="character" w:styleId="DefaultParagraphFont" w:default="true">
    <w:name w:val="Default Paragraph Font"/>
    <w:uiPriority w:val="1"/>
    <w:semiHidden/>
    <w:unhideWhenUsed/>
  </w:style>
  <w:style w:type="paragraph" w:styleId="Header">
    <w:name w:val="header"/>
    <w:basedOn w:val="Normal"/>
    <w:link w:val="HeaderChar"/>
    <w:uiPriority w:val="99"/>
    <w:unhideWhenUsed/>
    <w:rsid w:val="00841CD9"/>
    <w:pPr>
      <w:tabs>
        <w:tab w:val="center" w:pos="4680"/>
        <w:tab w:val="right" w:pos="9360"/>
      </w:tabs>
    </w:pPr>
  </w:style>
  <w:style w:type="character" w:styleId="HeaderChar" w:customStyle="true">
    <w:name w:val="Header Char"/>
    <w:basedOn w:val="DefaultParagraphFont"/>
    <w:link w:val="Header"/>
    <w:uiPriority w:val="99"/>
    <w:rsid w:val="00841CD9"/>
  </w:style>
  <w:style w:type="character" w:styleId="Heading1Char" w:customStyle="true">
    <w:name w:val="Heading 1 Char"/>
    <w:basedOn w:val="DefaultParagraphFont"/>
    <w:link w:val="Heading1"/>
    <w:uiPriority w:val="9"/>
    <w:rsid w:val="00841CD9"/>
    <w:rPr>
      <w:rFonts w:asciiTheme="majorHAnsi" w:hAnsiTheme="majorHAnsi" w:eastAsiaTheme="majorEastAsia" w:cstheme="majorBidi"/>
      <w:b/>
      <w:bCs/>
      <w:color w:val="365F91" w:themeColor="accent1" w:themeShade="BF"/>
      <w:sz w:val="28"/>
      <w:szCs w:val="28"/>
    </w:rPr>
  </w:style>
  <w:style w:type="character" w:styleId="Heading2Char" w:customStyle="true">
    <w:name w:val="Heading 2 Char"/>
    <w:basedOn w:val="DefaultParagraphFont"/>
    <w:link w:val="Heading2"/>
    <w:uiPriority w:val="9"/>
    <w:rsid w:val="00841CD9"/>
    <w:rPr>
      <w:rFonts w:asciiTheme="majorHAnsi" w:hAnsiTheme="majorHAnsi" w:eastAsiaTheme="majorEastAsia" w:cstheme="majorBidi"/>
      <w:b/>
      <w:bCs/>
      <w:color w:val="4F81BD" w:themeColor="accent1"/>
      <w:sz w:val="26"/>
      <w:szCs w:val="26"/>
    </w:rPr>
  </w:style>
  <w:style w:type="character" w:styleId="Heading3Char" w:customStyle="true">
    <w:name w:val="Heading 3 Char"/>
    <w:basedOn w:val="DefaultParagraphFont"/>
    <w:link w:val="Heading3"/>
    <w:uiPriority w:val="9"/>
    <w:rsid w:val="00841CD9"/>
    <w:rPr>
      <w:rFonts w:asciiTheme="majorHAnsi" w:hAnsiTheme="majorHAnsi" w:eastAsiaTheme="majorEastAsia" w:cstheme="majorBidi"/>
      <w:b/>
      <w:bCs/>
      <w:color w:val="4F81BD" w:themeColor="accent1"/>
    </w:rPr>
  </w:style>
  <w:style w:type="character" w:styleId="Heading4Char" w:customStyle="true">
    <w:name w:val="Heading 4 Char"/>
    <w:basedOn w:val="DefaultParagraphFont"/>
    <w:link w:val="Heading4"/>
    <w:uiPriority w:val="9"/>
    <w:rsid w:val="00841CD9"/>
    <w:rPr>
      <w:rFonts w:asciiTheme="majorHAnsi" w:hAnsiTheme="majorHAnsi" w:eastAsiaTheme="majorEastAsia" w:cstheme="majorBidi"/>
      <w:b/>
      <w:bCs/>
      <w:i/>
      <w:iCs/>
      <w:color w:val="4F81BD" w:themeColor="accent1"/>
    </w:rPr>
  </w:style>
  <w:style w:type="paragraph" w:styleId="NormalIndent">
    <w:name w:val="Normal Indent"/>
    <w:basedOn w:val="Normal"/>
    <w:uiPriority w:val="99"/>
    <w:unhideWhenUsed/>
    <w:rsid w:val="00841CD9"/>
    <w:pPr>
      <w:ind w:left="720"/>
    </w:pPr>
  </w:style>
  <w:style w:type="paragraph" w:styleId="Subtitle">
    <w:name w:val="Subtitle"/>
    <w:basedOn w:val="Normal"/>
    <w:next w:val="Normal"/>
    <w:link w:val="SubtitleChar"/>
    <w:uiPriority w:val="11"/>
    <w:qFormat/>
    <w:rsid w:val="00841CD9"/>
    <w:pPr>
      <w:numPr>
        <w:ilvl w:val="1"/>
      </w:numPr>
      <w:ind w:left="86"/>
    </w:pPr>
    <w:rPr>
      <w:rFonts w:asciiTheme="majorHAnsi" w:hAnsiTheme="majorHAnsi" w:eastAsiaTheme="majorEastAsia" w:cstheme="majorBidi"/>
      <w:i/>
      <w:iCs/>
      <w:color w:val="4F81BD" w:themeColor="accent1"/>
      <w:spacing w:val="15"/>
      <w:sz w:val="24"/>
      <w:szCs w:val="24"/>
    </w:rPr>
  </w:style>
  <w:style w:type="character" w:styleId="SubtitleChar" w:customStyle="true">
    <w:name w:val="Subtitle Char"/>
    <w:basedOn w:val="DefaultParagraphFont"/>
    <w:link w:val="Subtitle"/>
    <w:uiPriority w:val="11"/>
    <w:rsid w:val="00841CD9"/>
    <w:rPr>
      <w:rFonts w:asciiTheme="majorHAnsi" w:hAnsiTheme="majorHAnsi" w:eastAsiaTheme="majorEastAsia" w:cstheme="majorBidi"/>
      <w:i/>
      <w:iCs/>
      <w:color w:val="4F81BD" w:themeColor="accent1"/>
      <w:spacing w:val="15"/>
      <w:sz w:val="24"/>
      <w:szCs w:val="24"/>
    </w:rPr>
  </w:style>
  <w:style w:type="paragraph" w:styleId="Title">
    <w:name w:val="Title"/>
    <w:basedOn w:val="Normal"/>
    <w:next w:val="Normal"/>
    <w:link w:val="TitleChar"/>
    <w:uiPriority w:val="10"/>
    <w:qFormat/>
    <w:rsid w:val="00841CD9"/>
    <w:pPr>
      <w:pBdr>
        <w:bottom w:val="single" w:color="4F81BD" w:themeColor="accent1" w:sz="8" w:space="4"/>
      </w:pBdr>
      <w:spacing w:after="300"/>
      <w:contextualSpacing/>
    </w:pPr>
    <w:rPr>
      <w:rFonts w:asciiTheme="majorHAnsi" w:hAnsiTheme="majorHAnsi" w:eastAsiaTheme="majorEastAsia" w:cstheme="majorBidi"/>
      <w:color w:val="17365D" w:themeColor="text2" w:themeShade="BF"/>
      <w:spacing w:val="5"/>
      <w:kern w:val="28"/>
      <w:sz w:val="52"/>
      <w:szCs w:val="52"/>
    </w:rPr>
  </w:style>
  <w:style w:type="character" w:styleId="TitleChar" w:customStyle="true">
    <w:name w:val="Title Char"/>
    <w:basedOn w:val="DefaultParagraphFont"/>
    <w:link w:val="Title"/>
    <w:uiPriority w:val="10"/>
    <w:rsid w:val="00841CD9"/>
    <w:rPr>
      <w:rFonts w:asciiTheme="majorHAnsi" w:hAnsiTheme="majorHAnsi" w:eastAsiaTheme="majorEastAsia" w:cstheme="majorBidi"/>
      <w:color w:val="17365D" w:themeColor="text2" w:themeShade="BF"/>
      <w:spacing w:val="5"/>
      <w:kern w:val="28"/>
      <w:sz w:val="52"/>
      <w:szCs w:val="52"/>
    </w:rPr>
  </w:style>
  <w:style w:type="character" w:styleId="Emphasis">
    <w:name w:val="Emphasis"/>
    <w:basedOn w:val="DefaultParagraphFont"/>
    <w:uiPriority w:val="20"/>
    <w:qFormat/>
    <w:rsid w:val="00D1197D"/>
    <w:rPr>
      <w:i/>
      <w:iCs/>
    </w:r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table" w:styleId="TableNormal" w:default="true">
    <w:name w:val="Normal Table"/>
    <w:uiPriority w:val="99"/>
    <w:semiHidden/>
    <w:unhideWhenUsed/>
    <w:qFormat/>
    <w:tblPr>
      <w:tblInd w:w="0" w:type="dxa"/>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7109C0"/>
    <w:pPr>
      <w:spacing w:line="240" w:lineRule="auto"/>
    </w:pPr>
    <w:rPr>
      <w:b/>
      <w:bCs/>
      <w:color w:val="4F81BD" w:themeColor="accent1"/>
      <w:sz w:val="18"/>
      <w:szCs w:val="18"/>
    </w:rPr>
  </w:style>
</w:styles>
</file>

<file path=word/_rels/document.xml.rels><?xml version="1.0" encoding="UTF-8" standalone="yes"?>
<Relationships xmlns="http://schemas.openxmlformats.org/package/2006/relationships">
    <Relationship Target="styles.xml" Type="http://schemas.openxmlformats.org/officeDocument/2006/relationships/styles" Id="rId1"/>
    <Relationship Target="settings.xml" Type="http://schemas.openxmlformats.org/officeDocument/2006/relationships/settings" Id="rId2"/>
    <Relationship Target="media/document_image_rId4.jpeg" Type="http://schemas.openxmlformats.org/officeDocument/2006/relationships/image" Id="rId3"/>
    <Relationship Target="media/document_image_rId42.jpeg" Type="http://schemas.openxmlformats.org/officeDocument/2006/relationships/image" Id="rId4"/>
    <Relationship Target="media/document_image_rId422.jpeg" Type="http://schemas.openxmlformats.org/officeDocument/2006/relationships/image" Id="rId5"/>
    <Relationship Target="media/document_image_rId4222.jpeg" Type="http://schemas.openxmlformats.org/officeDocument/2006/relationships/image" Id="rId6"/>
    <Relationship Target="media/document_image_rId42222.jpeg" Type="http://schemas.openxmlformats.org/officeDocument/2006/relationships/image" Id="rId7"/>
    <Relationship Target="media/document_image_rId422222.jpeg" Type="http://schemas.openxmlformats.org/officeDocument/2006/relationships/image" Id="rId8"/>
    <Relationship Target="media/document_image_rId4222222.jpeg" Type="http://schemas.openxmlformats.org/officeDocument/2006/relationships/image" Id="rId9"/>
    <Relationship Target="media/document_image_rId42222222.jpeg" Type="http://schemas.openxmlformats.org/officeDocument/2006/relationships/image" Id="rId10"/>
    <Relationship Target="media/document_image_rId422222222.jpeg" Type="http://schemas.openxmlformats.org/officeDocument/2006/relationships/image" Id="rId11"/>
    <Relationship Target="media/document_image_rId4222222222.jpeg" Type="http://schemas.openxmlformats.org/officeDocument/2006/relationships/image" Id="rId12"/>
    <Relationship Target="media/document_image_rId42222222222.jpeg" Type="http://schemas.openxmlformats.org/officeDocument/2006/relationships/image" Id="rId13"/>
    <Relationship Target="media/document_image_rId422222222222.jpeg" Type="http://schemas.openxmlformats.org/officeDocument/2006/relationships/image" Id="rId14"/>
</Relationships>

</file>

<file path=docProps/app.xml><?xml version="1.0" encoding="utf-8"?>
<properties:Properties xmlns:vt="http://schemas.openxmlformats.org/officeDocument/2006/docPropsVTypes" xmlns:properties="http://schemas.openxmlformats.org/officeDocument/2006/extended-properties"/>
</file>

<file path=docProps/core.xml><?xml version="1.0" encoding="utf-8"?>
<cp:coreProperties xmlns:cp="http://schemas.openxmlformats.org/package/2006/metadata/core-properties" xmlns:dcterms="http://purl.org/dc/terms/" xmlns:dc="http://purl.org/dc/elements/1.1/"/>
</file>