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8.2.9 (Apache licensed) using REFERENCE JAXB in Red Hat, Inc. Java 17.0.18 on Linux -->
    <w:p>
      <w:pPr>
        <w:spacing w:before="0" w:after="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2"/>
        </w:rPr>
        <w:t xml:space="preserve">F-3 </w:t>
      </w:r>
      <w:r>
        <w:rPr>
          <w:rFonts w:ascii="Times New Roman" w:hAnsi="Times New Roman"/>
          <w:b w:val="false"/>
          <w:i w:val="false"/>
          <w:color w:val="000000"/>
          <w:sz w:val="22"/>
        </w:rPr>
        <w:t xml:space="preserve">1 </w:t>
      </w:r>
      <w:r>
        <w:rPr>
          <w:rFonts w:ascii="Times New Roman" w:hAnsi="Times New Roman"/>
          <w:b w:val="false"/>
          <w:i w:val="false"/>
          <w:color w:val="000000"/>
          <w:sz w:val="22"/>
        </w:rPr>
        <w:t xml:space="preserve">ny20075001x1_f3.htm </w:t>
      </w:r>
      <w:r>
        <w:rPr>
          <w:rFonts w:ascii="Times New Roman" w:hAnsi="Times New Roman"/>
          <w:b w:val="false"/>
          <w:i w:val="false"/>
          <w:color w:val="000000"/>
          <w:sz w:val="22"/>
        </w:rPr>
        <w:t xml:space="preserve">F-3 </w:t>
      </w:r>
    </w:p>
    <w:p>
      <w:pPr>
        <w:spacing w:before="0" w:after="0"/>
        <w:ind w:left="120"/>
        <w:jc w:val="left"/>
      </w:pPr>
      <w:bookmarkStart w:name="ny20075001x1_f3_100-regcov_pg1" w:id="0"/>
      <w:r>
        <w:rPr>
          <w:rFonts w:ascii="Times New Roman" w:hAnsi="Times New Roman"/>
          <w:b w:val="false"/>
          <w:i w:val="false"/>
          <w:color w:val="0000ff"/>
          <w:sz w:val="22"/>
        </w:rPr>
        <w:t/>
      </w:r>
      <w:bookmarkEnd w:id="0"/>
    </w:p>
    <w:p>
      <w:pPr>
        <w:spacing w:before="269" w:after="269"/>
        <w:ind w:left="120"/>
        <w:jc w:val="left"/>
      </w:pPr>
      <w:r>
        <w:rPr>
          <w:rFonts w:ascii="Times New Roman" w:hAnsi="Times New Roman"/>
          <w:b/>
          <w:i w:val="false"/>
          <w:color w:val="000000"/>
          <w:sz w:val="16"/>
        </w:rPr>
        <w:t>TABLE OF CONTENTS</w:t>
      </w:r>
    </w:p>
    <w:p>
      <w:pPr>
        <w:spacing w:before="530" w:after="0"/>
        <w:ind w:left="120"/>
        <w:jc w:val="center"/>
      </w:pPr>
      <w:r>
        <w:rPr>
          <w:rFonts w:ascii="Times New Roman" w:hAnsi="Times New Roman"/>
          <w:b/>
          <w:i w:val="false"/>
          <w:color w:val="000000"/>
          <w:sz w:val="19"/>
        </w:rPr>
        <w:t xml:space="preserve"> As filed with the Securities and Exchange Commission on August 6, 2026 </w:t>
      </w:r>
    </w:p>
    <w:p>
      <w:pPr>
        <w:spacing w:before="0" w:after="0"/>
        <w:ind w:left="120"/>
        <w:jc w:val="right"/>
      </w:pPr>
      <w:r>
        <w:rPr>
          <w:rFonts w:ascii="Times New Roman" w:hAnsi="Times New Roman"/>
          <w:b/>
          <w:i w:val="false"/>
          <w:color w:val="000000"/>
          <w:sz w:val="19"/>
        </w:rPr>
        <w:t xml:space="preserve"> Registration No. 333-  </w:t>
      </w:r>
    </w:p>
    <w:p>
      <w:pPr>
        <w:pBdr>
          <w:bottom w:val="single" w:color="000000" w:sz="21"/>
        </w:pBdr>
        <w:spacing w:before="20" w:after="20"/>
        <w:ind w:left="120"/>
        <w:jc w:val="left"/>
      </w:pPr>
    </w:p>
    <w:p>
      <w:pPr>
        <w:pBdr>
          <w:bottom w:val="single" w:color="000000" w:sz="11"/>
        </w:pBdr>
        <w:spacing w:before="80" w:after="20"/>
        <w:ind w:left="120"/>
        <w:jc w:val="left"/>
      </w:pPr>
    </w:p>
    <w:p>
      <w:pPr>
        <w:spacing w:before="145" w:after="0"/>
        <w:ind w:left="120"/>
        <w:jc w:val="center"/>
      </w:pPr>
      <w:r>
        <w:rPr>
          <w:rFonts w:ascii="Times New Roman" w:hAnsi="Times New Roman"/>
          <w:b/>
          <w:i w:val="false"/>
          <w:color w:val="000000"/>
          <w:sz w:val="22"/>
        </w:rPr>
        <w:t xml:space="preserve"> UNITED STATES </w:t>
      </w:r>
      <w:r>
        <w:br/>
      </w:r>
      <w:r>
        <w:rPr>
          <w:rFonts w:ascii="Times New Roman" w:hAnsi="Times New Roman"/>
          <w:b/>
          <w:i w:val="false"/>
          <w:color w:val="000000"/>
          <w:sz w:val="22"/>
        </w:rPr>
        <w:t xml:space="preserve"> </w:t>
      </w:r>
    </w:p>
    <w:p>
      <w:pPr>
        <w:spacing w:before="0" w:after="0"/>
        <w:ind w:left="120"/>
        <w:jc w:val="center"/>
      </w:pPr>
      <w:r>
        <w:rPr>
          <w:rFonts w:ascii="Times New Roman" w:hAnsi="Times New Roman"/>
          <w:b/>
          <w:i w:val="false"/>
          <w:color w:val="000000"/>
          <w:sz w:val="22"/>
        </w:rPr>
        <w:t xml:space="preserve"> SECURITIES AND EXCHANGE COMMISSION </w:t>
      </w:r>
      <w:r>
        <w:br/>
      </w:r>
      <w:r>
        <w:rPr>
          <w:rFonts w:ascii="Times New Roman" w:hAnsi="Times New Roman"/>
          <w:b/>
          <w:i w:val="false"/>
          <w:color w:val="000000"/>
          <w:sz w:val="22"/>
        </w:rPr>
        <w:t xml:space="preserve"> </w:t>
      </w:r>
    </w:p>
    <w:p>
      <w:pPr>
        <w:spacing w:before="0" w:after="0"/>
        <w:ind w:left="120"/>
        <w:jc w:val="center"/>
      </w:pPr>
      <w:r>
        <w:rPr>
          <w:rFonts w:ascii="Times New Roman" w:hAnsi="Times New Roman"/>
          <w:b/>
          <w:i w:val="false"/>
          <w:color w:val="000000"/>
          <w:sz w:val="20"/>
        </w:rPr>
        <w:t xml:space="preserve"> </w:t>
      </w:r>
      <w:r>
        <w:rPr>
          <w:rFonts w:ascii="Times New Roman" w:hAnsi="Times New Roman"/>
          <w:b/>
          <w:i w:val="false"/>
          <w:color w:val="000000"/>
          <w:sz w:val="20"/>
        </w:rPr>
        <w:t xml:space="preserve">Washington, D.C. 20549 </w:t>
      </w:r>
    </w:p>
    <w:p>
      <w:pPr>
        <w:pBdr>
          <w:bottom w:val="single" w:color="000000" w:sz="11"/>
        </w:pBdr>
        <w:spacing w:before="105" w:after="40"/>
        <w:ind w:left="120"/>
        <w:jc w:val="left"/>
      </w:pPr>
    </w:p>
    <w:p>
      <w:pPr>
        <w:spacing w:before="90" w:after="0"/>
        <w:ind w:left="120"/>
        <w:jc w:val="center"/>
      </w:pPr>
      <w:r>
        <w:rPr>
          <w:rFonts w:ascii="Times New Roman" w:hAnsi="Times New Roman"/>
          <w:b/>
          <w:i w:val="false"/>
          <w:color w:val="000000"/>
          <w:sz w:val="22"/>
        </w:rPr>
        <w:t xml:space="preserve"> FORM F-3 </w:t>
      </w:r>
      <w:r>
        <w:br/>
      </w:r>
      <w:r>
        <w:rPr>
          <w:rFonts w:ascii="Times New Roman" w:hAnsi="Times New Roman"/>
          <w:b/>
          <w:i w:val="false"/>
          <w:color w:val="000000"/>
          <w:sz w:val="22"/>
        </w:rPr>
        <w:t xml:space="preserve"> </w:t>
      </w:r>
    </w:p>
    <w:p>
      <w:pPr>
        <w:spacing w:before="0" w:after="0"/>
        <w:ind w:left="120"/>
        <w:jc w:val="center"/>
      </w:pPr>
      <w:r>
        <w:rPr>
          <w:rFonts w:ascii="Times New Roman" w:hAnsi="Times New Roman"/>
          <w:b/>
          <w:i w:val="false"/>
          <w:color w:val="000000"/>
          <w:sz w:val="22"/>
        </w:rPr>
        <w:t xml:space="preserve"> REGISTRATION STATEMENT </w:t>
      </w:r>
      <w:r>
        <w:br/>
      </w:r>
      <w:r>
        <w:rPr>
          <w:rFonts w:ascii="Times New Roman" w:hAnsi="Times New Roman"/>
          <w:b/>
          <w:i w:val="false"/>
          <w:color w:val="000000"/>
          <w:sz w:val="22"/>
        </w:rPr>
        <w:t xml:space="preserve"> </w:t>
      </w:r>
    </w:p>
    <w:p>
      <w:pPr>
        <w:spacing w:before="0" w:after="0"/>
        <w:ind w:left="120"/>
        <w:jc w:val="center"/>
      </w:pPr>
      <w:r>
        <w:rPr>
          <w:rFonts w:ascii="Times New Roman" w:hAnsi="Times New Roman"/>
          <w:b/>
          <w:i w:val="false"/>
          <w:color w:val="000000"/>
          <w:sz w:val="22"/>
        </w:rPr>
        <w:t xml:space="preserve"> UNDER </w:t>
      </w:r>
      <w:r>
        <w:br/>
      </w:r>
      <w:r>
        <w:rPr>
          <w:rFonts w:ascii="Times New Roman" w:hAnsi="Times New Roman"/>
          <w:b/>
          <w:i w:val="false"/>
          <w:color w:val="000000"/>
          <w:sz w:val="22"/>
        </w:rPr>
        <w:t xml:space="preserve"> </w:t>
      </w:r>
    </w:p>
    <w:p>
      <w:pPr>
        <w:spacing w:before="0" w:after="0"/>
        <w:ind w:left="120"/>
        <w:jc w:val="center"/>
      </w:pPr>
      <w:r>
        <w:rPr>
          <w:rFonts w:ascii="Times New Roman" w:hAnsi="Times New Roman"/>
          <w:b/>
          <w:i w:val="false"/>
          <w:color w:val="000000"/>
          <w:sz w:val="22"/>
        </w:rPr>
        <w:t xml:space="preserve"> THE SECURITIES ACT OF 1933</w:t>
      </w:r>
      <w:r>
        <w:rPr>
          <w:rFonts w:ascii="Times New Roman" w:hAnsi="Times New Roman"/>
          <w:b w:val="false"/>
          <w:i w:val="false"/>
          <w:color w:val="000000"/>
          <w:sz w:val="22"/>
        </w:rPr>
        <w:t xml:space="preserve"> </w:t>
      </w:r>
    </w:p>
    <w:p>
      <w:pPr>
        <w:pBdr>
          <w:bottom w:val="single" w:color="000000" w:sz="11"/>
        </w:pBdr>
        <w:spacing w:before="105" w:after="40"/>
        <w:ind w:left="120"/>
        <w:jc w:val="left"/>
      </w:pPr>
    </w:p>
    <w:p>
      <w:pPr>
        <w:spacing w:before="210" w:after="0"/>
        <w:ind w:left="120"/>
        <w:jc w:val="center"/>
      </w:pPr>
      <w:r>
        <w:rPr>
          <w:rFonts w:ascii="Times New Roman" w:hAnsi="Times New Roman"/>
          <w:b/>
          <w:i w:val="false"/>
          <w:color w:val="000000"/>
          <w:sz w:val="28"/>
        </w:rPr>
        <w:t xml:space="preserve"> InflaRx N.V. </w:t>
      </w:r>
      <w:r>
        <w:br/>
      </w:r>
      <w:r>
        <w:rPr>
          <w:rFonts w:ascii="Times New Roman" w:hAnsi="Times New Roman"/>
          <w:b/>
          <w:i w:val="false"/>
          <w:color w:val="000000"/>
          <w:sz w:val="28"/>
        </w:rPr>
        <w:t xml:space="preserve"> </w:t>
      </w:r>
    </w:p>
    <w:p>
      <w:pPr>
        <w:spacing w:before="0" w:after="0"/>
        <w:ind w:left="120"/>
        <w:jc w:val="center"/>
      </w:pPr>
      <w:r>
        <w:rPr>
          <w:rFonts w:ascii="Times New Roman" w:hAnsi="Times New Roman"/>
          <w:b/>
          <w:i w:val="false"/>
          <w:color w:val="000000"/>
          <w:sz w:val="19"/>
        </w:rPr>
        <w:t xml:space="preserve"> </w:t>
      </w:r>
      <w:r>
        <w:rPr>
          <w:rFonts w:ascii="Times New Roman" w:hAnsi="Times New Roman"/>
          <w:b/>
          <w:i w:val="false"/>
          <w:color w:val="000000"/>
          <w:sz w:val="19"/>
        </w:rPr>
        <w:t xml:space="preserve">(Exact name of registrant as specified in its charter) </w:t>
      </w:r>
    </w:p>
    <w:p>
      <w:pPr>
        <w:pBdr>
          <w:bottom w:val="single" w:color="000000" w:sz="11"/>
        </w:pBdr>
        <w:spacing w:before="105" w:after="40"/>
        <w:ind w:left="120"/>
        <w:jc w:val="left"/>
      </w:pPr>
    </w:p>
    <w:p>
      <w:pPr>
        <w:spacing w:before="90" w:after="0"/>
        <w:ind w:left="120"/>
        <w:jc w:val="center"/>
      </w:pPr>
      <w:r>
        <w:rPr>
          <w:rFonts w:ascii="Times New Roman" w:hAnsi="Times New Roman"/>
          <w:b/>
          <w:i w:val="false"/>
          <w:color w:val="000000"/>
          <w:sz w:val="19"/>
        </w:rPr>
        <w:t xml:space="preserve"> Not Applicable </w:t>
      </w:r>
      <w:r>
        <w:br/>
      </w:r>
      <w:r>
        <w:rPr>
          <w:rFonts w:ascii="Times New Roman" w:hAnsi="Times New Roman"/>
          <w:b/>
          <w:i w:val="false"/>
          <w:color w:val="000000"/>
          <w:sz w:val="19"/>
        </w:rPr>
        <w:t xml:space="preserve"> </w:t>
      </w:r>
    </w:p>
    <w:p>
      <w:pPr>
        <w:spacing w:before="0" w:after="0"/>
        <w:ind w:left="120"/>
        <w:jc w:val="center"/>
      </w:pPr>
      <w:r>
        <w:rPr>
          <w:rFonts w:ascii="Times New Roman" w:hAnsi="Times New Roman"/>
          <w:b/>
          <w:i w:val="false"/>
          <w:color w:val="000000"/>
          <w:sz w:val="19"/>
        </w:rPr>
        <w:t xml:space="preserve"> (Translation of registrant’s name into English) </w:t>
      </w:r>
    </w:p>
    <w:tbl>
      <w:tblPr>
        <w:tblW w:w="0" w:type="auto"/>
        <w:tblCellSpacing w:w="0" w:type="dxa"/>
        <w:tblBorders>
          <w:top w:val="none"/>
          <w:left w:val="none"/>
          <w:bottom w:val="none"/>
          <w:right w:val="none"/>
          <w:insideH w:val="none"/>
          <w:insideV w:val="none"/>
        </w:tblBorders>
      </w:tblPr>
      <w:tblGrid>
        <w:gridCol w:w="7040"/>
        <w:gridCol w:w="160"/>
        <w:gridCol w:w="160"/>
        <w:gridCol w:w="7040"/>
      </w:tblGrid>
      <w:tr>
        <w:trPr>
          <w:trHeight w:val="120" w:hRule="atLeast"/>
        </w:trPr>
        <w:tc>
          <w:tcPr>
            <w:tcW w:w="704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704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25" w:hRule="atLeast"/>
        </w:trPr>
        <w:tc>
          <w:tcPr>
            <w:tcW w:w="7040" w:type="dxa"/>
            <w:tcBorders/>
            <w:tcMar>
              <w:top w:w="15" w:type="dxa"/>
              <w:left w:w="15" w:type="dxa"/>
              <w:bottom w:w="6" w:type="dxa"/>
              <w:right w:w="15" w:type="dxa"/>
            </w:tcMar>
            <w:vAlign w:val="top"/>
          </w:tcPr>
          <w:p>
            <w:pPr>
              <w:spacing w:before="0" w:after="0"/>
              <w:ind w:left="120"/>
              <w:jc w:val="center"/>
            </w:pPr>
            <w:r>
              <w:rPr>
                <w:rFonts w:ascii="Times New Roman" w:hAnsi="Times New Roman"/>
                <w:b/>
                <w:i w:val="false"/>
                <w:color w:val="000000"/>
                <w:sz w:val="19"/>
              </w:rPr>
              <w:t xml:space="preserve"> Netherlands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7040" w:type="dxa"/>
            <w:tcBorders/>
            <w:tcMar>
              <w:top w:w="15" w:type="dxa"/>
              <w:left w:w="15" w:type="dxa"/>
              <w:bottom w:w="6" w:type="dxa"/>
              <w:right w:w="15" w:type="dxa"/>
            </w:tcMar>
            <w:vAlign w:val="bottom"/>
          </w:tcPr>
          <w:p>
            <w:pPr>
              <w:spacing w:before="0" w:after="0"/>
              <w:ind w:left="120"/>
              <w:jc w:val="center"/>
            </w:pPr>
            <w:r>
              <w:rPr>
                <w:rFonts w:ascii="Times New Roman" w:hAnsi="Times New Roman"/>
                <w:b/>
                <w:i w:val="false"/>
                <w:color w:val="000000"/>
                <w:sz w:val="19"/>
              </w:rPr>
              <w:t xml:space="preserve"> Not Applicable </w:t>
            </w:r>
          </w:p>
        </w:tc>
      </w:tr>
      <w:tr>
        <w:trPr>
          <w:trHeight w:val="210" w:hRule="atLeast"/>
        </w:trPr>
        <w:tc>
          <w:tcPr>
            <w:tcW w:w="7040" w:type="dxa"/>
            <w:tcBorders/>
            <w:tcMar>
              <w:top w:w="15" w:type="dxa"/>
              <w:left w:w="15" w:type="dxa"/>
              <w:bottom w:w="15" w:type="dxa"/>
              <w:right w:w="15" w:type="dxa"/>
            </w:tcMar>
            <w:vAlign w:val="top"/>
          </w:tcPr>
          <w:p>
            <w:pPr>
              <w:spacing w:before="0" w:after="0"/>
              <w:ind w:left="120"/>
              <w:jc w:val="center"/>
            </w:pPr>
            <w:r>
              <w:rPr>
                <w:rFonts w:ascii="Times New Roman" w:hAnsi="Times New Roman"/>
                <w:b/>
                <w:i w:val="false"/>
                <w:color w:val="000000"/>
                <w:sz w:val="19"/>
              </w:rPr>
              <w:t xml:space="preserve"> (State or other jurisdiction of incorporation or organization)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7040" w:type="dxa"/>
            <w:tcBorders/>
            <w:tcMar>
              <w:top w:w="15" w:type="dxa"/>
              <w:left w:w="15" w:type="dxa"/>
              <w:bottom w:w="15" w:type="dxa"/>
              <w:right w:w="15" w:type="dxa"/>
            </w:tcMar>
            <w:vAlign w:val="bottom"/>
          </w:tcPr>
          <w:p>
            <w:pPr>
              <w:spacing w:before="0" w:after="0"/>
              <w:ind w:left="120"/>
              <w:jc w:val="center"/>
            </w:pPr>
            <w:r>
              <w:rPr>
                <w:rFonts w:ascii="Times New Roman" w:hAnsi="Times New Roman"/>
                <w:b/>
                <w:i w:val="false"/>
                <w:color w:val="000000"/>
                <w:sz w:val="19"/>
              </w:rPr>
              <w:t xml:space="preserve"> (I.R.S. Employer Identification Number) </w:t>
            </w:r>
          </w:p>
        </w:tc>
      </w:tr>
      <w:tr>
        <w:trPr>
          <w:trHeight w:val="45" w:hRule="atLeast"/>
        </w:trPr>
        <w:tc>
          <w:tcPr>
            <w:tcW w:w="704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704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70" w:after="0"/>
        <w:ind w:left="120"/>
        <w:jc w:val="center"/>
      </w:pPr>
      <w:r>
        <w:rPr>
          <w:rFonts w:ascii="Times New Roman" w:hAnsi="Times New Roman"/>
          <w:b/>
          <w:i w:val="false"/>
          <w:color w:val="000000"/>
          <w:sz w:val="19"/>
        </w:rPr>
        <w:t xml:space="preserve"> Winzerlaer Str. 2 </w:t>
      </w:r>
      <w:r>
        <w:br/>
      </w:r>
      <w:r>
        <w:rPr>
          <w:rFonts w:ascii="Times New Roman" w:hAnsi="Times New Roman"/>
          <w:b/>
          <w:i w:val="false"/>
          <w:color w:val="000000"/>
          <w:sz w:val="19"/>
        </w:rPr>
        <w:t xml:space="preserve"> </w:t>
      </w:r>
    </w:p>
    <w:p>
      <w:pPr>
        <w:spacing w:before="0" w:after="0"/>
        <w:ind w:left="120"/>
        <w:jc w:val="center"/>
      </w:pPr>
      <w:r>
        <w:rPr>
          <w:rFonts w:ascii="Times New Roman" w:hAnsi="Times New Roman"/>
          <w:b/>
          <w:i w:val="false"/>
          <w:color w:val="000000"/>
          <w:sz w:val="19"/>
        </w:rPr>
        <w:t xml:space="preserve"> 07745 Jena, Germany </w:t>
      </w:r>
      <w:r>
        <w:br/>
      </w:r>
      <w:r>
        <w:rPr>
          <w:rFonts w:ascii="Times New Roman" w:hAnsi="Times New Roman"/>
          <w:b/>
          <w:i w:val="false"/>
          <w:color w:val="000000"/>
          <w:sz w:val="19"/>
        </w:rPr>
        <w:t xml:space="preserve"> </w:t>
      </w:r>
    </w:p>
    <w:p>
      <w:pPr>
        <w:spacing w:before="0" w:after="0"/>
        <w:ind w:left="120"/>
        <w:jc w:val="center"/>
      </w:pPr>
      <w:r>
        <w:rPr>
          <w:rFonts w:ascii="Times New Roman" w:hAnsi="Times New Roman"/>
          <w:b/>
          <w:i w:val="false"/>
          <w:color w:val="000000"/>
          <w:sz w:val="19"/>
        </w:rPr>
        <w:t xml:space="preserve"> (+49) 3641 508 180 </w:t>
      </w:r>
    </w:p>
    <w:p>
      <w:pPr>
        <w:spacing w:before="70" w:after="0"/>
        <w:ind w:left="120"/>
        <w:jc w:val="center"/>
      </w:pPr>
      <w:r>
        <w:rPr>
          <w:rFonts w:ascii="Times New Roman" w:hAnsi="Times New Roman"/>
          <w:b/>
          <w:i w:val="false"/>
          <w:color w:val="000000"/>
          <w:sz w:val="19"/>
        </w:rPr>
        <w:t xml:space="preserve"> (Address and telephone number of registrant’s principal executive offices)</w:t>
      </w:r>
      <w:r>
        <w:rPr>
          <w:rFonts w:ascii="Times New Roman" w:hAnsi="Times New Roman"/>
          <w:b w:val="false"/>
          <w:i w:val="false"/>
          <w:color w:val="000000"/>
          <w:sz w:val="19"/>
        </w:rPr>
        <w:t xml:space="preserve"> </w:t>
      </w:r>
    </w:p>
    <w:p>
      <w:pPr>
        <w:pBdr>
          <w:bottom w:val="single" w:color="000000" w:sz="11"/>
        </w:pBdr>
        <w:spacing w:before="105" w:after="40"/>
        <w:ind w:left="120"/>
        <w:jc w:val="left"/>
      </w:pPr>
    </w:p>
    <w:p>
      <w:pPr>
        <w:spacing w:before="110" w:after="0"/>
        <w:ind w:left="120"/>
        <w:jc w:val="center"/>
      </w:pPr>
      <w:r>
        <w:rPr>
          <w:rFonts w:ascii="Times New Roman" w:hAnsi="Times New Roman"/>
          <w:b/>
          <w:i w:val="false"/>
          <w:color w:val="000000"/>
          <w:sz w:val="19"/>
        </w:rPr>
        <w:t xml:space="preserve"> InflaRx Pharmaceuticals, Inc. </w:t>
      </w:r>
      <w:r>
        <w:br/>
      </w:r>
      <w:r>
        <w:rPr>
          <w:rFonts w:ascii="Times New Roman" w:hAnsi="Times New Roman"/>
          <w:b/>
          <w:i w:val="false"/>
          <w:color w:val="000000"/>
          <w:sz w:val="19"/>
        </w:rPr>
        <w:t xml:space="preserve"> </w:t>
      </w:r>
    </w:p>
    <w:p>
      <w:pPr>
        <w:spacing w:before="0" w:after="0"/>
        <w:ind w:left="120"/>
        <w:jc w:val="center"/>
      </w:pPr>
      <w:r>
        <w:rPr>
          <w:rFonts w:ascii="Times New Roman" w:hAnsi="Times New Roman"/>
          <w:b/>
          <w:i w:val="false"/>
          <w:color w:val="000000"/>
          <w:sz w:val="19"/>
        </w:rPr>
        <w:t xml:space="preserve"> 600 South Wagner Road </w:t>
      </w:r>
      <w:r>
        <w:br/>
      </w:r>
      <w:r>
        <w:rPr>
          <w:rFonts w:ascii="Times New Roman" w:hAnsi="Times New Roman"/>
          <w:b/>
          <w:i w:val="false"/>
          <w:color w:val="000000"/>
          <w:sz w:val="19"/>
        </w:rPr>
        <w:t xml:space="preserve"> </w:t>
      </w:r>
    </w:p>
    <w:p>
      <w:pPr>
        <w:spacing w:before="0" w:after="0"/>
        <w:ind w:left="120"/>
        <w:jc w:val="center"/>
      </w:pPr>
      <w:r>
        <w:rPr>
          <w:rFonts w:ascii="Times New Roman" w:hAnsi="Times New Roman"/>
          <w:b/>
          <w:i w:val="false"/>
          <w:color w:val="000000"/>
          <w:sz w:val="19"/>
        </w:rPr>
        <w:t xml:space="preserve"> Ann Arbor, Michigan 48103 </w:t>
      </w:r>
      <w:r>
        <w:br/>
      </w:r>
      <w:r>
        <w:rPr>
          <w:rFonts w:ascii="Times New Roman" w:hAnsi="Times New Roman"/>
          <w:b/>
          <w:i w:val="false"/>
          <w:color w:val="000000"/>
          <w:sz w:val="19"/>
        </w:rPr>
        <w:t xml:space="preserve"> </w:t>
      </w:r>
    </w:p>
    <w:p>
      <w:pPr>
        <w:spacing w:before="0" w:after="0"/>
        <w:ind w:left="120"/>
        <w:jc w:val="center"/>
      </w:pPr>
      <w:r>
        <w:rPr>
          <w:rFonts w:ascii="Times New Roman" w:hAnsi="Times New Roman"/>
          <w:b/>
          <w:i w:val="false"/>
          <w:color w:val="000000"/>
          <w:sz w:val="19"/>
        </w:rPr>
        <w:t xml:space="preserve"> (734) 223-4387 </w:t>
      </w:r>
    </w:p>
    <w:p>
      <w:pPr>
        <w:spacing w:before="40" w:after="0"/>
        <w:ind w:left="120"/>
        <w:jc w:val="center"/>
      </w:pPr>
      <w:r>
        <w:rPr>
          <w:rFonts w:ascii="Times New Roman" w:hAnsi="Times New Roman"/>
          <w:b/>
          <w:i w:val="false"/>
          <w:color w:val="000000"/>
          <w:sz w:val="20"/>
        </w:rPr>
        <w:t xml:space="preserve"> (Name, address and telephone number of agent for service</w:t>
      </w:r>
      <w:r>
        <w:rPr>
          <w:rFonts w:ascii="Times New Roman" w:hAnsi="Times New Roman"/>
          <w:b w:val="false"/>
          <w:i w:val="false"/>
          <w:color w:val="000000"/>
          <w:sz w:val="20"/>
        </w:rPr>
        <w:t xml:space="preserve">) </w:t>
      </w:r>
    </w:p>
    <w:p>
      <w:pPr>
        <w:pBdr>
          <w:bottom w:val="single" w:color="000000" w:sz="11"/>
        </w:pBdr>
        <w:spacing w:before="95" w:after="40"/>
        <w:ind w:left="120"/>
        <w:jc w:val="left"/>
      </w:pPr>
    </w:p>
    <w:p>
      <w:pPr>
        <w:spacing w:before="80" w:after="0"/>
        <w:ind w:left="120"/>
        <w:jc w:val="center"/>
      </w:pPr>
      <w:r>
        <w:rPr>
          <w:rFonts w:ascii="Times New Roman" w:hAnsi="Times New Roman"/>
          <w:b/>
          <w:i/>
          <w:color w:val="000000"/>
          <w:sz w:val="20"/>
        </w:rPr>
        <w:t xml:space="preserve"> Copies to:</w:t>
      </w:r>
      <w:r>
        <w:rPr>
          <w:rFonts w:ascii="Times New Roman" w:hAnsi="Times New Roman"/>
          <w:b w:val="false"/>
          <w:i w:val="false"/>
          <w:color w:val="000000"/>
          <w:sz w:val="20"/>
        </w:rPr>
        <w:t xml:space="preserve"> </w:t>
      </w:r>
      <w:r>
        <w:br/>
      </w:r>
      <w:r>
        <w:rPr>
          <w:rFonts w:ascii="Times New Roman" w:hAnsi="Times New Roman"/>
          <w:b/>
          <w:i/>
          <w:color w:val="000000"/>
          <w:sz w:val="20"/>
        </w:rPr>
        <w:t xml:space="preserve"> </w:t>
      </w:r>
    </w:p>
    <w:p>
      <w:pPr>
        <w:spacing w:before="0" w:after="0"/>
        <w:ind w:left="120"/>
        <w:jc w:val="center"/>
      </w:pPr>
      <w:r>
        <w:rPr>
          <w:rFonts w:ascii="Times New Roman" w:hAnsi="Times New Roman"/>
          <w:b/>
          <w:i/>
          <w:color w:val="000000"/>
          <w:sz w:val="20"/>
        </w:rPr>
        <w:t xml:space="preserve"> </w:t>
      </w:r>
      <w:r>
        <w:rPr>
          <w:rFonts w:ascii="Times New Roman" w:hAnsi="Times New Roman"/>
          <w:b/>
          <w:i w:val="false"/>
          <w:color w:val="000000"/>
          <w:sz w:val="20"/>
        </w:rPr>
        <w:t xml:space="preserve">Sophia Hudson, P.C. </w:t>
      </w:r>
      <w:r>
        <w:br/>
      </w:r>
      <w:r>
        <w:rPr>
          <w:rFonts w:ascii="Times New Roman" w:hAnsi="Times New Roman"/>
          <w:b/>
          <w:i/>
          <w:color w:val="000000"/>
          <w:sz w:val="20"/>
        </w:rPr>
        <w:t xml:space="preserve"> </w:t>
      </w:r>
    </w:p>
    <w:p>
      <w:pPr>
        <w:spacing w:before="0" w:after="0"/>
        <w:ind w:left="120"/>
        <w:jc w:val="center"/>
      </w:pPr>
      <w:r>
        <w:rPr>
          <w:rFonts w:ascii="Times New Roman" w:hAnsi="Times New Roman"/>
          <w:b/>
          <w:i/>
          <w:color w:val="000000"/>
          <w:sz w:val="20"/>
        </w:rPr>
        <w:t xml:space="preserve"> </w:t>
      </w:r>
      <w:r>
        <w:rPr>
          <w:rFonts w:ascii="Times New Roman" w:hAnsi="Times New Roman"/>
          <w:b/>
          <w:i w:val="false"/>
          <w:color w:val="000000"/>
          <w:sz w:val="20"/>
        </w:rPr>
        <w:t xml:space="preserve">Leia Pearl Andrew </w:t>
      </w:r>
      <w:r>
        <w:br/>
      </w:r>
      <w:r>
        <w:rPr>
          <w:rFonts w:ascii="Times New Roman" w:hAnsi="Times New Roman"/>
          <w:b/>
          <w:i/>
          <w:color w:val="000000"/>
          <w:sz w:val="20"/>
        </w:rPr>
        <w:t xml:space="preserve"> </w:t>
      </w:r>
    </w:p>
    <w:p>
      <w:pPr>
        <w:spacing w:before="0" w:after="0"/>
        <w:ind w:left="120"/>
        <w:jc w:val="center"/>
      </w:pPr>
      <w:r>
        <w:rPr>
          <w:rFonts w:ascii="Times New Roman" w:hAnsi="Times New Roman"/>
          <w:b/>
          <w:i/>
          <w:color w:val="000000"/>
          <w:sz w:val="20"/>
        </w:rPr>
        <w:t xml:space="preserve"> </w:t>
      </w:r>
      <w:r>
        <w:rPr>
          <w:rFonts w:ascii="Times New Roman" w:hAnsi="Times New Roman"/>
          <w:b/>
          <w:i w:val="false"/>
          <w:color w:val="000000"/>
          <w:sz w:val="20"/>
        </w:rPr>
        <w:t xml:space="preserve">Kirkland &amp; Ellis LLP </w:t>
      </w:r>
      <w:r>
        <w:br/>
      </w:r>
      <w:r>
        <w:rPr>
          <w:rFonts w:ascii="Times New Roman" w:hAnsi="Times New Roman"/>
          <w:b/>
          <w:i/>
          <w:color w:val="000000"/>
          <w:sz w:val="20"/>
        </w:rPr>
        <w:t xml:space="preserve"> </w:t>
      </w:r>
    </w:p>
    <w:p>
      <w:pPr>
        <w:spacing w:before="0" w:after="0"/>
        <w:ind w:left="120"/>
        <w:jc w:val="center"/>
      </w:pPr>
      <w:r>
        <w:rPr>
          <w:rFonts w:ascii="Times New Roman" w:hAnsi="Times New Roman"/>
          <w:b/>
          <w:i/>
          <w:color w:val="000000"/>
          <w:sz w:val="20"/>
        </w:rPr>
        <w:t xml:space="preserve"> </w:t>
      </w:r>
      <w:r>
        <w:rPr>
          <w:rFonts w:ascii="Times New Roman" w:hAnsi="Times New Roman"/>
          <w:b/>
          <w:i w:val="false"/>
          <w:color w:val="000000"/>
          <w:sz w:val="20"/>
        </w:rPr>
        <w:t xml:space="preserve">601 Lexington Avenue </w:t>
      </w:r>
      <w:r>
        <w:br/>
      </w:r>
      <w:r>
        <w:rPr>
          <w:rFonts w:ascii="Times New Roman" w:hAnsi="Times New Roman"/>
          <w:b/>
          <w:i/>
          <w:color w:val="000000"/>
          <w:sz w:val="20"/>
        </w:rPr>
        <w:t xml:space="preserve"> </w:t>
      </w:r>
    </w:p>
    <w:p>
      <w:pPr>
        <w:spacing w:before="0" w:after="0"/>
        <w:ind w:left="120"/>
        <w:jc w:val="center"/>
      </w:pPr>
      <w:r>
        <w:rPr>
          <w:rFonts w:ascii="Times New Roman" w:hAnsi="Times New Roman"/>
          <w:b/>
          <w:i/>
          <w:color w:val="000000"/>
          <w:sz w:val="20"/>
        </w:rPr>
        <w:t xml:space="preserve"> </w:t>
      </w:r>
      <w:r>
        <w:rPr>
          <w:rFonts w:ascii="Times New Roman" w:hAnsi="Times New Roman"/>
          <w:b/>
          <w:i w:val="false"/>
          <w:color w:val="000000"/>
          <w:sz w:val="20"/>
        </w:rPr>
        <w:t xml:space="preserve">New York, New York 10022 </w:t>
      </w:r>
      <w:r>
        <w:br/>
      </w:r>
      <w:r>
        <w:rPr>
          <w:rFonts w:ascii="Times New Roman" w:hAnsi="Times New Roman"/>
          <w:b/>
          <w:i/>
          <w:color w:val="000000"/>
          <w:sz w:val="20"/>
        </w:rPr>
        <w:t xml:space="preserve"> </w:t>
      </w:r>
    </w:p>
    <w:p>
      <w:pPr>
        <w:spacing w:before="0" w:after="0"/>
        <w:ind w:left="120"/>
        <w:jc w:val="center"/>
      </w:pPr>
      <w:r>
        <w:rPr>
          <w:rFonts w:ascii="Times New Roman" w:hAnsi="Times New Roman"/>
          <w:b/>
          <w:i/>
          <w:color w:val="000000"/>
          <w:sz w:val="20"/>
        </w:rPr>
        <w:t xml:space="preserve"> </w:t>
      </w:r>
      <w:r>
        <w:rPr>
          <w:rFonts w:ascii="Times New Roman" w:hAnsi="Times New Roman"/>
          <w:b/>
          <w:i w:val="false"/>
          <w:color w:val="000000"/>
          <w:sz w:val="20"/>
        </w:rPr>
        <w:t xml:space="preserve">(212) 446-4800 </w:t>
      </w:r>
    </w:p>
    <w:p>
      <w:pPr>
        <w:pBdr>
          <w:bottom w:val="single" w:color="000000" w:sz="11"/>
        </w:pBdr>
        <w:spacing w:before="95" w:after="40"/>
        <w:ind w:left="120"/>
        <w:jc w:val="left"/>
      </w:pPr>
    </w:p>
    <w:p>
      <w:pPr>
        <w:spacing w:before="60" w:after="0"/>
        <w:ind w:left="120"/>
        <w:jc w:val="left"/>
      </w:pPr>
      <w:r>
        <w:rPr>
          <w:rFonts w:ascii="Times New Roman" w:hAnsi="Times New Roman"/>
          <w:b/>
          <w:i w:val="false"/>
          <w:color w:val="000000"/>
          <w:sz w:val="19"/>
        </w:rPr>
        <w:t xml:space="preserve"> Approximate date of commencement of proposed sale to the public: </w:t>
      </w:r>
      <w:r>
        <w:rPr>
          <w:rFonts w:ascii="Times New Roman" w:hAnsi="Times New Roman"/>
          <w:b w:val="false"/>
          <w:i w:val="false"/>
          <w:color w:val="000000"/>
          <w:sz w:val="19"/>
        </w:rPr>
        <w:t xml:space="preserve">From time to time after the effective date of the registration statement. </w:t>
      </w:r>
    </w:p>
    <w:p>
      <w:pPr>
        <w:spacing w:before="60" w:after="0"/>
        <w:ind w:left="120"/>
        <w:jc w:val="left"/>
      </w:pPr>
      <w:r>
        <w:rPr>
          <w:rFonts w:ascii="Times New Roman" w:hAnsi="Times New Roman"/>
          <w:b w:val="false"/>
          <w:i w:val="false"/>
          <w:color w:val="000000"/>
          <w:sz w:val="19"/>
        </w:rPr>
        <w:t xml:space="preserve"> If only securities being registered on this Form are being offered pursuant to dividend or interest reinvestment plans, please check the following box. </w:t>
      </w:r>
      <w:r>
        <w:rPr>
          <w:rFonts w:ascii="Times New Roman" w:hAnsi="Times New Roman"/>
          <w:b w:val="false"/>
          <w:i w:val="false"/>
          <w:color w:val="000000"/>
          <w:sz w:val="2"/>
        </w:rPr>
        <w:t> </w:t>
      </w:r>
      <w:r>
        <w:rPr>
          <w:rFonts w:ascii="Times New Roman" w:hAnsi="Times New Roman"/>
          <w:b w:val="false"/>
          <w:i w:val="false"/>
          <w:color w:val="000000"/>
          <w:sz w:val="19"/>
        </w:rPr>
        <w:t xml:space="preserve">☐ </w:t>
      </w:r>
    </w:p>
    <w:p>
      <w:pPr>
        <w:spacing w:before="60" w:after="0"/>
        <w:ind w:left="120"/>
        <w:jc w:val="left"/>
      </w:pPr>
      <w:r>
        <w:rPr>
          <w:rFonts w:ascii="Times New Roman" w:hAnsi="Times New Roman"/>
          <w:b w:val="false"/>
          <w:i w:val="false"/>
          <w:color w:val="000000"/>
          <w:sz w:val="19"/>
        </w:rPr>
        <w:t xml:space="preserve"> If any of the securities being registered on this Form are to be offered on a delayed or continuous basis pursuant to Rule 415 under the Securities Act of 1933, check the following box. ☒ </w:t>
      </w:r>
    </w:p>
    <w:p>
      <w:pPr>
        <w:spacing w:before="60" w:after="0"/>
        <w:ind w:left="120"/>
        <w:jc w:val="left"/>
      </w:pPr>
      <w:r>
        <w:rPr>
          <w:rFonts w:ascii="Times New Roman" w:hAnsi="Times New Roman"/>
          <w:b w:val="false"/>
          <w:i w:val="false"/>
          <w:color w:val="000000"/>
          <w:sz w:val="19"/>
        </w:rPr>
        <w:t xml:space="preserve"> If this Form is filed to register additional securities for an offering pursuant to Rule 462(b) under the Securities Act, please check the following box and list the Securities Act registration statement number of the earlier effective registration statement for the same offering. </w:t>
      </w:r>
      <w:r>
        <w:rPr>
          <w:rFonts w:ascii="Times New Roman" w:hAnsi="Times New Roman"/>
          <w:b w:val="false"/>
          <w:i w:val="false"/>
          <w:color w:val="000000"/>
          <w:sz w:val="2"/>
        </w:rPr>
        <w:t> </w:t>
      </w:r>
      <w:r>
        <w:rPr>
          <w:rFonts w:ascii="Times New Roman" w:hAnsi="Times New Roman"/>
          <w:b w:val="false"/>
          <w:i w:val="false"/>
          <w:color w:val="000000"/>
          <w:sz w:val="19"/>
        </w:rPr>
        <w:t xml:space="preserve">☐ </w:t>
      </w:r>
    </w:p>
    <w:p>
      <w:pPr>
        <w:spacing w:before="60" w:after="0"/>
        <w:ind w:left="120"/>
        <w:jc w:val="left"/>
      </w:pPr>
      <w:r>
        <w:rPr>
          <w:rFonts w:ascii="Times New Roman" w:hAnsi="Times New Roman"/>
          <w:b w:val="false"/>
          <w:i w:val="false"/>
          <w:color w:val="000000"/>
          <w:sz w:val="19"/>
        </w:rPr>
        <w:t xml:space="preserve"> If this Form is a post-effective amendment filed pursuant to Rule 462(c) under the Securities Act, check the following box and list the Securities Act registration statement number of the earlier effective registration statement for the same offering. </w:t>
      </w:r>
      <w:r>
        <w:rPr>
          <w:rFonts w:ascii="Times New Roman" w:hAnsi="Times New Roman"/>
          <w:b w:val="false"/>
          <w:i w:val="false"/>
          <w:color w:val="000000"/>
          <w:sz w:val="2"/>
        </w:rPr>
        <w:t> </w:t>
      </w:r>
      <w:r>
        <w:rPr>
          <w:rFonts w:ascii="Times New Roman" w:hAnsi="Times New Roman"/>
          <w:b w:val="false"/>
          <w:i w:val="false"/>
          <w:color w:val="000000"/>
          <w:sz w:val="19"/>
        </w:rPr>
        <w:t xml:space="preserve">☐ </w:t>
      </w:r>
    </w:p>
    <w:p>
      <w:pPr>
        <w:spacing w:before="60" w:after="0"/>
        <w:ind w:left="120"/>
        <w:jc w:val="left"/>
      </w:pPr>
      <w:r>
        <w:rPr>
          <w:rFonts w:ascii="Times New Roman" w:hAnsi="Times New Roman"/>
          <w:b w:val="false"/>
          <w:i w:val="false"/>
          <w:color w:val="000000"/>
          <w:sz w:val="19"/>
        </w:rPr>
        <w:t xml:space="preserve"> If this Form is a registration statement pursuant to General Instruction I.C. or a post-effective amendment thereto that shall become effective upon filing with the Commission pursuant to Rule 462(e) under the Securities Act, check the following box. </w:t>
      </w:r>
      <w:r>
        <w:rPr>
          <w:rFonts w:ascii="Times New Roman" w:hAnsi="Times New Roman"/>
          <w:b w:val="false"/>
          <w:i w:val="false"/>
          <w:color w:val="000000"/>
          <w:sz w:val="2"/>
        </w:rPr>
        <w:t> </w:t>
      </w:r>
      <w:r>
        <w:rPr>
          <w:rFonts w:ascii="Times New Roman" w:hAnsi="Times New Roman"/>
          <w:b w:val="false"/>
          <w:i w:val="false"/>
          <w:color w:val="000000"/>
          <w:sz w:val="19"/>
        </w:rPr>
        <w:t xml:space="preserve">☐ </w:t>
      </w:r>
    </w:p>
    <w:p>
      <w:pPr>
        <w:spacing w:before="60" w:after="0"/>
        <w:ind w:left="120"/>
        <w:jc w:val="left"/>
      </w:pPr>
      <w:r>
        <w:rPr>
          <w:rFonts w:ascii="Times New Roman" w:hAnsi="Times New Roman"/>
          <w:b w:val="false"/>
          <w:i w:val="false"/>
          <w:color w:val="000000"/>
          <w:sz w:val="19"/>
        </w:rPr>
        <w:t xml:space="preserve"> If this Form is a post-effective amendment to a registration statement filed pursuant to General Instruction I.C. filed to register additional securities or additional classes of securities pursuant to Rule 413(b) under the Securities Act, check the following box. </w:t>
      </w:r>
      <w:r>
        <w:rPr>
          <w:rFonts w:ascii="Times New Roman" w:hAnsi="Times New Roman"/>
          <w:b w:val="false"/>
          <w:i w:val="false"/>
          <w:color w:val="000000"/>
          <w:sz w:val="2"/>
        </w:rPr>
        <w:t> </w:t>
      </w:r>
      <w:r>
        <w:rPr>
          <w:rFonts w:ascii="Times New Roman" w:hAnsi="Times New Roman"/>
          <w:b w:val="false"/>
          <w:i w:val="false"/>
          <w:color w:val="000000"/>
          <w:sz w:val="19"/>
        </w:rPr>
        <w:t xml:space="preserve">☐ </w:t>
      </w:r>
    </w:p>
    <w:p>
      <w:pPr>
        <w:spacing w:before="60" w:after="0"/>
        <w:ind w:left="120"/>
        <w:jc w:val="left"/>
      </w:pPr>
      <w:r>
        <w:rPr>
          <w:rFonts w:ascii="Times New Roman" w:hAnsi="Times New Roman"/>
          <w:b w:val="false"/>
          <w:i w:val="false"/>
          <w:color w:val="000000"/>
          <w:sz w:val="19"/>
        </w:rPr>
        <w:t xml:space="preserve"> Indicate by check mark whether the registrant is an emerging growth company as defined in Rule 405 of the Securities Act of 1933. </w:t>
      </w:r>
    </w:p>
    <w:p>
      <w:pPr>
        <w:spacing w:before="60" w:after="0"/>
        <w:ind w:left="120"/>
        <w:jc w:val="left"/>
      </w:pPr>
      <w:r>
        <w:rPr>
          <w:rFonts w:ascii="Times New Roman" w:hAnsi="Times New Roman"/>
          <w:b w:val="false"/>
          <w:i w:val="false"/>
          <w:color w:val="000000"/>
          <w:sz w:val="19"/>
        </w:rPr>
        <w:t xml:space="preserve"> Emerging growth company </w:t>
      </w:r>
      <w:r>
        <w:rPr>
          <w:rFonts w:ascii="Times New Roman" w:hAnsi="Times New Roman"/>
          <w:b w:val="false"/>
          <w:i w:val="false"/>
          <w:color w:val="000000"/>
          <w:sz w:val="2"/>
        </w:rPr>
        <w:t> </w:t>
      </w:r>
      <w:r>
        <w:rPr>
          <w:rFonts w:ascii="Times New Roman" w:hAnsi="Times New Roman"/>
          <w:b w:val="false"/>
          <w:i w:val="false"/>
          <w:color w:val="000000"/>
          <w:sz w:val="19"/>
        </w:rPr>
        <w:t xml:space="preserve">☐ </w:t>
      </w:r>
    </w:p>
    <w:p>
      <w:pPr>
        <w:spacing w:before="60" w:after="0"/>
        <w:ind w:left="120"/>
        <w:jc w:val="left"/>
      </w:pPr>
      <w:r>
        <w:rPr>
          <w:rFonts w:ascii="Times New Roman" w:hAnsi="Times New Roman"/>
          <w:b w:val="false"/>
          <w:i w:val="false"/>
          <w:color w:val="000000"/>
          <w:sz w:val="19"/>
        </w:rPr>
        <w:t xml:space="preserve"> If an emerging growth company that prepares its financial statements in accordance with U.S. GAAP, indicate by check mark if the registrant has elected not to use the extended transition period for complying with any new or revised financial accounting standards† provided pursuant to Section 7(a)(2)(B) of the Securities Act. </w:t>
      </w:r>
      <w:r>
        <w:rPr>
          <w:rFonts w:ascii="Times New Roman" w:hAnsi="Times New Roman"/>
          <w:b w:val="false"/>
          <w:i w:val="false"/>
          <w:color w:val="000000"/>
          <w:sz w:val="2"/>
        </w:rPr>
        <w:t> </w:t>
      </w:r>
      <w:r>
        <w:rPr>
          <w:rFonts w:ascii="Times New Roman" w:hAnsi="Times New Roman"/>
          <w:b w:val="false"/>
          <w:i w:val="false"/>
          <w:color w:val="000000"/>
          <w:sz w:val="19"/>
        </w:rPr>
        <w:t xml:space="preserve">☐ </w:t>
      </w:r>
    </w:p>
    <w:p>
      <w:pPr>
        <w:spacing w:before="60" w:after="0"/>
        <w:ind w:left="120"/>
        <w:jc w:val="left"/>
      </w:pPr>
      <w:r>
        <w:rPr>
          <w:rFonts w:ascii="Times New Roman" w:hAnsi="Times New Roman"/>
          <w:b w:val="false"/>
          <w:i w:val="false"/>
          <w:color w:val="000000"/>
          <w:sz w:val="19"/>
        </w:rPr>
        <w:t xml:space="preserve"> †The term “new or revised financial accounting standard” refers to any update issued by the Financial Accounting Standards Board to its Accounting Standards Codification after April 5, 2012. </w:t>
      </w:r>
    </w:p>
    <w:p>
      <w:pPr>
        <w:spacing w:before="60" w:after="0"/>
        <w:ind w:left="120"/>
        <w:jc w:val="left"/>
      </w:pPr>
      <w:r>
        <w:rPr>
          <w:rFonts w:ascii="Times New Roman" w:hAnsi="Times New Roman"/>
          <w:b/>
          <w:i w:val="false"/>
          <w:color w:val="000000"/>
          <w:sz w:val="19"/>
        </w:rPr>
        <w:t xml:space="preserve"> The Registrant hereby amends this registration statement on such date or dates as may be necessary to delay its effective date until the Registrant shall file a further amendment that specifically states that this registration statement shall thereafter become effective in accordance with Section 8(a) of the Securities Act or until this registration statement shall become effective on such date as the Securities and Exchange Commission, acting pursuant to Section 8(a) of the Securities Act, may determine.</w:t>
      </w:r>
      <w:r>
        <w:rPr>
          <w:rFonts w:ascii="Times New Roman" w:hAnsi="Times New Roman"/>
          <w:b w:val="false"/>
          <w:i w:val="false"/>
          <w:color w:val="000000"/>
          <w:sz w:val="19"/>
        </w:rPr>
        <w:t xml:space="preserve"> </w:t>
      </w:r>
    </w:p>
    <w:p>
      <w:pPr>
        <w:pBdr>
          <w:bottom w:val="single" w:color="000000" w:sz="11"/>
        </w:pBdr>
        <w:spacing w:before="20" w:after="20"/>
        <w:ind w:left="120"/>
        <w:jc w:val="left"/>
      </w:pPr>
    </w:p>
    <w:p>
      <w:pPr>
        <w:pBdr>
          <w:bottom w:val="single" w:color="000000" w:sz="21"/>
        </w:pBdr>
        <w:spacing w:before="80" w:after="20"/>
        <w:ind w:left="120"/>
        <w:jc w:val="left"/>
      </w:pP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1-cov_pg1" w:id="1"/>
      <w:r>
        <w:rPr>
          <w:rFonts w:ascii="Times New Roman" w:hAnsi="Times New Roman"/>
          <w:b w:val="false"/>
          <w:i w:val="false"/>
          <w:color w:val="0000ff"/>
          <w:sz w:val="22"/>
        </w:rPr>
        <w:t/>
      </w:r>
      <w:bookmarkEnd w:id="1"/>
    </w:p>
    <w:p>
      <w:pPr>
        <w:spacing w:before="269" w:after="269"/>
        <w:ind w:left="120"/>
        <w:jc w:val="left"/>
      </w:pPr>
      <w:r>
        <w:rPr>
          <w:rFonts w:ascii="Times New Roman" w:hAnsi="Times New Roman"/>
          <w:b/>
          <w:i w:val="false"/>
          <w:color w:val="000000"/>
          <w:sz w:val="16"/>
        </w:rPr>
        <w:t>TABLE OF CONTENTS</w:t>
      </w:r>
    </w:p>
    <w:p>
      <w:pPr>
        <w:spacing w:before="0" w:after="240"/>
        <w:ind w:left="120"/>
        <w:jc w:val="left"/>
      </w:pPr>
      <w:r>
        <w:rPr>
          <w:rFonts w:ascii="Arial" w:hAnsi="Arial"/>
          <w:b/>
          <w:i w:val="false"/>
          <w:color w:val="fc0014"/>
          <w:sz w:val="20"/>
        </w:rPr>
        <w:t xml:space="preserve"> The information in this prospectus is not complete and may be changed. We may not sell these securities until the registration statement filed with the Securities and Exchange Commission is effective. This prospectus is not an offer to sell these securities, and we are not soliciting an offer to buy these securities in any jurisdiction where the offer or sale is not permitted. </w:t>
      </w:r>
    </w:p>
    <w:p>
      <w:pPr>
        <w:spacing w:before="0" w:after="0"/>
        <w:ind w:left="120"/>
        <w:jc w:val="center"/>
      </w:pPr>
      <w:r>
        <w:rPr>
          <w:rFonts w:ascii="Times New Roman" w:hAnsi="Times New Roman"/>
          <w:b/>
          <w:i w:val="false"/>
          <w:color w:val="fc0014"/>
          <w:sz w:val="20"/>
        </w:rPr>
        <w:t>SUBJECT TO COMPLETION, DATED AUGUST 6, 2026</w:t>
      </w:r>
      <w:r>
        <w:rPr>
          <w:rFonts w:ascii="Times New Roman" w:hAnsi="Times New Roman"/>
          <w:b/>
          <w:i w:val="false"/>
          <w:color w:val="000000"/>
          <w:sz w:val="20"/>
        </w:rPr>
        <w:t xml:space="preserve"> </w:t>
      </w:r>
    </w:p>
    <w:p>
      <w:pPr>
        <w:spacing w:before="390" w:after="0"/>
        <w:ind w:left="120"/>
        <w:jc w:val="left"/>
      </w:pPr>
      <w:r>
        <w:rPr>
          <w:rFonts w:ascii="Times New Roman" w:hAnsi="Times New Roman"/>
          <w:b/>
          <w:i w:val="false"/>
          <w:color w:val="000000"/>
          <w:sz w:val="20"/>
        </w:rPr>
        <w:t xml:space="preserve"> PROSPECTUS </w:t>
      </w:r>
    </w:p>
    <w:p>
      <w:pPr>
        <w:spacing w:before="390" w:after="0"/>
        <w:ind w:left="120"/>
        <w:jc w:val="center"/>
      </w:pPr>
      <w:r>
        <w:rPr>
          <w:rFonts w:ascii="Times New Roman" w:hAnsi="Times New Roman"/>
          <w:b/>
          <w:i w:val="false"/>
          <w:color w:val="000000"/>
          <w:sz w:val="20"/>
        </w:rPr>
        <w:t xml:space="preserve"> $250,000,000 </w:t>
      </w:r>
    </w:p>
    <w:p>
      <w:pPr>
        <w:spacing w:before="390" w:after="0"/>
        <w:ind w:left="120"/>
        <w:jc w:val="center"/>
      </w:pPr>
      <w:r>
        <w:rPr>
          <w:rFonts w:ascii="Times New Roman" w:hAnsi="Times New Roman"/>
          <w:b/>
          <w:i w:val="false"/>
          <w:color w:val="000000"/>
          <w:sz w:val="20"/>
        </w:rPr>
        <w:t xml:space="preserve"> Ordinary Shares, Debt Securities, Warrants, Purchase Contracts and Units </w:t>
      </w:r>
    </w:p>
    <w:p>
      <w:pPr>
        <w:pBdr>
          <w:bottom w:val="single" w:color="000000" w:sz="11"/>
        </w:pBdr>
        <w:spacing w:before="285" w:after="40"/>
        <w:ind w:left="120"/>
        <w:jc w:val="left"/>
      </w:pPr>
    </w:p>
    <w:p>
      <w:pPr>
        <w:spacing w:before="305" w:after="0"/>
        <w:ind w:left="120"/>
        <w:jc w:val="center"/>
      </w:pPr>
      <w:r>
        <w:rPr>
          <w:rFonts w:ascii="Times New Roman" w:hAnsi="Times New Roman"/>
          <w:b w:val="false"/>
          <w:i w:val="false"/>
          <w:color w:val="000000"/>
          <w:sz w:val="20"/>
        </w:rPr>
        <w:t xml:space="preserve"> </w:t>
      </w:r>
      <w:r>
        <w:drawing>
          <wp:inline distT="0" distB="0" distL="0" distR="0">
            <wp:extent cx="3657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3657600" cy="1168400"/>
                    </a:xfrm>
                    <a:prstGeom prst="rect">
                      <a:avLst/>
                    </a:prstGeom>
                  </pic:spPr>
                </pic:pic>
              </a:graphicData>
            </a:graphic>
          </wp:inline>
        </w:drawing>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410" w:after="0"/>
        <w:ind w:left="120"/>
        <w:jc w:val="center"/>
      </w:pPr>
      <w:r>
        <w:rPr>
          <w:rFonts w:ascii="Times New Roman" w:hAnsi="Times New Roman"/>
          <w:b/>
          <w:i w:val="false"/>
          <w:color w:val="000000"/>
          <w:sz w:val="20"/>
        </w:rPr>
        <w:t xml:space="preserve"> InflaRx N.V. </w:t>
      </w:r>
      <w:r>
        <w:br/>
      </w:r>
      <w:r>
        <w:rPr>
          <w:rFonts w:ascii="Times New Roman" w:hAnsi="Times New Roman"/>
          <w:b/>
          <w:i w:val="false"/>
          <w:color w:val="000000"/>
          <w:sz w:val="20"/>
        </w:rPr>
        <w:t xml:space="preserve"> </w:t>
      </w:r>
    </w:p>
    <w:p>
      <w:pPr>
        <w:spacing w:before="0" w:after="0"/>
        <w:ind w:left="120"/>
        <w:jc w:val="center"/>
      </w:pPr>
      <w:r>
        <w:rPr>
          <w:rFonts w:ascii="Times New Roman" w:hAnsi="Times New Roman"/>
          <w:b/>
          <w:i w:val="false"/>
          <w:color w:val="000000"/>
          <w:sz w:val="20"/>
        </w:rPr>
        <w:t xml:space="preserve"> (incorporated in the Netherlands) </w:t>
      </w:r>
    </w:p>
    <w:p>
      <w:pPr>
        <w:pBdr>
          <w:bottom w:val="single" w:color="000000" w:sz="11"/>
        </w:pBdr>
        <w:spacing w:before="285" w:after="40"/>
        <w:ind w:left="120"/>
        <w:jc w:val="left"/>
      </w:pPr>
    </w:p>
    <w:p>
      <w:pPr>
        <w:spacing w:before="240" w:after="0"/>
        <w:ind w:left="120"/>
        <w:jc w:val="left"/>
      </w:pPr>
      <w:r>
        <w:rPr>
          <w:rFonts w:ascii="Times New Roman" w:hAnsi="Times New Roman"/>
          <w:b w:val="false"/>
          <w:i w:val="false"/>
          <w:color w:val="000000"/>
          <w:sz w:val="20"/>
        </w:rPr>
        <w:t xml:space="preserve"> We may offer, from time to time, in one or more offerings, ordinary shares, senior debt securities, subordinated debt securities, warrants, purchase contracts or units, which we collectively refer to as the “securities.” The aggregate initial offering price of the securities that we may offer and sell under this prospectus will not exceed $250,000,000. We may offer and sell any combination of the securities described in this prospectus in different series, at times, in amounts, at prices and on terms to be determined at or prior to the time of each offering. This prospectus describes the general terms of these securities and the general manner in which these securities will be offered. We will provide the specific terms of these securities in supplements to this prospectus. The prospectus supplements will also describe the specific manner in which these securities will be offered and may also supplement, update or amend information contained in this prospectus. You should read this prospectus and any applicable prospectus supplement before you invest. </w:t>
      </w:r>
    </w:p>
    <w:p>
      <w:pPr>
        <w:spacing w:before="240" w:after="0"/>
        <w:ind w:left="120"/>
        <w:jc w:val="left"/>
      </w:pPr>
      <w:r>
        <w:rPr>
          <w:rFonts w:ascii="Times New Roman" w:hAnsi="Times New Roman"/>
          <w:b w:val="false"/>
          <w:i w:val="false"/>
          <w:color w:val="000000"/>
          <w:sz w:val="20"/>
        </w:rPr>
        <w:t xml:space="preserve"> The securities covered by this prospectus may be offered through one or more underwriters, dealers and agents, or directly to purchasers. The names of any underwriters, dealers or agents, if any, will be included in a supplement to this prospectus. For general information about the distribution of securities offered, please see “Plan of Distribution” beginning on page </w:t>
      </w:r>
      <w:r>
        <w:rPr>
          <w:rFonts w:ascii="Times New Roman" w:hAnsi="Times New Roman"/>
          <w:b/>
          <w:i w:val="false"/>
          <w:color w:val="000000"/>
          <w:sz w:val="20"/>
        </w:rPr>
        <w:t>37</w:t>
      </w:r>
      <w:r>
        <w:rPr>
          <w:rFonts w:ascii="Times New Roman" w:hAnsi="Times New Roman"/>
          <w:b w:val="false"/>
          <w:i w:val="false"/>
          <w:color w:val="000000"/>
          <w:sz w:val="20"/>
        </w:rPr>
        <w:t xml:space="preserve">. </w:t>
      </w:r>
    </w:p>
    <w:p>
      <w:pPr>
        <w:spacing w:before="240" w:after="0"/>
        <w:ind w:left="120"/>
        <w:jc w:val="left"/>
      </w:pPr>
      <w:r>
        <w:rPr>
          <w:rFonts w:ascii="Times New Roman" w:hAnsi="Times New Roman"/>
          <w:b w:val="false"/>
          <w:i w:val="false"/>
          <w:color w:val="000000"/>
          <w:sz w:val="20"/>
        </w:rPr>
        <w:t xml:space="preserve"> Our ordinary shares are listed on the Nasdaq Global Select Market, or Nasdaq, under the symbol “IFRX.” On August 5, 2026, the last sale price of our ordinary shares as reported by Nasdaq was $1.77 per ordinary share. </w:t>
      </w:r>
    </w:p>
    <w:p>
      <w:pPr>
        <w:spacing w:before="240" w:after="0"/>
        <w:ind w:left="120"/>
        <w:jc w:val="left"/>
      </w:pPr>
      <w:r>
        <w:rPr>
          <w:rFonts w:ascii="Times New Roman" w:hAnsi="Times New Roman"/>
          <w:b w:val="false"/>
          <w:i w:val="false"/>
          <w:color w:val="000000"/>
          <w:sz w:val="20"/>
        </w:rPr>
        <w:t xml:space="preserve"> As of June 30, 2026, the aggregate market value of our outstanding ordinary shares held by non-affiliates was approximately $269,050,484, based on 120,111,823 ordinary shares held by non-affiliates and a per share price of $2.24, which was the last sale price of our ordinary shares as reported by Nasdaq on June 30, 2026. As of the date of this prospectus, we have not offered any securities pursuant to General Instruction I.B.5 of Form F-3 during the prior 12 calendar month period that ends on, and includes, the date of this prospectus. </w:t>
      </w:r>
    </w:p>
    <w:p>
      <w:pPr>
        <w:pBdr>
          <w:bottom w:val="single" w:color="000000" w:sz="11"/>
        </w:pBdr>
        <w:spacing w:before="120" w:after="0"/>
        <w:ind w:left="120"/>
        <w:jc w:val="center"/>
      </w:pPr>
      <w:r>
        <w:rPr>
          <w:rFonts w:ascii="Times New Roman" w:hAnsi="Times New Roman"/>
          <w:b w:val="false"/>
          <w:i w:val="false"/>
          <w:color w:val="000000"/>
          <w:sz w:val="20"/>
        </w:rPr>
        <w:t xml:space="preserve"> </w:t>
      </w:r>
    </w:p>
    <w:p>
      <w:pPr>
        <w:spacing w:before="0" w:after="0"/>
        <w:ind w:left="0"/>
        <w:jc w:val="center"/>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240" w:after="0"/>
        <w:ind w:left="120"/>
        <w:jc w:val="left"/>
      </w:pPr>
      <w:r>
        <w:rPr>
          <w:rFonts w:ascii="Times New Roman" w:hAnsi="Times New Roman"/>
          <w:b/>
          <w:i w:val="false"/>
          <w:color w:val="000000"/>
          <w:sz w:val="20"/>
        </w:rPr>
        <w:t xml:space="preserve"> Investing in our securities involves risks. See “Risk Factors” beginning on page </w:t>
      </w:r>
      <w:r>
        <w:rPr>
          <w:rFonts w:ascii="Times New Roman" w:hAnsi="Times New Roman"/>
          <w:b/>
          <w:i w:val="false"/>
          <w:color w:val="000000"/>
          <w:sz w:val="20"/>
        </w:rPr>
        <w:t>8</w:t>
      </w:r>
      <w:r>
        <w:rPr>
          <w:rFonts w:ascii="Times New Roman" w:hAnsi="Times New Roman"/>
          <w:b/>
          <w:i w:val="false"/>
          <w:color w:val="000000"/>
          <w:sz w:val="20"/>
        </w:rPr>
        <w:t xml:space="preserve"> of this prospectus.</w:t>
      </w:r>
      <w:r>
        <w:rPr>
          <w:rFonts w:ascii="Times New Roman" w:hAnsi="Times New Roman"/>
          <w:b w:val="false"/>
          <w:i w:val="false"/>
          <w:color w:val="000000"/>
          <w:sz w:val="20"/>
        </w:rPr>
        <w:t xml:space="preserve"> </w:t>
      </w:r>
    </w:p>
    <w:p>
      <w:pPr>
        <w:spacing w:before="240" w:after="0"/>
        <w:ind w:left="120"/>
        <w:jc w:val="left"/>
      </w:pPr>
      <w:r>
        <w:rPr>
          <w:rFonts w:ascii="Times New Roman" w:hAnsi="Times New Roman"/>
          <w:b/>
          <w:i w:val="false"/>
          <w:color w:val="000000"/>
          <w:sz w:val="20"/>
        </w:rPr>
        <w:t xml:space="preserve"> Neither the U.S. Securities and Exchange Commission nor any state securities commission has approved or disapproved of these securities or determined if this prospectus is truthful or complete. Any representation to the contrary is a criminal offense.</w:t>
      </w:r>
      <w:r>
        <w:rPr>
          <w:rFonts w:ascii="Times New Roman" w:hAnsi="Times New Roman"/>
          <w:b w:val="false"/>
          <w:i w:val="false"/>
          <w:color w:val="000000"/>
          <w:sz w:val="20"/>
        </w:rPr>
        <w:t xml:space="preserve"> </w:t>
      </w:r>
    </w:p>
    <w:p>
      <w:pPr>
        <w:spacing w:before="1130" w:after="0"/>
        <w:ind w:left="120"/>
        <w:jc w:val="center"/>
      </w:pPr>
      <w:r>
        <w:rPr>
          <w:rFonts w:ascii="Times New Roman" w:hAnsi="Times New Roman"/>
          <w:b/>
          <w:i w:val="false"/>
          <w:color w:val="000000"/>
          <w:sz w:val="20"/>
        </w:rPr>
        <w:t xml:space="preserve"> The date of this prospectus is    , 2026.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2-toc_pg1" w:id="2"/>
      <w:r>
        <w:rPr>
          <w:rFonts w:ascii="Times New Roman" w:hAnsi="Times New Roman"/>
          <w:b w:val="false"/>
          <w:i w:val="false"/>
          <w:color w:val="0000ff"/>
          <w:sz w:val="22"/>
        </w:rPr>
        <w:t/>
      </w:r>
      <w:bookmarkEnd w:id="2"/>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val="false"/>
          <w:color w:val="000000"/>
          <w:sz w:val="20"/>
        </w:rPr>
        <w:t xml:space="preserve"> We have not authorized anyone to provide any information other than that contained in or incorporated by reference in this prospectus and any related prospectus supplement we provide to you. We have not authorized anyone to provide you with different or additional information. We are not making an offer of securities in any jurisdiction where the offer is not permitted. You should not assume that the information contained in or incorporated by reference in this prospectus is accurate as of any date other than the date on the front of this prospectus. Unless otherwise noted or the context otherwise requires, references in this prospectus to “InflaRx,” “we,” “our,” “ours,” “us” or similar terms refer to InflaRx N.V. and its subsidiaries.</w:t>
      </w:r>
      <w:r>
        <w:rPr>
          <w:rFonts w:ascii="Times New Roman" w:hAnsi="Times New Roman"/>
          <w:b w:val="false"/>
          <w:i w:val="false"/>
          <w:color w:val="000000"/>
          <w:sz w:val="20"/>
        </w:rPr>
        <w:t xml:space="preserve"> </w:t>
      </w:r>
    </w:p>
    <w:p>
      <w:pPr>
        <w:spacing w:before="410" w:after="0"/>
        <w:ind w:left="120"/>
        <w:jc w:val="center"/>
      </w:pPr>
      <w:r>
        <w:rPr>
          <w:rFonts w:ascii="Times New Roman" w:hAnsi="Times New Roman"/>
          <w:b/>
          <w:i w:val="false"/>
          <w:color w:val="000000"/>
          <w:sz w:val="20"/>
        </w:rPr>
        <w:t xml:space="preserve"> </w:t>
      </w:r>
      <w:r>
        <w:rPr>
          <w:rFonts w:ascii="Times New Roman" w:hAnsi="Times New Roman"/>
          <w:b/>
          <w:i w:val="false"/>
          <w:color w:val="000000"/>
          <w:sz w:val="20"/>
          <w:u w:val="single"/>
        </w:rPr>
        <w:t>TABLE OF CONTENTS</w:t>
      </w:r>
      <w:r>
        <w:rPr>
          <w:rFonts w:ascii="Times New Roman" w:hAnsi="Times New Roman"/>
          <w:b/>
          <w:i w:val="false"/>
          <w:color w:val="000000"/>
          <w:sz w:val="20"/>
        </w:rPr>
        <w:t xml:space="preserve"> </w:t>
      </w:r>
    </w:p>
    <w:p>
      <w:pPr>
        <w:spacing w:before="0" w:after="0"/>
        <w:ind w:left="120"/>
        <w:jc w:val="left"/>
      </w:pPr>
      <w:bookmarkStart w:name="TOC" w:id="3"/>
      <w:r>
        <w:rPr>
          <w:rFonts w:ascii="Times New Roman" w:hAnsi="Times New Roman"/>
          <w:b w:val="false"/>
          <w:i w:val="false"/>
          <w:color w:val="0000ff"/>
          <w:sz w:val="22"/>
        </w:rPr>
        <w:t/>
      </w:r>
      <w:bookmarkEnd w:id="3"/>
    </w:p>
    <w:tbl>
      <w:tblPr>
        <w:tblW w:w="0" w:type="auto"/>
        <w:tblCellSpacing w:w="0" w:type="dxa"/>
        <w:tblBorders>
          <w:top w:val="none"/>
          <w:left w:val="none"/>
          <w:bottom w:val="none"/>
          <w:right w:val="none"/>
          <w:insideH w:val="none"/>
          <w:insideV w:val="none"/>
        </w:tblBorders>
      </w:tblPr>
      <w:tblGrid>
        <w:gridCol w:w="11469"/>
        <w:gridCol w:w="260"/>
        <w:gridCol w:w="260"/>
        <w:gridCol w:w="491"/>
      </w:tblGrid>
      <w:tr>
        <w:trPr>
          <w:trHeight w:val="120" w:hRule="atLeast"/>
        </w:trPr>
        <w:tc>
          <w:tcPr>
            <w:tcW w:w="1146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40" w:hRule="atLeast"/>
        </w:trPr>
        <w:tc>
          <w:tcPr>
            <w:tcW w:w="11469" w:type="dxa"/>
            <w:tcBorders/>
            <w:tcMar>
              <w:top w:w="15" w:type="dxa"/>
              <w:left w:w="15" w:type="dxa"/>
              <w:bottom w:w="36" w:type="dxa"/>
              <w:right w:w="15" w:type="dxa"/>
            </w:tcMar>
            <w:vAlign w:val="bottom"/>
          </w:tcPr>
          <w:p>
            <w:pPr>
              <w:spacing w:before="0" w:after="0"/>
              <w:ind w:left="120"/>
              <w:jc w:val="left"/>
            </w:pPr>
            <w:r>
              <w:rPr>
                <w:rFonts w:ascii="Times New Roman" w:hAnsi="Times New Roman"/>
                <w:b/>
                <w:i w:val="false"/>
                <w:color w:val="000000"/>
                <w:sz w:val="16"/>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bottom w:val="single" w:color="000000" w:sz="11"/>
            </w:tcBorders>
            <w:tcMar>
              <w:top w:w="15" w:type="dxa"/>
              <w:left w:w="15" w:type="dxa"/>
              <w:bottom w:w="36" w:type="dxa"/>
              <w:right w:w="15" w:type="dxa"/>
            </w:tcMar>
            <w:vAlign w:val="bottom"/>
          </w:tcPr>
          <w:p>
            <w:pPr>
              <w:spacing w:before="0" w:after="0"/>
              <w:ind w:left="120"/>
              <w:jc w:val="center"/>
            </w:pPr>
            <w:r>
              <w:rPr>
                <w:rFonts w:ascii="Times New Roman" w:hAnsi="Times New Roman"/>
                <w:b/>
                <w:i w:val="false"/>
                <w:color w:val="000000"/>
                <w:sz w:val="16"/>
              </w:rPr>
              <w:t xml:space="preserve"> Page </w:t>
            </w:r>
          </w:p>
        </w:tc>
      </w:tr>
      <w:tr>
        <w:trPr>
          <w:trHeight w:val="285" w:hRule="atLeast"/>
        </w:trPr>
        <w:tc>
          <w:tcPr>
            <w:tcW w:w="11469" w:type="dxa"/>
            <w:tcBorders/>
            <w:shd w:fill="cceeff"/>
            <w:tcMar>
              <w:top w:w="30"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ABOUT THIS PROSPECTUS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30"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WHERE YOU CAN FIND MORE INFORMATION</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SPECIAL NOTE REGARDING FORWARD-LOOKING STATEMENTS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2</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INFLARX N.V.</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RISK FACTORS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8</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USE OF PROCEEDS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9</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CAPITALIZATION</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10</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SHARE CAPITAL AND ARTICLES OF ASSOCIATION</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11</w:t>
            </w:r>
            <w:r>
              <w:rPr>
                <w:rFonts w:ascii="Times New Roman" w:hAnsi="Times New Roman"/>
                <w:b w:val="false"/>
                <w:i w:val="false"/>
                <w:color w:val="000000"/>
                <w:sz w:val="20"/>
              </w:rPr>
              <w:t xml:space="preserve"> </w:t>
            </w:r>
          </w:p>
        </w:tc>
      </w:tr>
      <w:tr>
        <w:trPr>
          <w:trHeight w:val="510" w:hRule="atLeast"/>
        </w:trPr>
        <w:tc>
          <w:tcPr>
            <w:tcW w:w="11469" w:type="dxa"/>
            <w:tcBorders/>
            <w:shd w:fill="cceeff"/>
            <w:tcMar>
              <w:top w:w="15" w:type="dxa"/>
              <w:left w:w="15" w:type="dxa"/>
              <w:bottom w:w="21" w:type="dxa"/>
              <w:right w:w="15" w:type="dxa"/>
            </w:tcMar>
            <w:vAlign w:val="bottom"/>
          </w:tcPr>
          <w:p>
            <w:pPr>
              <w:spacing w:before="0" w:after="0"/>
              <w:ind w:left="3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COMPARISON OF DUTCH CORPORATE LAW AND OUR ARTICLES OF ASSOCIATION AND U.S. CORPORATE LAW</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17</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DEBT SECURITIES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28</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WARRANTS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32</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PURCHASE CONTRACTS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33</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DESCRIPTION OF UNITS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34</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FORMS OF SECURITIES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35</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PLAN OF DISTRIBUTION</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37</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INCORPORATION OF CERTAIN INFORMATION BY REFERENCE</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39</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ENFORCEMENT OF CIVIL LIABILITIES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40</w:t>
            </w:r>
            <w:r>
              <w:rPr>
                <w:rFonts w:ascii="Times New Roman" w:hAnsi="Times New Roman"/>
                <w:b w:val="false"/>
                <w:i w:val="false"/>
                <w:color w:val="000000"/>
                <w:sz w:val="20"/>
              </w:rPr>
              <w:t xml:space="preserve"> </w:t>
            </w:r>
          </w:p>
        </w:tc>
      </w:tr>
      <w:tr>
        <w:trPr>
          <w:trHeight w:val="270" w:hRule="atLeast"/>
        </w:trPr>
        <w:tc>
          <w:tcPr>
            <w:tcW w:w="114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EXPENSES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42</w:t>
            </w:r>
            <w:r>
              <w:rPr>
                <w:rFonts w:ascii="Times New Roman" w:hAnsi="Times New Roman"/>
                <w:b w:val="false"/>
                <w:i w:val="false"/>
                <w:color w:val="000000"/>
                <w:sz w:val="20"/>
              </w:rPr>
              <w:t xml:space="preserve"> </w:t>
            </w:r>
          </w:p>
        </w:tc>
      </w:tr>
      <w:tr>
        <w:trPr>
          <w:trHeight w:val="270" w:hRule="atLeast"/>
        </w:trPr>
        <w:tc>
          <w:tcPr>
            <w:tcW w:w="114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LEGAL MATTERS</w:t>
            </w:r>
            <w:r>
              <w:rPr>
                <w:rFonts w:ascii="Times New Roman" w:hAnsi="Times New Roman"/>
                <w:b w:val="false"/>
                <w:i w:val="false"/>
                <w:color w:val="000000"/>
                <w:sz w:val="20"/>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shd w:fill="cceeff"/>
            <w:tcMar>
              <w:top w:w="15" w:type="dxa"/>
              <w:left w:w="15" w:type="dxa"/>
              <w:bottom w:w="21"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43</w:t>
            </w:r>
            <w:r>
              <w:rPr>
                <w:rFonts w:ascii="Times New Roman" w:hAnsi="Times New Roman"/>
                <w:b w:val="false"/>
                <w:i w:val="false"/>
                <w:color w:val="000000"/>
                <w:sz w:val="20"/>
              </w:rPr>
              <w:t xml:space="preserve"> </w:t>
            </w:r>
          </w:p>
        </w:tc>
      </w:tr>
      <w:tr>
        <w:trPr>
          <w:trHeight w:val="240" w:hRule="atLeast"/>
        </w:trPr>
        <w:tc>
          <w:tcPr>
            <w:tcW w:w="1146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EXPERTS</w:t>
            </w:r>
            <w:r>
              <w:rPr>
                <w:rFonts w:ascii="Times New Roman" w:hAnsi="Times New Roman"/>
                <w:b w:val="false"/>
                <w:i w:val="false"/>
                <w:color w:val="000000"/>
                <w:sz w:val="20"/>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bottom"/>
          </w:tcPr>
          <w:p>
            <w:pPr>
              <w:spacing w:before="0" w:after="0"/>
              <w:ind w:left="184"/>
              <w:jc w:val="left"/>
            </w:pPr>
            <w:r>
              <w:rPr>
                <w:rFonts w:ascii="Times New Roman" w:hAnsi="Times New Roman"/>
                <w:b w:val="false"/>
                <w:i w:val="false"/>
                <w:color w:val="000000"/>
                <w:sz w:val="20"/>
              </w:rPr>
              <w:t xml:space="preserve"> </w:t>
            </w:r>
            <w:r>
              <w:rPr>
                <w:rFonts w:ascii="Times New Roman" w:hAnsi="Times New Roman"/>
                <w:b/>
                <w:i w:val="false"/>
                <w:color w:val="000000"/>
                <w:sz w:val="20"/>
              </w:rPr>
              <w:t>43</w:t>
            </w:r>
            <w:r>
              <w:rPr>
                <w:rFonts w:ascii="Times New Roman" w:hAnsi="Times New Roman"/>
                <w:b w:val="false"/>
                <w:i w:val="false"/>
                <w:color w:val="000000"/>
                <w:sz w:val="20"/>
              </w:rPr>
              <w:t xml:space="preserve"> </w:t>
            </w:r>
          </w:p>
        </w:tc>
      </w:tr>
      <w:tr>
        <w:trPr>
          <w:trHeight w:val="45" w:hRule="atLeast"/>
        </w:trPr>
        <w:tc>
          <w:tcPr>
            <w:tcW w:w="1146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91"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3-about_pg1" w:id="4"/>
      <w:r>
        <w:rPr>
          <w:rFonts w:ascii="Times New Roman" w:hAnsi="Times New Roman"/>
          <w:b w:val="false"/>
          <w:i w:val="false"/>
          <w:color w:val="0000ff"/>
          <w:sz w:val="22"/>
        </w:rPr>
        <w:t/>
      </w:r>
      <w:bookmarkEnd w:id="4"/>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ABT" w:id="5"/>
      <w:r>
        <w:rPr>
          <w:rFonts w:ascii="Times New Roman" w:hAnsi="Times New Roman"/>
          <w:b/>
          <w:i w:val="false"/>
          <w:color w:val="0000ff"/>
          <w:sz w:val="20"/>
        </w:rPr>
        <w:t/>
      </w:r>
      <w:bookmarkEnd w:id="5"/>
      <w:r>
        <w:rPr>
          <w:rFonts w:ascii="Times New Roman" w:hAnsi="Times New Roman"/>
          <w:b/>
          <w:i w:val="false"/>
          <w:color w:val="000000"/>
          <w:sz w:val="20"/>
        </w:rPr>
        <w:t xml:space="preserve">ABOUT THIS PROSPECTUS </w:t>
      </w:r>
    </w:p>
    <w:p>
      <w:pPr>
        <w:spacing w:before="120" w:after="0"/>
        <w:ind w:left="120"/>
        <w:jc w:val="left"/>
      </w:pPr>
      <w:r>
        <w:rPr>
          <w:rFonts w:ascii="Times New Roman" w:hAnsi="Times New Roman"/>
          <w:b w:val="false"/>
          <w:i w:val="false"/>
          <w:color w:val="000000"/>
          <w:sz w:val="20"/>
        </w:rPr>
        <w:t xml:space="preserve"> This prospectus is part of a registration statement that we filed with the Securities and Exchange Commission, or the SEC, utilizing a “shelf” registration process. Under this shelf process, we may sell any combination of the securities described in this prospectus in one or more offerings. This prospectus provides you with a general description of the securities we may offer. Each time we sell securities, we will provide a prospectus supplement that will contain specific information about the terms of that offering. The prospectus supplement may also add, update or change information contained in this prospectus. You should read both this prospectus and any prospectus supplement together with additional information described under the headings “Where You Can Find More Information” and “Incorporation of Certain Information by Reference.” </w:t>
      </w:r>
    </w:p>
    <w:p>
      <w:pPr>
        <w:spacing w:before="120" w:after="0"/>
        <w:ind w:left="120"/>
        <w:jc w:val="left"/>
      </w:pPr>
      <w:r>
        <w:rPr>
          <w:rFonts w:ascii="Times New Roman" w:hAnsi="Times New Roman"/>
          <w:b w:val="false"/>
          <w:i w:val="false"/>
          <w:color w:val="000000"/>
          <w:sz w:val="20"/>
        </w:rPr>
        <w:t xml:space="preserve"> We have filed or incorporated by reference exhibits to the registration statement of which this prospectus forms a part. You should read the exhibits carefully for provisions that may be important to you. </w:t>
      </w:r>
    </w:p>
    <w:p>
      <w:pPr>
        <w:spacing w:before="120" w:after="0"/>
        <w:ind w:left="120"/>
        <w:jc w:val="left"/>
      </w:pPr>
      <w:r>
        <w:rPr>
          <w:rFonts w:ascii="Times New Roman" w:hAnsi="Times New Roman"/>
          <w:b/>
          <w:i w:val="false"/>
          <w:color w:val="000000"/>
          <w:sz w:val="20"/>
        </w:rPr>
        <w:t xml:space="preserve"> Neither the delivery of this prospectus nor any sale made under it implies that there has been no change in our affairs or that the information in this prospectus is correct as of any date after the date of this prospectus. You should not assume that the information in this prospectus, including any information incorporated in this prospectus by reference, the accompanying prospectus supplement or any free writing prospectus prepared by us, is accurate as of any date other than the date on the front of those documents. Our business, financial condition, results of operations and prospects may have changed since that date.</w:t>
      </w:r>
      <w:r>
        <w:rPr>
          <w:rFonts w:ascii="Times New Roman" w:hAnsi="Times New Roman"/>
          <w:b w:val="false"/>
          <w:i w:val="false"/>
          <w:color w:val="000000"/>
          <w:sz w:val="20"/>
        </w:rPr>
        <w:t xml:space="preserve"> </w:t>
      </w:r>
    </w:p>
    <w:p>
      <w:pPr>
        <w:spacing w:before="170" w:after="0"/>
        <w:ind w:left="120"/>
        <w:jc w:val="left"/>
      </w:pPr>
      <w:r>
        <w:rPr>
          <w:rFonts w:ascii="Times New Roman" w:hAnsi="Times New Roman"/>
          <w:b w:val="false"/>
          <w:i w:val="false"/>
          <w:color w:val="000000"/>
          <w:sz w:val="20"/>
        </w:rPr>
        <w:t xml:space="preserve"> You should not assume that the information contained in this prospectus is accurate as of any other date. </w:t>
      </w:r>
    </w:p>
    <w:p>
      <w:pPr>
        <w:spacing w:before="410" w:after="0"/>
        <w:ind w:left="120"/>
        <w:jc w:val="center"/>
      </w:pPr>
      <w:r>
        <w:rPr>
          <w:rFonts w:ascii="Times New Roman" w:hAnsi="Times New Roman"/>
          <w:b/>
          <w:i w:val="false"/>
          <w:color w:val="000000"/>
          <w:sz w:val="20"/>
        </w:rPr>
        <w:t xml:space="preserve"> </w:t>
      </w:r>
      <w:bookmarkStart w:name="tWHR" w:id="6"/>
      <w:r>
        <w:rPr>
          <w:rFonts w:ascii="Times New Roman" w:hAnsi="Times New Roman"/>
          <w:b/>
          <w:i w:val="false"/>
          <w:color w:val="0000ff"/>
          <w:sz w:val="20"/>
        </w:rPr>
        <w:t/>
      </w:r>
      <w:bookmarkEnd w:id="6"/>
      <w:r>
        <w:rPr>
          <w:rFonts w:ascii="Times New Roman" w:hAnsi="Times New Roman"/>
          <w:b/>
          <w:i w:val="false"/>
          <w:color w:val="000000"/>
          <w:sz w:val="20"/>
        </w:rPr>
        <w:t xml:space="preserve">WHERE YOU CAN FIND MORE INFORMATION </w:t>
      </w:r>
    </w:p>
    <w:p>
      <w:pPr>
        <w:spacing w:before="120" w:after="0"/>
        <w:ind w:left="120"/>
        <w:jc w:val="left"/>
      </w:pPr>
      <w:r>
        <w:rPr>
          <w:rFonts w:ascii="Times New Roman" w:hAnsi="Times New Roman"/>
          <w:b w:val="false"/>
          <w:i w:val="false"/>
          <w:color w:val="000000"/>
          <w:sz w:val="20"/>
        </w:rPr>
        <w:t xml:space="preserve"> We file annual reports on Form 20-F, reports on Form 6-K, and other information with the SEC under the Securities Exchange Act of 1934, as amended, or the Exchange Act. The SEC maintains a website that contains reports and other information about issuers like us who file electronically with the SEC. The address of the site is </w:t>
      </w:r>
      <w:r>
        <w:rPr>
          <w:rFonts w:ascii="Times New Roman" w:hAnsi="Times New Roman"/>
          <w:b w:val="false"/>
          <w:i/>
          <w:color w:val="000000"/>
          <w:sz w:val="20"/>
        </w:rPr>
        <w:t>www.sec.gov</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val="false"/>
          <w:i w:val="false"/>
          <w:color w:val="000000"/>
          <w:sz w:val="20"/>
        </w:rPr>
        <w:t xml:space="preserve"> As a foreign private issuer, we are exempt under the Exchange Act from, among other things, the rules prescribing the furnishing and content of proxy statements, and our managing directors, supervisory directors and principal shareholders are exempt from the short-swing profit and short sale prohibitions contained in Section 16 of the Exchange Act. In addition, we are not required under the Exchange Act to file periodic reports and financial statements with the SEC as frequently or as promptly as U.S. companies whose securities are registered under the Exchange Act. </w:t>
      </w:r>
    </w:p>
    <w:p>
      <w:pPr>
        <w:spacing w:before="189" w:after="0"/>
        <w:ind w:left="120"/>
        <w:jc w:val="center"/>
      </w:pPr>
      <w:r>
        <w:rPr>
          <w:rFonts w:ascii="Times New Roman" w:hAnsi="Times New Roman"/>
          <w:b w:val="false"/>
          <w:i w:val="false"/>
          <w:color w:val="000000"/>
          <w:sz w:val="20"/>
        </w:rPr>
        <w:t xml:space="preserve"> 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3-about_pg2" w:id="7"/>
      <w:r>
        <w:rPr>
          <w:rFonts w:ascii="Times New Roman" w:hAnsi="Times New Roman"/>
          <w:b w:val="false"/>
          <w:i w:val="false"/>
          <w:color w:val="0000ff"/>
          <w:sz w:val="22"/>
        </w:rPr>
        <w:t/>
      </w:r>
      <w:bookmarkEnd w:id="7"/>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SCL" w:id="8"/>
      <w:r>
        <w:rPr>
          <w:rFonts w:ascii="Times New Roman" w:hAnsi="Times New Roman"/>
          <w:b/>
          <w:i w:val="false"/>
          <w:color w:val="0000ff"/>
          <w:sz w:val="20"/>
        </w:rPr>
        <w:t/>
      </w:r>
      <w:bookmarkEnd w:id="8"/>
      <w:r>
        <w:rPr>
          <w:rFonts w:ascii="Times New Roman" w:hAnsi="Times New Roman"/>
          <w:b/>
          <w:i w:val="false"/>
          <w:color w:val="000000"/>
          <w:sz w:val="20"/>
        </w:rPr>
        <w:t xml:space="preserve">SPECIAL NOTE REGARDING FORWARD-LOOKING STATEMENTS </w:t>
      </w:r>
    </w:p>
    <w:p>
      <w:pPr>
        <w:spacing w:before="120" w:after="0"/>
        <w:ind w:left="120"/>
        <w:jc w:val="left"/>
      </w:pPr>
      <w:r>
        <w:rPr>
          <w:rFonts w:ascii="Times New Roman" w:hAnsi="Times New Roman"/>
          <w:b w:val="false"/>
          <w:i w:val="false"/>
          <w:color w:val="000000"/>
          <w:sz w:val="20"/>
        </w:rPr>
        <w:t xml:space="preserve"> This prospectus and the financial statements and other documents incorporated by reference in this prospectus contain forward-looking statements, including statements concerning our industry, our operations, our anticipated financial performance and financial condition, and our business plans and growth strategy and product development efforts. These statements constitute forward-looking statements within the meaning of Section 27A of the Securities Act of 1933, as amended, or the Securities Act, and Section 21E of the Exchange Act. Many of the forward-looking statements contained in this prospectus can be identified by the use of forward-looking words such as “may,” “will,” “should,” “expect,” “plan,” “anticipate, “could,” “intend,” “target,” “project,” “estimate,” “believe,” “predict,” “potential” or “continue” or the negative of these terms or other similar expressions intended to identify statements about the future. Readers are cautioned not to place undue reliance on these forward-looking statements, which speak only as of their dates. These forward-looking statements are based on estimates and assumptions by our management that, although we believe to be reasonable, are inherently uncertain and subject to a number of risks and uncertainties. </w:t>
      </w:r>
    </w:p>
    <w:p>
      <w:pPr>
        <w:spacing w:before="120" w:after="0"/>
        <w:ind w:left="120"/>
        <w:jc w:val="left"/>
      </w:pPr>
      <w:r>
        <w:rPr>
          <w:rFonts w:ascii="Times New Roman" w:hAnsi="Times New Roman"/>
          <w:b w:val="false"/>
          <w:i w:val="false"/>
          <w:color w:val="000000"/>
          <w:sz w:val="20"/>
        </w:rPr>
        <w:t xml:space="preserve"> The following represent some, but not necessarily all, of the factors that could cause actual results to differ from historical results or those anticipated or predicted by our forward-looking statements: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5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development and registrational strategy for izicopan’s treatment of AAV and other renal diseases, including atypical hemolytic uremic syndrome, or aHUS, IgA nephropathy, or IgAN, and C3 glomerulopathy, or C3G, including our Phase 2 planning in AAV, our assessment of a broader development and registrational strategy in Europe following the recommendation by the Committee for Medicinal Products for Human Use of the European Medicines Agency, or EMA to revoke the marketing authorization for Tavneos (avacopan) in the European Union, and our ability to establish proof of concept for izicopan across such indications;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future clinical trials for vilobelimab’s treatment of debilitating or life-threatening inflammatory indications, including acute respiratory distress syndrome, or ARDS, and AAV;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potential strategic transactions or collaborations, including a potential partnership of izicopan or vilobelimab for pyoderma gangrenosum, or PG, HS, CSU or any other indications;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timing, progress and results of preclinical studies and clinical trials of vilobelimab, izicopan and any other product candidates, including for the development of vilobelimab or izicopan in several indications including virally induced ARDS, hidradenitis suppurativa, or HS, chronic spontaneous urticaria, or CSU, or others, and statements regarding the timing of initiation and completion of studies or trials and related preparatory work, the period during which the results of the trials will become available, the costs of such trials and our research and development programs generally;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interactions with and the receptiveness and approval by regulators regarding the results of clinical trials and potential regulatory approval or authorization pathways, including our intended engagement with the EMA regarding vilobelimab and izicopan;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timing and outcome of any discussions or submission of filings for regulatory approval of vilobelimab, izicopan or any other product candidate, if approved or authorized for commercial use;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leverage our proprietary anti-C5a and anti-C5aR technologies to discover and develop therapies to treat complement-mediated immunological and inflammatory diseases;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protect, maintain and enforce our intellectual property protection for vilobelimab, izicopan and any other product candidates, and the scope of such protection;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whether the U.S. Food and Drug Administration, or the FDA, the European Medicines Agency or any comparable foreign regulatory authority will accept or agree with the number, design, size, conduct or implementation of our clinical trials, including any proposed primary or secondary endpoints for such trials;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success of our future clinical trials for vilobelimab, izicopan and any other product candidates and whether such clinical results will reflect results seen in previously conducted preclinical studies and clinical trials; </w:t>
            </w:r>
          </w:p>
        </w:tc>
      </w:tr>
    </w:tbl>
    <w:p>
      <w:pPr>
        <w:spacing w:before="189" w:after="0"/>
        <w:ind w:left="120"/>
        <w:jc w:val="center"/>
      </w:pPr>
      <w:r>
        <w:rPr>
          <w:rFonts w:ascii="Times New Roman" w:hAnsi="Times New Roman"/>
          <w:b w:val="false"/>
          <w:i w:val="false"/>
          <w:color w:val="000000"/>
          <w:sz w:val="20"/>
        </w:rPr>
        <w:t xml:space="preserve"> 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3-about_pg3" w:id="9"/>
      <w:r>
        <w:rPr>
          <w:rFonts w:ascii="Times New Roman" w:hAnsi="Times New Roman"/>
          <w:b w:val="false"/>
          <w:i w:val="false"/>
          <w:color w:val="0000ff"/>
          <w:sz w:val="22"/>
        </w:rPr>
        <w:t/>
      </w:r>
      <w:bookmarkEnd w:id="9"/>
    </w:p>
    <w:p>
      <w:pPr>
        <w:spacing w:before="269" w:after="269"/>
        <w:ind w:left="120"/>
        <w:jc w:val="left"/>
      </w:pPr>
      <w:r>
        <w:rPr>
          <w:rFonts w:ascii="Times New Roman" w:hAnsi="Times New Roman"/>
          <w:b/>
          <w:i w:val="false"/>
          <w:color w:val="000000"/>
          <w:sz w:val="16"/>
        </w:rPr>
        <w:t>TABLE OF CONTENTS</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expectations regarding the size of the patient populations for, the market opportunity for, the medical need for and clinical utility of vilobelimab, izicopan or any other product candidates, if approved or authorized for commercial use;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manufacturing capabilities and strategy, including the scalability and cost of our manufacturing methods and processes and the optimization of our manufacturing methods and processes, and our ability to continue to rely on our existing third-party manufacturers and our ability to engage additional third-party manufacturers for our planned future clinical trials and for commercial supply of any development candidate in the United States and Europe;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estimates of our expenses, ongoing losses, future revenue, capital requirements and our needs for or ability to obtain additional financing;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defend against liability claims resulting from the testing of our product candidates in the clinic or, if approved or authorized, any commercial sales;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any of our product candidates obtain regulatory approval or authorization, our ability to comply with and satisfy ongoing drug regulatory obligations and continued regulatory oversight;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ability to comply with enacted and future legislation in seeking marketing approval or authorization and commercialization;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future growth and ability to compete, which depends on our retaining key personnel and recruiting additional qualified personnel;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competitive position and the development of and projections relating to our competitors in the development of C5a and C5aR inhibitors and other therapeutic products being developed in similar medical conditions in which vilobelimab, izicopan or any other of our product candidates is being developed or our industry;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risks related to our reliance on foreign third-party manufacturers and suppliers, including those located in China; and </w:t>
            </w:r>
          </w:p>
        </w:tc>
      </w:tr>
    </w:tbl>
    <w:tbl>
      <w:tblPr>
        <w:tblW w:w="0" w:type="auto"/>
        <w:tblCellSpacing w:w="0" w:type="dxa"/>
        <w:tblInd w:w="533" w:type="dxa"/>
        <w:tblBorders>
          <w:top w:val="none"/>
          <w:left w:val="none"/>
          <w:bottom w:val="none"/>
          <w:right w:val="none"/>
          <w:insideH w:val="none"/>
          <w:insideV w:val="none"/>
        </w:tblBorders>
      </w:tblPr>
      <w:tblGrid>
        <w:gridCol w:w="533"/>
        <w:gridCol w:w="9860"/>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860"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risk factors discussed herein under “Risk Factors” or incorporated herein by reference. </w:t>
            </w:r>
          </w:p>
        </w:tc>
      </w:tr>
    </w:tbl>
    <w:p>
      <w:pPr>
        <w:spacing w:before="120" w:after="0"/>
        <w:ind w:left="120"/>
        <w:jc w:val="left"/>
      </w:pPr>
      <w:r>
        <w:rPr>
          <w:rFonts w:ascii="Times New Roman" w:hAnsi="Times New Roman"/>
          <w:b w:val="false"/>
          <w:i w:val="false"/>
          <w:color w:val="000000"/>
          <w:sz w:val="20"/>
        </w:rPr>
        <w:t xml:space="preserve"> Our actual results or performance could differ materially from those expressed in, or implied by, any forward-looking statements relating to those matters. Accordingly, no assurances can be given that any of the events anticipated by the forward-looking statements will transpire or occur, or if any of them do so, what impact they will have on our results of operations, cash flows or financial condition. Except as required by law, we are under no obligation, and expressly disclaim any obligation, to update, alter or otherwise revise any forward-looking statement, whether written or oral, that may be made from time to time, whether as a result of new information, future events or otherwise. </w:t>
      </w:r>
    </w:p>
    <w:p>
      <w:pPr>
        <w:spacing w:before="189" w:after="0"/>
        <w:ind w:left="120"/>
        <w:jc w:val="center"/>
      </w:pPr>
      <w:r>
        <w:rPr>
          <w:rFonts w:ascii="Times New Roman" w:hAnsi="Times New Roman"/>
          <w:b w:val="false"/>
          <w:i w:val="false"/>
          <w:color w:val="000000"/>
          <w:sz w:val="20"/>
        </w:rPr>
        <w:t xml:space="preserve"> 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3-about_pg4" w:id="10"/>
      <w:r>
        <w:rPr>
          <w:rFonts w:ascii="Times New Roman" w:hAnsi="Times New Roman"/>
          <w:b w:val="false"/>
          <w:i w:val="false"/>
          <w:color w:val="0000ff"/>
          <w:sz w:val="22"/>
        </w:rPr>
        <w:t/>
      </w:r>
      <w:bookmarkEnd w:id="10"/>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INF" w:id="11"/>
      <w:r>
        <w:rPr>
          <w:rFonts w:ascii="Times New Roman" w:hAnsi="Times New Roman"/>
          <w:b/>
          <w:i w:val="false"/>
          <w:color w:val="0000ff"/>
          <w:sz w:val="20"/>
        </w:rPr>
        <w:t/>
      </w:r>
      <w:bookmarkEnd w:id="11"/>
      <w:r>
        <w:rPr>
          <w:rFonts w:ascii="Times New Roman" w:hAnsi="Times New Roman"/>
          <w:b/>
          <w:i w:val="false"/>
          <w:color w:val="000000"/>
          <w:sz w:val="20"/>
        </w:rPr>
        <w:t xml:space="preserve">INFLARX N.V. </w:t>
      </w:r>
    </w:p>
    <w:p>
      <w:pPr>
        <w:spacing w:before="280" w:after="0"/>
        <w:ind w:left="120"/>
        <w:jc w:val="left"/>
      </w:pPr>
      <w:r>
        <w:rPr>
          <w:rFonts w:ascii="Times New Roman" w:hAnsi="Times New Roman"/>
          <w:b/>
          <w:i/>
          <w:color w:val="000000"/>
          <w:sz w:val="20"/>
        </w:rPr>
        <w:t xml:space="preserve"> Our Business </w:t>
      </w:r>
    </w:p>
    <w:p>
      <w:pPr>
        <w:spacing w:before="120" w:after="0"/>
        <w:ind w:left="120"/>
        <w:jc w:val="left"/>
      </w:pPr>
      <w:r>
        <w:rPr>
          <w:rFonts w:ascii="Times New Roman" w:hAnsi="Times New Roman"/>
          <w:b w:val="false"/>
          <w:i w:val="false"/>
          <w:color w:val="000000"/>
          <w:sz w:val="20"/>
        </w:rPr>
        <w:t xml:space="preserve"> We are a biopharmaceutical company pioneering anti-inflammatory therapeutics by applying our proprietary anti-C5a and anti- C5aR technologies to discover, develop and commercialize highly potent and specific inhibitors of the complement activation factor C5a and its receptor, C5aR. C5a is a powerful inflammatory mediator involved in the progression of a wide variety of inflammatory diseases. Terminal complement activation, to which the cleavage of C5 by C5-convertases is also referred to, leads to the release of C5a, which acts through its receptor C5aR. In addition, terminal complement activation, i.e., the cleavage of C5a from C5, can also be achieved directly by naturally occurring enzymes present throughout the body but not considered part of the complement system. Our lead program is izicopan, an orally administered small molecule inhibitor of C5a-induced signaling via the C5a receptor. We are focusing the development of izicopan toward the treatment of AAV and additional renal diseases. We have also developed vilobelimab, a novel, intravenously delivered, first-in-class, anti-C5a monoclonal antibody that selectively binds to free C5a and has demonstrated disease-modifying clinical activity and tolerability in multiple clinical studies. </w:t>
      </w:r>
    </w:p>
    <w:p>
      <w:pPr>
        <w:spacing w:before="120" w:after="0"/>
        <w:ind w:left="120"/>
        <w:jc w:val="left"/>
      </w:pPr>
      <w:r>
        <w:rPr>
          <w:rFonts w:ascii="Times New Roman" w:hAnsi="Times New Roman"/>
          <w:b w:val="false"/>
          <w:i w:val="false"/>
          <w:color w:val="000000"/>
          <w:sz w:val="20"/>
        </w:rPr>
        <w:t xml:space="preserve"> The most prominent role of the complement system is to help the body defend itself against invading microorganisms through several mechanisms, including the rapid creation of an inflammatory environment and the production of factors that directly kill pathogens and recruit immune cells to sites of infection. Activation of the complement system ultimately results in the generation of C5a and C5b by cleavage from complement factor C5. C5a, through its signaling after binding to the C5a receptor C5aR1, creates an inflammatory environment by attracting and strongly activating neutrophils as well as by causing many different cell types to generate pro-inflammatory molecules. The C5a/C5aR1 signaling axis is central to this and therefore a critical component of the innate immune system. Such elicited inflammatory responses normally benefit the body by helping to fight infection, but excessive or uncontrolled generation of C5a, as it occurs in certain diseases, can cause severe damage to the body’s own tissue, thereby contributing to the pathophysiology of many autoimmune and inflammatory diseases. </w:t>
      </w:r>
    </w:p>
    <w:p>
      <w:pPr>
        <w:spacing w:before="120" w:after="0"/>
        <w:ind w:left="120"/>
        <w:jc w:val="left"/>
      </w:pPr>
      <w:r>
        <w:rPr>
          <w:rFonts w:ascii="Times New Roman" w:hAnsi="Times New Roman"/>
          <w:b w:val="false"/>
          <w:i w:val="false"/>
          <w:color w:val="000000"/>
          <w:sz w:val="20"/>
        </w:rPr>
        <w:t xml:space="preserve"> To explore the full potential of our anti-C5a/C5aR technologies, we are clinically developing our lead product candidate, izicopan, which is an orally administered, small-molecule inhibitor of C5aR1, for the treatment of ANCA-associated vasculitis, or AAV, a life-threatening kidney disorder, and additional renal diseases. </w:t>
      </w:r>
    </w:p>
    <w:p>
      <w:pPr>
        <w:spacing w:before="120" w:after="0"/>
        <w:ind w:left="120"/>
        <w:jc w:val="left"/>
      </w:pPr>
      <w:r>
        <w:rPr>
          <w:rFonts w:ascii="Times New Roman" w:hAnsi="Times New Roman"/>
          <w:b w:val="false"/>
          <w:i w:val="false"/>
          <w:color w:val="000000"/>
          <w:sz w:val="20"/>
        </w:rPr>
        <w:t xml:space="preserve"> In January 2026, we announced a restructuring and a change in strategy, focusing future resource allocation predominantly towards further clinical development of izicopan. </w:t>
      </w:r>
    </w:p>
    <w:p>
      <w:pPr>
        <w:spacing w:before="120" w:after="0"/>
        <w:ind w:left="120"/>
        <w:jc w:val="left"/>
      </w:pPr>
      <w:r>
        <w:rPr>
          <w:rFonts w:ascii="Times New Roman" w:hAnsi="Times New Roman"/>
          <w:b w:val="false"/>
          <w:i w:val="false"/>
          <w:color w:val="000000"/>
          <w:sz w:val="20"/>
        </w:rPr>
        <w:t xml:space="preserve"> We are conducting Phase 2 planning for izicopan in AAV, and this previously announced Phase 2 planning continues as planned and uninterrupted across multiple geographies. Following the recommendation by the EMA’s Committee for Medicinal Products for Human Use to revoke the marketing authorization for Tavneos in the European Union, we are assessing the feasibility of broadening our development and registrational strategy for AAV in Europe and intend to engage with the EMA regarding both vilobelimab and izicopan as part of our overall development goal to determine the most efficient development pathway to bring the C5a/C5aR inhibition mechanism to patients. In addition, we are working to establish a rapid proof-of-concept for izicopan across a broader range of complement mediated life-threatening kidney diseases by conducting open-label studies that are expected to begin generating clinical data next year in certain indications. These additional renal disease targets include atypical hemolytic uremic syndrome (aHUS), IgA nephropathy (IgAN) and C3 glomerulopathy (C3G), where early evidence already exists for the role of C5a/C5aR inhibition and where izicopan’s favorable clinical profile could be a significant differentiator. Toward these efforts, InflaRx anticipates conducting a pharmacokinetic bridging study in China this year. </w:t>
      </w:r>
    </w:p>
    <w:p>
      <w:pPr>
        <w:spacing w:before="120" w:after="0"/>
        <w:ind w:left="120"/>
        <w:jc w:val="left"/>
      </w:pPr>
      <w:r>
        <w:rPr>
          <w:rFonts w:ascii="Times New Roman" w:hAnsi="Times New Roman"/>
          <w:b w:val="false"/>
          <w:i w:val="false"/>
          <w:color w:val="000000"/>
          <w:sz w:val="20"/>
        </w:rPr>
        <w:t xml:space="preserve"> Vilobelimab is a novel, intravenously delivered, first-in-class monoclonal antibody that selectively binds to free C5a and has demonstrated disease-modifying clinical activity and tolerability in multiple clinical settings. We have been developing vilobelimab in a wide array of complement-mediated diseases with significant unmet medical need. Vilobelimab has been evaluated in two controlled Phase 2 AAV studies, the European IXCHANGE trial and the U.S. IXPLORE trial. Based on a successfully completed Phase 3 trial demonstrating a 24% reduction in all-cause mortality, in April 2023, we were granted an EUA by the FDA for the treatment of critically ill, invasively mechanically ventilated COVID-19 patients with vilobelimab. In January 2025, we also obtained a marketing authorization under exceptional circumstances from the European Commission. </w:t>
      </w:r>
    </w:p>
    <w:p>
      <w:pPr>
        <w:spacing w:before="189" w:after="0"/>
        <w:ind w:left="120"/>
        <w:jc w:val="center"/>
      </w:pPr>
      <w:r>
        <w:rPr>
          <w:rFonts w:ascii="Times New Roman" w:hAnsi="Times New Roman"/>
          <w:b w:val="false"/>
          <w:i w:val="false"/>
          <w:color w:val="000000"/>
          <w:sz w:val="20"/>
        </w:rPr>
        <w:t xml:space="preserve"> 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3-about_pg5" w:id="12"/>
      <w:r>
        <w:rPr>
          <w:rFonts w:ascii="Times New Roman" w:hAnsi="Times New Roman"/>
          <w:b w:val="false"/>
          <w:i w:val="false"/>
          <w:color w:val="0000ff"/>
          <w:sz w:val="22"/>
        </w:rPr>
        <w:t/>
      </w:r>
      <w:bookmarkEnd w:id="12"/>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We are also developing IFX002 for the treatment of chronic inflammatory diseases. IFX002 is a highly potent anti-C5a antibody, which binds to the same domain of the C5a protein as vilobelimab, but which has a higher humanization grade and altered pharmacokinetic properties compared to vilobelimab. IFX002 is currently in preclinical development. We consider IFX002 to be a life-cycle management product to vilobelimab, given the long remaining patent life of IFX002. </w:t>
      </w:r>
    </w:p>
    <w:p>
      <w:pPr>
        <w:spacing w:before="380" w:after="0"/>
        <w:ind w:left="520"/>
        <w:jc w:val="left"/>
      </w:pPr>
      <w:r>
        <w:rPr>
          <w:rFonts w:ascii="Times New Roman" w:hAnsi="Times New Roman"/>
          <w:b/>
          <w:i/>
          <w:color w:val="000000"/>
          <w:sz w:val="20"/>
        </w:rPr>
        <w:t xml:space="preserve"> Current Product Development Pipeline </w:t>
      </w:r>
    </w:p>
    <w:p>
      <w:pPr>
        <w:spacing w:before="140" w:after="0"/>
        <w:ind w:left="120"/>
        <w:jc w:val="left"/>
      </w:pPr>
      <w:r>
        <w:rPr>
          <w:rFonts w:ascii="Times New Roman" w:hAnsi="Times New Roman"/>
          <w:b w:val="false"/>
          <w:i w:val="false"/>
          <w:color w:val="000000"/>
          <w:sz w:val="20"/>
        </w:rPr>
        <w:t xml:space="preserve"> An overview of our current product development pipeline can be found below: </w:t>
      </w:r>
    </w:p>
    <w:p>
      <w:pPr>
        <w:spacing w:before="295" w:after="0"/>
        <w:ind w:left="120"/>
        <w:jc w:val="center"/>
      </w:pPr>
      <w:r>
        <w:rPr>
          <w:rFonts w:ascii="Times New Roman" w:hAnsi="Times New Roman"/>
          <w:b w:val="false"/>
          <w:i w:val="false"/>
          <w:color w:val="000000"/>
          <w:sz w:val="20"/>
        </w:rPr>
        <w:t xml:space="preserve"> </w:t>
      </w:r>
      <w:r>
        <w:drawing>
          <wp:inline distT="0" distB="0" distL="0" distR="0">
            <wp:extent cx="9364134"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64134" cy="5232400"/>
                    </a:xfrm>
                    <a:prstGeom prst="rect">
                      <a:avLst/>
                    </a:prstGeom>
                  </pic:spPr>
                </pic:pic>
              </a:graphicData>
            </a:graphic>
          </wp:inline>
        </w:drawing>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p>
    <w:p>
      <w:pPr>
        <w:spacing w:before="390" w:after="0"/>
        <w:ind w:left="120"/>
        <w:jc w:val="left"/>
      </w:pPr>
      <w:r>
        <w:rPr>
          <w:rFonts w:ascii="Times New Roman" w:hAnsi="Times New Roman"/>
          <w:b/>
          <w:i w:val="false"/>
          <w:color w:val="000000"/>
          <w:sz w:val="20"/>
        </w:rPr>
        <w:t xml:space="preserve"> Our Strategy </w:t>
      </w:r>
    </w:p>
    <w:p>
      <w:pPr>
        <w:spacing w:before="120" w:after="0"/>
        <w:ind w:left="120"/>
        <w:jc w:val="left"/>
      </w:pPr>
      <w:r>
        <w:rPr>
          <w:rFonts w:ascii="Times New Roman" w:hAnsi="Times New Roman"/>
          <w:b w:val="false"/>
          <w:i w:val="false"/>
          <w:color w:val="000000"/>
          <w:sz w:val="20"/>
        </w:rPr>
        <w:t xml:space="preserve"> Our goal is to maintain and further advance our leadership position within the anti-C5a/anti-C5aR complement field, delivering first-in-class autoimmune and anti-inflammatory therapies to the market. To achieve this goal, we expect to execute the strategies set forth below.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Proceed with clinical development of izicopan in AAV and additional renal diseases. </w:t>
            </w:r>
            <w:r>
              <w:rPr>
                <w:rFonts w:ascii="Times New Roman" w:hAnsi="Times New Roman"/>
                <w:b w:val="false"/>
                <w:i w:val="false"/>
                <w:color w:val="000000"/>
                <w:sz w:val="20"/>
              </w:rPr>
              <w:t xml:space="preserve">We have conducted a single ascending dose and multiple ascending dose study of our C5aR antagonist izicopan, and a Phase 2a trial in HS and CSU. We are also conducting required non-clinical studies. Our previously announced Phase 2 planning with izicopan in AAV continues as planned and uninterrupted across multiple geographies, and we are working to establish a rapid proof-of-concept for izicopan across additional renal disease targets, including aHUS, IgAN and C3G.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Assess a broadened AAV strategy in Europe. </w:t>
            </w:r>
            <w:r>
              <w:rPr>
                <w:rFonts w:ascii="Times New Roman" w:hAnsi="Times New Roman"/>
                <w:b w:val="false"/>
                <w:i w:val="false"/>
                <w:color w:val="000000"/>
                <w:sz w:val="20"/>
              </w:rPr>
              <w:t xml:space="preserve">Following the recommendation by the EMA’s Committee for Medicinal Products for Human Use to revoke the marketing authorization for Tavneos in the European Union, InflaRx is assessing the feasibility of broadening its development and registrational strategy for AAV in Europe and intends to engage with the EMA regarding both vilobelimab and izicopan.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0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Assess potential partnerships for joint development of izicopan. </w:t>
            </w:r>
            <w:r>
              <w:rPr>
                <w:rFonts w:ascii="Times New Roman" w:hAnsi="Times New Roman"/>
                <w:b w:val="false"/>
                <w:i w:val="false"/>
                <w:color w:val="000000"/>
                <w:sz w:val="20"/>
              </w:rPr>
              <w:t xml:space="preserve">Since broad development of izicopan in different indications in parallel is time- and resource-consuming, we intend to assess potential development partners for izicopan and vilobelimab in selected indications and/or territories to support parallel development and maximize program value.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0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Assess development options for vilobelimab in further indications.</w:t>
            </w:r>
            <w:r>
              <w:rPr>
                <w:rFonts w:ascii="Times New Roman" w:hAnsi="Times New Roman"/>
                <w:b w:val="false"/>
                <w:i w:val="false"/>
                <w:color w:val="000000"/>
                <w:sz w:val="20"/>
              </w:rPr>
              <w:t xml:space="preserve"> We are continuously evaluating options regarding the development of vilobelimab. Based on the logistical and financial effort necessary to successfully complete pivotal Phase 3 development programs in each indication, such options include potential collaborations with pharmaceutical partners. </w:t>
            </w:r>
          </w:p>
        </w:tc>
      </w:tr>
    </w:tbl>
    <w:p>
      <w:pPr>
        <w:spacing w:before="189" w:after="0"/>
        <w:ind w:left="120"/>
        <w:jc w:val="center"/>
      </w:pPr>
      <w:r>
        <w:rPr>
          <w:rFonts w:ascii="Times New Roman" w:hAnsi="Times New Roman"/>
          <w:b w:val="false"/>
          <w:i w:val="false"/>
          <w:color w:val="000000"/>
          <w:sz w:val="20"/>
        </w:rPr>
        <w:t xml:space="preserve"> 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3-about_pg6" w:id="13"/>
      <w:r>
        <w:rPr>
          <w:rFonts w:ascii="Times New Roman" w:hAnsi="Times New Roman"/>
          <w:b w:val="false"/>
          <w:i w:val="false"/>
          <w:color w:val="0000ff"/>
          <w:sz w:val="22"/>
        </w:rPr>
        <w:t/>
      </w:r>
      <w:bookmarkEnd w:id="13"/>
    </w:p>
    <w:p>
      <w:pPr>
        <w:spacing w:before="269" w:after="269"/>
        <w:ind w:left="120"/>
        <w:jc w:val="left"/>
      </w:pPr>
      <w:r>
        <w:rPr>
          <w:rFonts w:ascii="Times New Roman" w:hAnsi="Times New Roman"/>
          <w:b/>
          <w:i w:val="false"/>
          <w:color w:val="000000"/>
          <w:sz w:val="16"/>
        </w:rPr>
        <w:t>TABLE OF CONTENTS</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Explore the possibility to expand the applications of vilobelimab in the area of ARDS.</w:t>
            </w:r>
            <w:r>
              <w:rPr>
                <w:rFonts w:ascii="Times New Roman" w:hAnsi="Times New Roman"/>
                <w:b w:val="false"/>
                <w:i w:val="false"/>
                <w:color w:val="000000"/>
                <w:sz w:val="20"/>
              </w:rPr>
              <w:t xml:space="preserve"> We intend to explore the possibility of expanding the label into other critical care indications for which we have generated pre-clinical data in the past. Most notably, we are considering the utility of additional studies such as the Phase 2 BARDA study in broader ARDS, or studies with commercial partners, to expand the label into a product for virally induced ARDS.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 xml:space="preserve">Seek commercial partners for GOHIBIC. </w:t>
            </w:r>
            <w:r>
              <w:rPr>
                <w:rFonts w:ascii="Times New Roman" w:hAnsi="Times New Roman"/>
                <w:b w:val="false"/>
                <w:i w:val="false"/>
                <w:color w:val="000000"/>
                <w:sz w:val="20"/>
              </w:rPr>
              <w:t xml:space="preserve">In December 2025, InflaRx discontinued its active sales activities for GOHIBIC, while keeping the product available for ordering. As of June 30, 2026, we received notice from the FDA regarding termination of the EUA for GOHIBIC. The termination of the EUA will be effective 12 months from the date of publication of the Federal Register notice, i.e., July 1, 2027.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2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Assess development options for vilobelimab in AAV and other indications</w:t>
            </w:r>
            <w:r>
              <w:rPr>
                <w:rFonts w:ascii="Times New Roman" w:hAnsi="Times New Roman"/>
                <w:b w:val="false"/>
                <w:i w:val="false"/>
                <w:color w:val="000000"/>
                <w:sz w:val="20"/>
              </w:rPr>
              <w:t xml:space="preserve">. We intend to engage with the EMA regarding vilobelimab as part of our assessment of the most efficient development plan to bring the C5a/C5aR inhibition mechanism to patients. We consider vilobelimab to be a Phase 3-ready asset in AAV, where it has completed two Phase 2 studies in the U.S. and Europe, and continue to evaluate potential collaborations with pharmaceutical partners for selected indications and/or territories.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Pursue the further development of IFX002</w:t>
            </w:r>
            <w:r>
              <w:rPr>
                <w:rFonts w:ascii="Times New Roman" w:hAnsi="Times New Roman"/>
                <w:b w:val="false"/>
                <w:i w:val="false"/>
                <w:color w:val="000000"/>
                <w:sz w:val="20"/>
              </w:rPr>
              <w:t xml:space="preserve"> to get prepared for potential clinical development. We are developing IFX002 for the treatment of chronic inflammatory diseases. IFX002 is a highly potent anti-C5a antibody, which binds to the same domain of the C5a protein as vilobelimab, but which has a higher humanization grade and altered pharmacokinetic properties compared to vilobelimab. IFX002 is currently in preclinical development. We consider IFX002 to be a life-cycle management product to vilobelimab, given the long remaining patent life of IFX002. </w:t>
            </w:r>
          </w:p>
        </w:tc>
      </w:tr>
    </w:tbl>
    <w:p>
      <w:pPr>
        <w:spacing w:before="290" w:after="0"/>
        <w:ind w:left="120"/>
        <w:jc w:val="left"/>
      </w:pPr>
      <w:r>
        <w:rPr>
          <w:rFonts w:ascii="Times New Roman" w:hAnsi="Times New Roman"/>
          <w:b/>
          <w:i w:val="false"/>
          <w:color w:val="000000"/>
          <w:sz w:val="20"/>
        </w:rPr>
        <w:t xml:space="preserve"> Implications of Being a Foreign Private Issuer </w:t>
      </w:r>
    </w:p>
    <w:p>
      <w:pPr>
        <w:spacing w:before="120" w:after="0"/>
        <w:ind w:left="120"/>
        <w:jc w:val="left"/>
      </w:pPr>
      <w:r>
        <w:rPr>
          <w:rFonts w:ascii="Times New Roman" w:hAnsi="Times New Roman"/>
          <w:b w:val="false"/>
          <w:i w:val="false"/>
          <w:color w:val="000000"/>
          <w:sz w:val="20"/>
        </w:rPr>
        <w:t xml:space="preserve"> We currently report under the Exchange Act as a non-U.S. company with foreign private issuer status. As long as we qualify as a foreign private issuer under the Exchange Act, we will continue to be exempt from certain provisions of the Exchange Act that are applicable to U.S. domestic public companies, including: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sections of the Exchange Act regulating the solicitation of proxies, consents or authorizations in respect of a security registered under the Exchange Act;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sections of the Exchange Act imposing short-swing profit liability on insiders who profit from trades made in a short period of time and prohibiting short sales by insiders; provided, however, that effective March 18, 2026, pursuant to the Holding Foreign Insiders Accountable Act, our directors and officers are required to comply with the reporting requirements of Section 16(a) of the Exchange Act;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rules under the Exchange Act requiring the filing with the SEC of quarterly reports on Form 10-Q containing unaudited financial and other specific information, or current reports on Form 8-K, upon the occurrence of specified significant events;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certain more stringent executive compensation disclosure rules; instead, we are permitted to follow our home country practice on such matters. </w:t>
            </w:r>
          </w:p>
        </w:tc>
      </w:tr>
    </w:tbl>
    <w:p>
      <w:pPr>
        <w:spacing w:before="120" w:after="0"/>
        <w:ind w:left="120"/>
        <w:jc w:val="left"/>
      </w:pPr>
      <w:r>
        <w:rPr>
          <w:rFonts w:ascii="Times New Roman" w:hAnsi="Times New Roman"/>
          <w:b w:val="false"/>
          <w:i w:val="false"/>
          <w:color w:val="000000"/>
          <w:sz w:val="20"/>
        </w:rPr>
        <w:t xml:space="preserve"> In this prospectus, we have taken advantage of certain of the reduced reporting requirements as a result of being a foreign private issuer. Accordingly, the information contained or incorporated by reference in this prospectus may be different than the information you receive from other public companies in which you hold equity securities. </w:t>
      </w:r>
    </w:p>
    <w:p>
      <w:pPr>
        <w:spacing w:before="290" w:after="0"/>
        <w:ind w:left="120"/>
        <w:jc w:val="left"/>
      </w:pPr>
      <w:r>
        <w:rPr>
          <w:rFonts w:ascii="Times New Roman" w:hAnsi="Times New Roman"/>
          <w:b/>
          <w:i w:val="false"/>
          <w:color w:val="000000"/>
          <w:sz w:val="20"/>
        </w:rPr>
        <w:t xml:space="preserve"> Intellectual Property </w:t>
      </w:r>
    </w:p>
    <w:p>
      <w:pPr>
        <w:spacing w:before="120" w:after="0"/>
        <w:ind w:left="120"/>
        <w:jc w:val="left"/>
      </w:pPr>
      <w:r>
        <w:rPr>
          <w:rFonts w:ascii="Times New Roman" w:hAnsi="Times New Roman"/>
          <w:b w:val="false"/>
          <w:i w:val="false"/>
          <w:color w:val="000000"/>
          <w:sz w:val="20"/>
        </w:rPr>
        <w:t xml:space="preserve"> We aim to protect our product candidates and other commercially important proprietary anti-C5a and anti-C5aR1 technologies by seeking and maintaining U.S. and foreign patents that are intended to cover our product candidates and compositions, and their methods of use, the methods used to manufacture them, the related therapeutic targets and associated methods of treatment and any other inventions that are commercially important to our business. We also rely on trade secrets and know-how and other intellectual property rights to protect aspects of our business that are not amenable to, or that we do not consider appropriate for, patent protection. Furthermore, we aim to protect our trademarks, service marks, and trade names by seeking and </w:t>
      </w:r>
    </w:p>
    <w:p>
      <w:pPr>
        <w:spacing w:before="189" w:after="0"/>
        <w:ind w:left="120"/>
        <w:jc w:val="center"/>
      </w:pPr>
      <w:r>
        <w:rPr>
          <w:rFonts w:ascii="Times New Roman" w:hAnsi="Times New Roman"/>
          <w:b w:val="false"/>
          <w:i w:val="false"/>
          <w:color w:val="000000"/>
          <w:sz w:val="20"/>
        </w:rPr>
        <w:t xml:space="preserve"> 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3-about_pg7" w:id="14"/>
      <w:r>
        <w:rPr>
          <w:rFonts w:ascii="Times New Roman" w:hAnsi="Times New Roman"/>
          <w:b w:val="false"/>
          <w:i w:val="false"/>
          <w:color w:val="0000ff"/>
          <w:sz w:val="22"/>
        </w:rPr>
        <w:t/>
      </w:r>
      <w:bookmarkEnd w:id="1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maintaining U.S. and foreign trademark registrations. Our success will depend significantly on our ability to obtain and maintain such patent and other proprietary protection, defend and enforce our patents, preserve the confidentiality of our trade secrets and operate our business without infringing, misappropriating or otherwise violating any patents or other intellectual property, including any proprietary rights of third parties. See “Item 3. Key Information-D. Risk factors-3. Risks related to our intellectual property” in our Annual Report on Form 20-F for the year ended December 31, 2025 for additional information. </w:t>
      </w:r>
    </w:p>
    <w:p>
      <w:pPr>
        <w:spacing w:before="410" w:after="0"/>
        <w:ind w:left="120"/>
        <w:jc w:val="left"/>
      </w:pPr>
      <w:r>
        <w:rPr>
          <w:rFonts w:ascii="Times New Roman" w:hAnsi="Times New Roman"/>
          <w:b/>
          <w:i/>
          <w:color w:val="000000"/>
          <w:sz w:val="20"/>
        </w:rPr>
        <w:t xml:space="preserve"> Corporate Information </w:t>
      </w:r>
    </w:p>
    <w:p>
      <w:pPr>
        <w:spacing w:before="120" w:after="0"/>
        <w:ind w:left="120"/>
        <w:jc w:val="left"/>
      </w:pPr>
      <w:r>
        <w:rPr>
          <w:rFonts w:ascii="Times New Roman" w:hAnsi="Times New Roman"/>
          <w:b w:val="false"/>
          <w:i w:val="false"/>
          <w:color w:val="000000"/>
          <w:sz w:val="20"/>
        </w:rPr>
        <w:t xml:space="preserve"> Our principal executive offices are located at Winzerlaer Str. 2, 07745 Jena, Germany. Our telephone number is (+49) 3641 508 180. Investors should contact us for any inquiries at the address and telephone number of our principal executive offices. Our principal website is </w:t>
      </w:r>
      <w:r>
        <w:rPr>
          <w:rFonts w:ascii="Times New Roman" w:hAnsi="Times New Roman"/>
          <w:b w:val="false"/>
          <w:i/>
          <w:color w:val="000000"/>
          <w:sz w:val="20"/>
        </w:rPr>
        <w:t>www.inflarx.de.</w:t>
      </w:r>
      <w:r>
        <w:rPr>
          <w:rFonts w:ascii="Times New Roman" w:hAnsi="Times New Roman"/>
          <w:b w:val="false"/>
          <w:i w:val="false"/>
          <w:color w:val="000000"/>
          <w:sz w:val="20"/>
        </w:rPr>
        <w:t xml:space="preserve"> The information contained on our website is not incorporated by reference into this prospectus, and you should not consider information contained on our website to be a part of this prospectus. </w:t>
      </w:r>
    </w:p>
    <w:p>
      <w:pPr>
        <w:spacing w:before="189" w:after="0"/>
        <w:ind w:left="120"/>
        <w:jc w:val="center"/>
      </w:pPr>
      <w:r>
        <w:rPr>
          <w:rFonts w:ascii="Times New Roman" w:hAnsi="Times New Roman"/>
          <w:b w:val="false"/>
          <w:i w:val="false"/>
          <w:color w:val="000000"/>
          <w:sz w:val="20"/>
        </w:rPr>
        <w:t xml:space="preserve"> 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4-risk_pg1" w:id="15"/>
      <w:r>
        <w:rPr>
          <w:rFonts w:ascii="Times New Roman" w:hAnsi="Times New Roman"/>
          <w:b w:val="false"/>
          <w:i w:val="false"/>
          <w:color w:val="0000ff"/>
          <w:sz w:val="22"/>
        </w:rPr>
        <w:t/>
      </w:r>
      <w:bookmarkEnd w:id="1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RF" w:id="16"/>
      <w:r>
        <w:rPr>
          <w:rFonts w:ascii="Times New Roman" w:hAnsi="Times New Roman"/>
          <w:b/>
          <w:i w:val="false"/>
          <w:color w:val="0000ff"/>
          <w:sz w:val="20"/>
        </w:rPr>
        <w:t/>
      </w:r>
      <w:bookmarkEnd w:id="16"/>
      <w:r>
        <w:rPr>
          <w:rFonts w:ascii="Times New Roman" w:hAnsi="Times New Roman"/>
          <w:b/>
          <w:i w:val="false"/>
          <w:color w:val="000000"/>
          <w:sz w:val="20"/>
        </w:rPr>
        <w:t xml:space="preserve">RISK FACTORS </w:t>
      </w:r>
    </w:p>
    <w:p>
      <w:pPr>
        <w:spacing w:before="120" w:after="0"/>
        <w:ind w:left="120"/>
        <w:jc w:val="left"/>
      </w:pPr>
      <w:r>
        <w:rPr>
          <w:rFonts w:ascii="Times New Roman" w:hAnsi="Times New Roman"/>
          <w:b w:val="false"/>
          <w:i w:val="false"/>
          <w:color w:val="000000"/>
          <w:sz w:val="20"/>
        </w:rPr>
        <w:t xml:space="preserve"> Before making a decision to invest in our securities, you should carefully consider the risks described under “Risk Factors” in the applicable prospectus supplement and in our then most recent Annual Report on Form 20-F, and in any updates to those risk factors in our reports on Form 6-K incorporated herein, together with all of the other information appearing or incorporated by reference in this prospectus and any applicable prospectus supplement, in light of your particular investment objectives and financial circumstances. </w:t>
      </w:r>
    </w:p>
    <w:p>
      <w:pPr>
        <w:spacing w:before="189" w:after="0"/>
        <w:ind w:left="120"/>
        <w:jc w:val="center"/>
      </w:pPr>
      <w:r>
        <w:rPr>
          <w:rFonts w:ascii="Times New Roman" w:hAnsi="Times New Roman"/>
          <w:b w:val="false"/>
          <w:i w:val="false"/>
          <w:color w:val="000000"/>
          <w:sz w:val="20"/>
        </w:rPr>
        <w:t xml:space="preserve"> 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4-risk_pg2" w:id="17"/>
      <w:r>
        <w:rPr>
          <w:rFonts w:ascii="Times New Roman" w:hAnsi="Times New Roman"/>
          <w:b w:val="false"/>
          <w:i w:val="false"/>
          <w:color w:val="0000ff"/>
          <w:sz w:val="22"/>
        </w:rPr>
        <w:t/>
      </w:r>
      <w:bookmarkEnd w:id="17"/>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USE" w:id="18"/>
      <w:r>
        <w:rPr>
          <w:rFonts w:ascii="Times New Roman" w:hAnsi="Times New Roman"/>
          <w:b/>
          <w:i w:val="false"/>
          <w:color w:val="0000ff"/>
          <w:sz w:val="20"/>
        </w:rPr>
        <w:t/>
      </w:r>
      <w:bookmarkEnd w:id="18"/>
      <w:r>
        <w:rPr>
          <w:rFonts w:ascii="Times New Roman" w:hAnsi="Times New Roman"/>
          <w:b/>
          <w:i w:val="false"/>
          <w:color w:val="000000"/>
          <w:sz w:val="20"/>
        </w:rPr>
        <w:t xml:space="preserve">USE OF PROCEEDS </w:t>
      </w:r>
    </w:p>
    <w:p>
      <w:pPr>
        <w:spacing w:before="120" w:after="0"/>
        <w:ind w:left="120"/>
        <w:jc w:val="left"/>
      </w:pPr>
      <w:r>
        <w:rPr>
          <w:rFonts w:ascii="Times New Roman" w:hAnsi="Times New Roman"/>
          <w:b w:val="false"/>
          <w:i w:val="false"/>
          <w:color w:val="000000"/>
          <w:sz w:val="20"/>
        </w:rPr>
        <w:t xml:space="preserve"> Unless otherwise indicated in any applicable prospectus supplement, we intend to use the net proceeds from our sale of the securities for general corporate purposes and other business opportunities. Additional information on the use of net proceeds from the sale of any combination of the securities that we may offer from time to time by this prospectus will be set forth in the applicable prospectus supplement relating to a particular offering. </w:t>
      </w:r>
    </w:p>
    <w:p>
      <w:pPr>
        <w:spacing w:before="189" w:after="0"/>
        <w:ind w:left="120"/>
        <w:jc w:val="center"/>
      </w:pPr>
      <w:r>
        <w:rPr>
          <w:rFonts w:ascii="Times New Roman" w:hAnsi="Times New Roman"/>
          <w:b w:val="false"/>
          <w:i w:val="false"/>
          <w:color w:val="000000"/>
          <w:sz w:val="20"/>
        </w:rPr>
        <w:t xml:space="preserve"> 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5-description01_pg1" w:id="19"/>
      <w:r>
        <w:rPr>
          <w:rFonts w:ascii="Times New Roman" w:hAnsi="Times New Roman"/>
          <w:b w:val="false"/>
          <w:i w:val="false"/>
          <w:color w:val="0000ff"/>
          <w:sz w:val="22"/>
        </w:rPr>
        <w:t/>
      </w:r>
      <w:bookmarkEnd w:id="19"/>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CAP" w:id="20"/>
      <w:r>
        <w:rPr>
          <w:rFonts w:ascii="Times New Roman" w:hAnsi="Times New Roman"/>
          <w:b/>
          <w:i w:val="false"/>
          <w:color w:val="0000ff"/>
          <w:sz w:val="20"/>
        </w:rPr>
        <w:t/>
      </w:r>
      <w:bookmarkEnd w:id="20"/>
      <w:r>
        <w:rPr>
          <w:rFonts w:ascii="Times New Roman" w:hAnsi="Times New Roman"/>
          <w:b/>
          <w:i w:val="false"/>
          <w:color w:val="000000"/>
          <w:sz w:val="20"/>
        </w:rPr>
        <w:t xml:space="preserve">CAPITALIZATION </w:t>
      </w:r>
    </w:p>
    <w:p>
      <w:pPr>
        <w:spacing w:before="120" w:after="0"/>
        <w:ind w:left="120"/>
        <w:jc w:val="left"/>
      </w:pPr>
      <w:r>
        <w:rPr>
          <w:rFonts w:ascii="Times New Roman" w:hAnsi="Times New Roman"/>
          <w:b w:val="false"/>
          <w:i w:val="false"/>
          <w:color w:val="000000"/>
          <w:sz w:val="20"/>
        </w:rPr>
        <w:t xml:space="preserve"> Our capitalization will be set forth in a prospectus supplement or in a report on Form 6-K subsequently furnished to the SEC and specifically incorporated herein by reference. </w:t>
      </w:r>
    </w:p>
    <w:p>
      <w:pPr>
        <w:spacing w:before="189" w:after="0"/>
        <w:ind w:left="120"/>
        <w:jc w:val="center"/>
      </w:pPr>
      <w:r>
        <w:rPr>
          <w:rFonts w:ascii="Times New Roman" w:hAnsi="Times New Roman"/>
          <w:b w:val="false"/>
          <w:i w:val="false"/>
          <w:color w:val="000000"/>
          <w:sz w:val="20"/>
        </w:rPr>
        <w:t xml:space="preserve"> 10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5-description01_pg2" w:id="21"/>
      <w:r>
        <w:rPr>
          <w:rFonts w:ascii="Times New Roman" w:hAnsi="Times New Roman"/>
          <w:b w:val="false"/>
          <w:i w:val="false"/>
          <w:color w:val="0000ff"/>
          <w:sz w:val="22"/>
        </w:rPr>
        <w:t/>
      </w:r>
      <w:bookmarkEnd w:id="21"/>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ES" w:id="22"/>
      <w:r>
        <w:rPr>
          <w:rFonts w:ascii="Times New Roman" w:hAnsi="Times New Roman"/>
          <w:b/>
          <w:i w:val="false"/>
          <w:color w:val="0000ff"/>
          <w:sz w:val="20"/>
        </w:rPr>
        <w:t/>
      </w:r>
      <w:bookmarkEnd w:id="22"/>
      <w:r>
        <w:rPr>
          <w:rFonts w:ascii="Times New Roman" w:hAnsi="Times New Roman"/>
          <w:b/>
          <w:i w:val="false"/>
          <w:color w:val="000000"/>
          <w:sz w:val="20"/>
        </w:rPr>
        <w:t xml:space="preserve">DESCRIPTION OF SHARE CAPITAL AND ARTICLES OF ASSOCIATION </w:t>
      </w:r>
    </w:p>
    <w:p>
      <w:pPr>
        <w:spacing w:before="250" w:after="0"/>
        <w:ind w:left="120"/>
        <w:jc w:val="left"/>
      </w:pPr>
      <w:r>
        <w:rPr>
          <w:rFonts w:ascii="Times New Roman" w:hAnsi="Times New Roman"/>
          <w:b/>
          <w:i w:val="false"/>
          <w:color w:val="000000"/>
          <w:sz w:val="20"/>
        </w:rPr>
        <w:t xml:space="preserve"> General </w:t>
      </w:r>
    </w:p>
    <w:p>
      <w:pPr>
        <w:spacing w:before="120" w:after="0"/>
        <w:ind w:left="120"/>
        <w:jc w:val="left"/>
      </w:pPr>
      <w:r>
        <w:rPr>
          <w:rFonts w:ascii="Times New Roman" w:hAnsi="Times New Roman"/>
          <w:b w:val="false"/>
          <w:i w:val="false"/>
          <w:color w:val="000000"/>
          <w:sz w:val="20"/>
        </w:rPr>
        <w:t xml:space="preserve"> We were incorporated pursuant to the laws of the Netherlands as Fireman B.V. on June 6, 2017 to become a holding company for InflaRx GmbH prior to consummation of our initial public offering. InflaRx GmbH was founded in 2007 by Professor Niels Riedemann and Professor Renfeng Guo in Jena, Germany. </w:t>
      </w:r>
    </w:p>
    <w:p>
      <w:pPr>
        <w:spacing w:before="120" w:after="0"/>
        <w:ind w:left="120"/>
        <w:jc w:val="left"/>
      </w:pPr>
      <w:r>
        <w:rPr>
          <w:rFonts w:ascii="Times New Roman" w:hAnsi="Times New Roman"/>
          <w:b w:val="false"/>
          <w:i w:val="false"/>
          <w:color w:val="000000"/>
          <w:sz w:val="20"/>
        </w:rPr>
        <w:t xml:space="preserve"> Pursuant to the terms of our corporate reorganization, all of the equity interests in InflaRx GmbH were exchanged for ordinary shares of Fireman B.V. and, as a result, InflaRx GmbH became a wholly owned subsidiary of Fireman B.V. Immediately following such exchange, and prior to the listing of our ordinary shares on Nasdaq, we converted into a public company with limited liability (</w:t>
      </w:r>
      <w:r>
        <w:rPr>
          <w:rFonts w:ascii="Times New Roman" w:hAnsi="Times New Roman"/>
          <w:b w:val="false"/>
          <w:i/>
          <w:color w:val="000000"/>
          <w:sz w:val="20"/>
        </w:rPr>
        <w:t>naamloze vennootschap</w:t>
      </w:r>
      <w:r>
        <w:rPr>
          <w:rFonts w:ascii="Times New Roman" w:hAnsi="Times New Roman"/>
          <w:b w:val="false"/>
          <w:i w:val="false"/>
          <w:color w:val="000000"/>
          <w:sz w:val="20"/>
        </w:rPr>
        <w:t xml:space="preserve">) under Dutch law pursuant to a notarial deed of amendment and conversion and our legal name was changed to InflaRx N.V. </w:t>
      </w:r>
    </w:p>
    <w:p>
      <w:pPr>
        <w:spacing w:before="120" w:after="0"/>
        <w:ind w:left="120"/>
        <w:jc w:val="left"/>
      </w:pPr>
      <w:r>
        <w:rPr>
          <w:rFonts w:ascii="Times New Roman" w:hAnsi="Times New Roman"/>
          <w:b w:val="false"/>
          <w:i w:val="false"/>
          <w:color w:val="000000"/>
          <w:sz w:val="20"/>
        </w:rPr>
        <w:t xml:space="preserve"> We are registered with the Trade Register of the Chamber of Commerce (</w:t>
      </w:r>
      <w:r>
        <w:rPr>
          <w:rFonts w:ascii="Times New Roman" w:hAnsi="Times New Roman"/>
          <w:b w:val="false"/>
          <w:i/>
          <w:color w:val="000000"/>
          <w:sz w:val="20"/>
        </w:rPr>
        <w:t>Kamer van Koophandel</w:t>
      </w:r>
      <w:r>
        <w:rPr>
          <w:rFonts w:ascii="Times New Roman" w:hAnsi="Times New Roman"/>
          <w:b w:val="false"/>
          <w:i w:val="false"/>
          <w:color w:val="000000"/>
          <w:sz w:val="20"/>
        </w:rPr>
        <w:t xml:space="preserve">) under number 68904312. Our corporate seat is in Amsterdam, the Netherlands, and our registered office is in Jena, Germany. </w:t>
      </w:r>
    </w:p>
    <w:p>
      <w:pPr>
        <w:spacing w:before="120" w:after="0"/>
        <w:ind w:left="120"/>
        <w:jc w:val="left"/>
      </w:pPr>
      <w:r>
        <w:rPr>
          <w:rFonts w:ascii="Times New Roman" w:hAnsi="Times New Roman"/>
          <w:b w:val="false"/>
          <w:i w:val="false"/>
          <w:color w:val="000000"/>
          <w:sz w:val="20"/>
        </w:rPr>
        <w:t xml:space="preserve"> Our authorized share capital amounts to €43,375,200, divided into 180,730,000 ordinary shares, each with a nominal value of €0.12, and 180,730,000 preferred shares, each with a nominal value of €0.12; provided, further, that our authorized share capital will increase to €91,375,710, divided into 380,732,125 ordinary shares and 380,732,125 preferred shares, each having a nominal value of €0.12, when our issued share capital is at least €18,275,142. As of June 30, 2026, our issued share capital amounted to €17,684,186.52, divided into 147,368,221 ordinary shares. </w:t>
      </w:r>
    </w:p>
    <w:p>
      <w:pPr>
        <w:spacing w:before="120" w:after="0"/>
        <w:ind w:left="120"/>
        <w:jc w:val="left"/>
      </w:pPr>
      <w:r>
        <w:rPr>
          <w:rFonts w:ascii="Times New Roman" w:hAnsi="Times New Roman"/>
          <w:b w:val="false"/>
          <w:i w:val="false"/>
          <w:color w:val="000000"/>
          <w:sz w:val="20"/>
        </w:rPr>
        <w:t xml:space="preserve"> Under Dutch law, our authorized share capital is the maximum capital that we may issue without amending our articles of association, or the Articles of Association. An amendment of our Articles of Association would require a resolution of the general meeting of shareholders upon proposal by the board of directors. </w:t>
      </w:r>
    </w:p>
    <w:p>
      <w:pPr>
        <w:spacing w:before="160" w:after="0"/>
        <w:ind w:left="120"/>
        <w:jc w:val="left"/>
      </w:pPr>
      <w:r>
        <w:rPr>
          <w:rFonts w:ascii="Times New Roman" w:hAnsi="Times New Roman"/>
          <w:b w:val="false"/>
          <w:i w:val="false"/>
          <w:color w:val="000000"/>
          <w:sz w:val="20"/>
        </w:rPr>
        <w:t xml:space="preserve"> Our ordinary shares and preferred shares are issued in registered form. </w:t>
      </w:r>
    </w:p>
    <w:p>
      <w:pPr>
        <w:spacing w:before="120" w:after="0"/>
        <w:ind w:left="120"/>
        <w:jc w:val="left"/>
      </w:pPr>
      <w:r>
        <w:rPr>
          <w:rFonts w:ascii="Times New Roman" w:hAnsi="Times New Roman"/>
          <w:b w:val="false"/>
          <w:i w:val="false"/>
          <w:color w:val="000000"/>
          <w:sz w:val="20"/>
        </w:rPr>
        <w:t xml:space="preserve"> The preferred shares can be issued to an independent foundation under Dutch law, or protective foundation, pursuant to a call option agreement. If the protective foundation exercises the call option pursuant to the call option agreement, an amount of preferred shares up to 100% of our issued share capital held by others than the protective foundation, minus one share, will be issued to the protective foundation. These preferred shares will be issued to the protective foundation under the obligation to pay at least 25% of their nominal value upon issuance. The protective foundation’s articles of association provide that it will promote and protect our interests and the interests of our business and our stakeholders from time to time, and repressing possible influences that could threaten our strategy, continuity, independence and identity, to such an extent that this could be considered to be damaging to the aforementioned interests. </w:t>
      </w:r>
    </w:p>
    <w:p>
      <w:pPr>
        <w:spacing w:before="120" w:after="0"/>
        <w:ind w:left="120"/>
        <w:jc w:val="left"/>
      </w:pPr>
      <w:r>
        <w:rPr>
          <w:rFonts w:ascii="Times New Roman" w:hAnsi="Times New Roman"/>
          <w:b w:val="false"/>
          <w:i w:val="false"/>
          <w:color w:val="000000"/>
          <w:sz w:val="20"/>
        </w:rPr>
        <w:t xml:space="preserve"> Any closing of any offering of our ordinary shares pursuant to this prospectus will be conducted through The Depository Trust Company, or DTC, in accordance with its customary settlement procedures for equity securities. Each person owning ordinary shares held through DTC must rely on the procedures thereof and on institutions that have accounts therewith to exercise any rights of a holder of the ordinary shares. </w:t>
      </w:r>
    </w:p>
    <w:p>
      <w:pPr>
        <w:spacing w:before="120" w:after="0"/>
        <w:ind w:left="120"/>
        <w:jc w:val="left"/>
      </w:pPr>
      <w:r>
        <w:rPr>
          <w:rFonts w:ascii="Times New Roman" w:hAnsi="Times New Roman"/>
          <w:b w:val="false"/>
          <w:i w:val="false"/>
          <w:color w:val="000000"/>
          <w:sz w:val="20"/>
        </w:rPr>
        <w:t xml:space="preserve"> Our Articles of Association provide that, for as long as any of our ordinary shares are admitted to trading on Nasdaq, the New York Stock Exchange or on any other regulated stock exchange located in the United States of America, the laws of the State of New York shall apply to the property law aspects of our ordinary shares reflected in the register administered by the relevant transfer agent. </w:t>
      </w:r>
    </w:p>
    <w:p>
      <w:pPr>
        <w:spacing w:before="260" w:after="0"/>
        <w:ind w:left="120"/>
        <w:jc w:val="left"/>
      </w:pPr>
      <w:r>
        <w:rPr>
          <w:rFonts w:ascii="Times New Roman" w:hAnsi="Times New Roman"/>
          <w:b/>
          <w:i w:val="false"/>
          <w:color w:val="000000"/>
          <w:sz w:val="20"/>
        </w:rPr>
        <w:t xml:space="preserve"> Articles of Association and Dutch Law </w:t>
      </w:r>
    </w:p>
    <w:p>
      <w:pPr>
        <w:spacing w:before="120" w:after="0"/>
        <w:ind w:left="120"/>
        <w:jc w:val="left"/>
      </w:pPr>
      <w:r>
        <w:rPr>
          <w:rFonts w:ascii="Times New Roman" w:hAnsi="Times New Roman"/>
          <w:b w:val="false"/>
          <w:i w:val="false"/>
          <w:color w:val="000000"/>
          <w:sz w:val="20"/>
        </w:rPr>
        <w:t xml:space="preserve"> Set forth below is a summary of relevant information concerning our share capital and material provisions of our Articles of Association and applicable Dutch law. This summary does not constitute legal advice regarding those matters and should not be regarded as such. </w:t>
      </w:r>
    </w:p>
    <w:p>
      <w:pPr>
        <w:spacing w:before="260" w:after="0"/>
        <w:ind w:left="120"/>
        <w:jc w:val="left"/>
      </w:pPr>
      <w:r>
        <w:rPr>
          <w:rFonts w:ascii="Times New Roman" w:hAnsi="Times New Roman"/>
          <w:b/>
          <w:i/>
          <w:color w:val="000000"/>
          <w:sz w:val="20"/>
        </w:rPr>
        <w:t xml:space="preserve"> Company’s shareholders’ register </w:t>
      </w:r>
    </w:p>
    <w:p>
      <w:pPr>
        <w:spacing w:before="120" w:after="0"/>
        <w:ind w:left="120"/>
        <w:jc w:val="left"/>
      </w:pPr>
      <w:r>
        <w:rPr>
          <w:rFonts w:ascii="Times New Roman" w:hAnsi="Times New Roman"/>
          <w:b w:val="false"/>
          <w:i w:val="false"/>
          <w:color w:val="000000"/>
          <w:sz w:val="20"/>
        </w:rPr>
        <w:t xml:space="preserve"> Pursuant to Dutch law and the Articles of Association, we must keep our shareholders’ register accurate and current. The board of directors keeps our shareholders’ register and records names and addresses of all holders of shares, showing the date on which the shares were acquired, the date of the acknowledgement by or notification </w:t>
      </w:r>
    </w:p>
    <w:p>
      <w:pPr>
        <w:spacing w:before="189" w:after="0"/>
        <w:ind w:left="120"/>
        <w:jc w:val="center"/>
      </w:pPr>
      <w:r>
        <w:rPr>
          <w:rFonts w:ascii="Times New Roman" w:hAnsi="Times New Roman"/>
          <w:b w:val="false"/>
          <w:i w:val="false"/>
          <w:color w:val="000000"/>
          <w:sz w:val="20"/>
        </w:rPr>
        <w:t xml:space="preserve"> 11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5-description01_pg3" w:id="23"/>
      <w:r>
        <w:rPr>
          <w:rFonts w:ascii="Times New Roman" w:hAnsi="Times New Roman"/>
          <w:b w:val="false"/>
          <w:i w:val="false"/>
          <w:color w:val="0000ff"/>
          <w:sz w:val="22"/>
        </w:rPr>
        <w:t/>
      </w:r>
      <w:bookmarkEnd w:id="2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of us as well as the amount paid on each share. The register also includes the names and addresses of those with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in shares belonging to another or a pledge (</w:t>
      </w:r>
      <w:r>
        <w:rPr>
          <w:rFonts w:ascii="Times New Roman" w:hAnsi="Times New Roman"/>
          <w:b w:val="false"/>
          <w:i/>
          <w:color w:val="000000"/>
          <w:sz w:val="20"/>
        </w:rPr>
        <w:t>pandrecht</w:t>
      </w:r>
      <w:r>
        <w:rPr>
          <w:rFonts w:ascii="Times New Roman" w:hAnsi="Times New Roman"/>
          <w:b w:val="false"/>
          <w:i w:val="false"/>
          <w:color w:val="000000"/>
          <w:sz w:val="20"/>
        </w:rPr>
        <w:t xml:space="preserve">) in respect of such shares. There is no restriction on the ownership of our shares. The ordinary shares offered in any offering of our ordinary shares pursuant to this prospectus will be held through DTC, therefore DTC or its nominee will be recorded in the shareholders’ register as the holder of those ordinary shares. </w:t>
      </w:r>
    </w:p>
    <w:p>
      <w:pPr>
        <w:spacing w:before="380" w:after="0"/>
        <w:ind w:left="120"/>
        <w:jc w:val="left"/>
      </w:pPr>
      <w:r>
        <w:rPr>
          <w:rFonts w:ascii="Times New Roman" w:hAnsi="Times New Roman"/>
          <w:b/>
          <w:i/>
          <w:color w:val="000000"/>
          <w:sz w:val="20"/>
        </w:rPr>
        <w:t xml:space="preserve"> Corporate objectives </w:t>
      </w:r>
    </w:p>
    <w:p>
      <w:pPr>
        <w:spacing w:before="140" w:after="0"/>
        <w:ind w:left="120"/>
        <w:jc w:val="left"/>
      </w:pPr>
      <w:r>
        <w:rPr>
          <w:rFonts w:ascii="Times New Roman" w:hAnsi="Times New Roman"/>
          <w:b w:val="false"/>
          <w:i w:val="false"/>
          <w:color w:val="000000"/>
          <w:sz w:val="20"/>
        </w:rPr>
        <w:t xml:space="preserve"> Pursuant to the Articles of Association, our main corporate objectives are: </w:t>
      </w:r>
    </w:p>
    <w:tbl>
      <w:tblPr>
        <w:tblW w:w="0" w:type="auto"/>
        <w:tblCellSpacing w:w="0" w:type="dxa"/>
        <w:tblInd w:w="533" w:type="dxa"/>
        <w:tblBorders>
          <w:top w:val="none"/>
          <w:left w:val="none"/>
          <w:bottom w:val="none"/>
          <w:right w:val="none"/>
          <w:insideH w:val="none"/>
          <w:insideV w:val="none"/>
        </w:tblBorders>
      </w:tblPr>
      <w:tblGrid>
        <w:gridCol w:w="533"/>
        <w:gridCol w:w="831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31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develop, license, manufacture and commercialize pharmaceutical products; </w:t>
            </w:r>
          </w:p>
        </w:tc>
      </w:tr>
    </w:tbl>
    <w:tbl>
      <w:tblPr>
        <w:tblW w:w="0" w:type="auto"/>
        <w:tblCellSpacing w:w="0" w:type="dxa"/>
        <w:tblInd w:w="533" w:type="dxa"/>
        <w:tblBorders>
          <w:top w:val="none"/>
          <w:left w:val="none"/>
          <w:bottom w:val="none"/>
          <w:right w:val="none"/>
          <w:insideH w:val="none"/>
          <w:insideV w:val="none"/>
        </w:tblBorders>
      </w:tblPr>
      <w:tblGrid>
        <w:gridCol w:w="533"/>
        <w:gridCol w:w="6359"/>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359"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develop and commercialize tests and analytical methods;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participate in, to finance, to hold any other interest in and to conduct the management or supervision of other entities, companies, partnerships and businesses; </w:t>
            </w:r>
          </w:p>
        </w:tc>
      </w:tr>
    </w:tbl>
    <w:tbl>
      <w:tblPr>
        <w:tblW w:w="0" w:type="auto"/>
        <w:tblCellSpacing w:w="0" w:type="dxa"/>
        <w:tblInd w:w="533" w:type="dxa"/>
        <w:tblBorders>
          <w:top w:val="none"/>
          <w:left w:val="none"/>
          <w:bottom w:val="none"/>
          <w:right w:val="none"/>
          <w:insideH w:val="none"/>
          <w:insideV w:val="none"/>
        </w:tblBorders>
      </w:tblPr>
      <w:tblGrid>
        <w:gridCol w:w="533"/>
        <w:gridCol w:w="904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04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acquire, administer, exploit, invest, encumber and dispose of assets and liabilities;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furnish guarantees, to provide security, to warrant performance in any other way and to assume liability, whether jointly and severally or otherwise, in respect of obligations of group companies or other parties;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do anything that, in the widest sense, is connected with or may be conducive to the objectives described above. </w:t>
            </w:r>
          </w:p>
        </w:tc>
      </w:tr>
    </w:tbl>
    <w:p>
      <w:pPr>
        <w:spacing w:before="380" w:after="0"/>
        <w:ind w:left="120"/>
        <w:jc w:val="left"/>
      </w:pPr>
      <w:r>
        <w:rPr>
          <w:rFonts w:ascii="Times New Roman" w:hAnsi="Times New Roman"/>
          <w:b/>
          <w:i/>
          <w:color w:val="000000"/>
          <w:sz w:val="20"/>
        </w:rPr>
        <w:t xml:space="preserve"> Limitation on liability and indemnification matters </w:t>
      </w:r>
    </w:p>
    <w:p>
      <w:pPr>
        <w:spacing w:before="120" w:after="0"/>
        <w:ind w:left="120"/>
        <w:jc w:val="left"/>
      </w:pPr>
      <w:r>
        <w:rPr>
          <w:rFonts w:ascii="Times New Roman" w:hAnsi="Times New Roman"/>
          <w:b w:val="false"/>
          <w:i w:val="false"/>
          <w:color w:val="000000"/>
          <w:sz w:val="20"/>
        </w:rPr>
        <w:t xml:space="preserve"> Under Dutch law, directors and certain other officers may be held liable for damages in the event of improper or negligent performance of their duties. They may be held jointly and severally liable for damages to us and to third parties for infringement of the Articles of Association or of certain provisions of the Dutch Civil Code. In certain circumstances, they may also incur additional specific civil and criminal liabilities. Subject to certain exceptions, our Articles of Association provide for indemnification of our current and former directors (and other current and former officers and employees as designated by our board of directors). Directors and certain other officers are also insured under an insurance policy taken out by us against damages resulting from their conduct when acting in the capacities as such directors or officers. </w:t>
      </w:r>
    </w:p>
    <w:p>
      <w:pPr>
        <w:spacing w:before="380" w:after="0"/>
        <w:ind w:left="120"/>
        <w:jc w:val="left"/>
      </w:pPr>
      <w:r>
        <w:rPr>
          <w:rFonts w:ascii="Times New Roman" w:hAnsi="Times New Roman"/>
          <w:b/>
          <w:i/>
          <w:color w:val="000000"/>
          <w:sz w:val="20"/>
        </w:rPr>
        <w:t xml:space="preserve"> Shareholders’ meetings and consents </w:t>
      </w:r>
    </w:p>
    <w:p>
      <w:pPr>
        <w:spacing w:before="140" w:after="0"/>
        <w:ind w:left="120"/>
        <w:jc w:val="left"/>
      </w:pPr>
      <w:r>
        <w:rPr>
          <w:rFonts w:ascii="Times New Roman" w:hAnsi="Times New Roman"/>
          <w:b w:val="false"/>
          <w:i/>
          <w:color w:val="000000"/>
          <w:sz w:val="20"/>
        </w:rPr>
        <w:t xml:space="preserve"> General meeting of shareholders </w:t>
      </w:r>
    </w:p>
    <w:p>
      <w:pPr>
        <w:spacing w:before="120" w:after="0"/>
        <w:ind w:left="120"/>
        <w:jc w:val="left"/>
      </w:pPr>
      <w:r>
        <w:rPr>
          <w:rFonts w:ascii="Times New Roman" w:hAnsi="Times New Roman"/>
          <w:b w:val="false"/>
          <w:i w:val="false"/>
          <w:color w:val="000000"/>
          <w:sz w:val="20"/>
        </w:rPr>
        <w:t xml:space="preserve"> General meetings of shareholders may be held in Amsterdam, Rotterdam, The Hague, Arnhem, Utrecht or the municipality of Haarlemmermeer (Schiphol Airport), the Netherlands. The annual general meeting of shareholders must be held within six months of the end of each financial year. Additional extraordinary general meetings of shareholders may also be held, whenever considered appropriate by the board of directors and shall be held within three months after our board of directors has considered it to be likely that our equity has decreased to an amount equal to or lower than half of its paid up and called up share capital, in order to discuss the measures to be taken if so required. </w:t>
      </w:r>
    </w:p>
    <w:p>
      <w:pPr>
        <w:spacing w:before="120" w:after="0"/>
        <w:ind w:left="120"/>
        <w:jc w:val="left"/>
      </w:pPr>
      <w:r>
        <w:rPr>
          <w:rFonts w:ascii="Times New Roman" w:hAnsi="Times New Roman"/>
          <w:b w:val="false"/>
          <w:i w:val="false"/>
          <w:color w:val="000000"/>
          <w:sz w:val="20"/>
        </w:rPr>
        <w:t xml:space="preserve"> Pursuant to Dutch law, one or more shareholders or others with meeting rights under Dutch law who jointly represent at least one-tenth of the issued share capital may request us to convene a general meeting, setting out in detail the matters to be discussed. If our board of directors has not taken the steps necessary to ensure that such meeting can be held within six weeks after the request, the requesting party/parties may, on their application, be authorized by the competent Dutch court in preliminary relief proceedings to convene a general meeting of shareholders. </w:t>
      </w:r>
    </w:p>
    <w:p>
      <w:pPr>
        <w:spacing w:before="120" w:after="0"/>
        <w:ind w:left="120"/>
        <w:jc w:val="left"/>
      </w:pPr>
      <w:r>
        <w:rPr>
          <w:rFonts w:ascii="Times New Roman" w:hAnsi="Times New Roman"/>
          <w:b w:val="false"/>
          <w:i w:val="false"/>
          <w:color w:val="000000"/>
          <w:sz w:val="20"/>
        </w:rPr>
        <w:t xml:space="preserve"> General meetings of shareholders can be convened by a notice, which shall include an agenda stating the items to be discussed, including for the annual general meeting of shareholders, among other things, the adoption of the annual accounts, appropriation of our profits and proposals relating to the composition of the board of directors, including the filling of any vacancies in the board of directors. In addition, the agenda shall include such items as have been included therein by the board of directors. The agenda shall also include such items </w:t>
      </w:r>
    </w:p>
    <w:p>
      <w:pPr>
        <w:spacing w:before="189" w:after="0"/>
        <w:ind w:left="120"/>
        <w:jc w:val="center"/>
      </w:pPr>
      <w:r>
        <w:rPr>
          <w:rFonts w:ascii="Times New Roman" w:hAnsi="Times New Roman"/>
          <w:b w:val="false"/>
          <w:i w:val="false"/>
          <w:color w:val="000000"/>
          <w:sz w:val="20"/>
        </w:rPr>
        <w:t xml:space="preserve"> 12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5-description01_pg4" w:id="24"/>
      <w:r>
        <w:rPr>
          <w:rFonts w:ascii="Times New Roman" w:hAnsi="Times New Roman"/>
          <w:b w:val="false"/>
          <w:i w:val="false"/>
          <w:color w:val="0000ff"/>
          <w:sz w:val="22"/>
        </w:rPr>
        <w:t/>
      </w:r>
      <w:bookmarkEnd w:id="2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requested by one or more shareholders, or others with meeting rights under Dutch law, representing at least 3% of the issued share capital. Requests must be made in writing or by electronic means and received by the board of directors at least 60 days before the day of the meeting. No resolutions shall be adopted on items other than those that have been included in the agenda. </w:t>
      </w:r>
    </w:p>
    <w:p>
      <w:pPr>
        <w:spacing w:before="120" w:after="0"/>
        <w:ind w:left="120"/>
        <w:jc w:val="left"/>
      </w:pPr>
      <w:r>
        <w:rPr>
          <w:rFonts w:ascii="Times New Roman" w:hAnsi="Times New Roman"/>
          <w:b w:val="false"/>
          <w:i w:val="false"/>
          <w:color w:val="000000"/>
          <w:sz w:val="20"/>
        </w:rPr>
        <w:t xml:space="preserve"> In accordance with the Dutch Corporate Governance Code, or DCGC, a shareholder shall exercise the right of putting an item on the agenda only after consulting the board of directors in that respect. If one or more shareholders intend to request that an item be put on the agenda that may result in a change in the company’s strategy (for example, the removal of directors), the board of directors must be given the opportunity to invoke a reasonable period to respond to such information. Such period shall not exceed the term stipulated by Dutch law and/or DCGC for that purpose. If invoked, the board of directors must use such response period for further deliberation and constructive consultation, in any event with the shareholders concerned, and must explore alternatives. At the end of the response time, the board of directors must report on this consultation and the exploration of alternatives to the general meeting of shareholders. The response period may be invoked only once for any given general meeting of shareholders and does not apply: (a) in respect of a matter for which a response period or a cooling-off period (as referred to below) has been previously invoked; or (b) if a shareholder holds at least 75% of the company’s issued share capital as a consequence of a successful public bid. The response period may also be invoked in response to shareholders or others with meeting rights under Dutch law requesting that a general meeting of shareholders be convened, as described above. </w:t>
      </w:r>
    </w:p>
    <w:p>
      <w:pPr>
        <w:spacing w:before="120" w:after="0"/>
        <w:ind w:left="120"/>
        <w:jc w:val="left"/>
      </w:pPr>
      <w:r>
        <w:rPr>
          <w:rFonts w:ascii="Times New Roman" w:hAnsi="Times New Roman"/>
          <w:b w:val="false"/>
          <w:i w:val="false"/>
          <w:color w:val="000000"/>
          <w:sz w:val="20"/>
        </w:rPr>
        <w:t xml:space="preserve"> Moreover, our board of directors can invoke a cooling-off period of up to 250 days when shareholders, using their right to have items added to the agenda for a general meeting or their right to request a general meeting, propose an agenda item for our general meeting to dismiss, suspend or appoint one or more directors (or to amend any provision in our Articles of Association dealing with those matters) or when a public offer for our company is made or announced without our support, provided, in each case, that our board of directors believes that such proposal or offer materially conflicts with the interests of our company and its business. During a cooling-off period, our general meeting cannot dismiss, suspend or appoint directors (or amend the provisions in our Articles of Association dealing with those matters) except at the proposal of our board of directors. During a cooling-off period, our board of directors must gather all relevant information necessary for a careful decision-making process and at least consult with shareholders representing 3% or more of our issued share capital at the time the cooling-off period was invoked, as well as with our Dutch works council (if we or, under certain circumstances, any of our subsidiaries would have one). Formal statements expressed by these stakeholders during such consultations must be published on our website to the extent these stakeholders have approved that publication. Ultimately one week following the last day of the cooling-off period, our board of directors must publish a report in respect of its policy and conduct of affairs during the cooling-off period on our website. This report must remain available for inspection by shareholders and others with meeting rights under Dutch law at our office and must be tabled for discussion at the next general meeting. Shareholders representing at least 3% of our issued share capital may request the Enterprise Chamber of the Amsterdam Court of Appeal, or the Enterprise Chamber (</w:t>
      </w:r>
      <w:r>
        <w:rPr>
          <w:rFonts w:ascii="Times New Roman" w:hAnsi="Times New Roman"/>
          <w:b w:val="false"/>
          <w:i/>
          <w:color w:val="000000"/>
          <w:sz w:val="20"/>
        </w:rPr>
        <w:t>Ondernemingskamer</w:t>
      </w:r>
      <w:r>
        <w:rPr>
          <w:rFonts w:ascii="Times New Roman" w:hAnsi="Times New Roman"/>
          <w:b w:val="false"/>
          <w:i w:val="false"/>
          <w:color w:val="000000"/>
          <w:sz w:val="20"/>
        </w:rPr>
        <w:t xml:space="preserve">), for early termination of the cooling-off period. The Enterprise Chamber must rule in favor of the request if the shareholders can demonstrate that: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board of directors, in light of the circumstances at hand when the cooling-off period was invoked, could not reasonably have concluded that the relevant proposal or hostile offer constituted a material conflict with the interests of our company and its business;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board of directors cannot reasonably believe that a continuation of the cooling-off period would contribute to careful policy-making;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defensive measures, having the same purpose, nature and scope as the cooling-off period, have been activated during the cooling-off period and have not since been terminated or suspended within a reasonable period at the relevant shareholders’ request (i.e., no ‘stacking’ of defensive measures). </w:t>
            </w:r>
          </w:p>
        </w:tc>
      </w:tr>
    </w:tbl>
    <w:p>
      <w:pPr>
        <w:spacing w:before="120" w:after="0"/>
        <w:ind w:left="120"/>
        <w:jc w:val="left"/>
      </w:pPr>
      <w:r>
        <w:rPr>
          <w:rFonts w:ascii="Times New Roman" w:hAnsi="Times New Roman"/>
          <w:b w:val="false"/>
          <w:i w:val="false"/>
          <w:color w:val="000000"/>
          <w:sz w:val="20"/>
        </w:rPr>
        <w:t xml:space="preserve"> The general meeting is presided over by the chairman of the board of directors. If no chairman has been elected or if he or she is not present at the meeting, the general meeting shall be presided over by the chief executive officer. If no chief executive officer has been elected or if he or she is not present at the meeting, the general meeting shall be presided over by another director present at the meeting. If no director is present at the meeting, the general meeting shall be presided over by any other person appointed by the general meeting. In </w:t>
      </w:r>
    </w:p>
    <w:p>
      <w:pPr>
        <w:spacing w:before="189" w:after="0"/>
        <w:ind w:left="120"/>
        <w:jc w:val="center"/>
      </w:pPr>
      <w:r>
        <w:rPr>
          <w:rFonts w:ascii="Times New Roman" w:hAnsi="Times New Roman"/>
          <w:b w:val="false"/>
          <w:i w:val="false"/>
          <w:color w:val="000000"/>
          <w:sz w:val="20"/>
        </w:rPr>
        <w:t xml:space="preserve"> 13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5-description01_pg5" w:id="25"/>
      <w:r>
        <w:rPr>
          <w:rFonts w:ascii="Times New Roman" w:hAnsi="Times New Roman"/>
          <w:b w:val="false"/>
          <w:i w:val="false"/>
          <w:color w:val="0000ff"/>
          <w:sz w:val="22"/>
        </w:rPr>
        <w:t/>
      </w:r>
      <w:bookmarkEnd w:id="25"/>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each case, the person who should chair the general meeting pursuant to the rules described above may appoint another person to chair the general meeting instead. Directors may always attend a general meeting of shareholders. In these meetings, they have an advisory vote. The chairman of the meeting may decide at his or her discretion to admit other persons to the meeting. </w:t>
      </w:r>
    </w:p>
    <w:p>
      <w:pPr>
        <w:spacing w:before="120" w:after="0"/>
        <w:ind w:left="120"/>
        <w:jc w:val="left"/>
      </w:pPr>
      <w:r>
        <w:rPr>
          <w:rFonts w:ascii="Times New Roman" w:hAnsi="Times New Roman"/>
          <w:b w:val="false"/>
          <w:i w:val="false"/>
          <w:color w:val="000000"/>
          <w:sz w:val="20"/>
        </w:rPr>
        <w:t xml:space="preserve"> All shareholders and others with meeting rights under Dutch law are authorized to attend the general meeting of shareholders, to address the meeting and, in so far as they have such right, to vote. </w:t>
      </w:r>
    </w:p>
    <w:p>
      <w:pPr>
        <w:spacing w:before="250" w:after="0"/>
        <w:ind w:left="120"/>
        <w:jc w:val="left"/>
      </w:pPr>
      <w:r>
        <w:rPr>
          <w:rFonts w:ascii="Times New Roman" w:hAnsi="Times New Roman"/>
          <w:b w:val="false"/>
          <w:i/>
          <w:color w:val="000000"/>
          <w:sz w:val="20"/>
        </w:rPr>
        <w:t xml:space="preserve"> Quorum and voting requirements </w:t>
      </w:r>
    </w:p>
    <w:p>
      <w:pPr>
        <w:spacing w:before="120" w:after="0"/>
        <w:ind w:left="120"/>
        <w:jc w:val="left"/>
      </w:pPr>
      <w:r>
        <w:rPr>
          <w:rFonts w:ascii="Times New Roman" w:hAnsi="Times New Roman"/>
          <w:b w:val="false"/>
          <w:i w:val="false"/>
          <w:color w:val="000000"/>
          <w:sz w:val="20"/>
        </w:rPr>
        <w:t xml:space="preserve"> Each ordinary share confers the right on the holder to cast one vote at the general meeting of shareholders. Shareholders may vote by proxy. No votes may be cast at a general meeting of shareholders on shares held by us or our subsidiaries or on shares for which we or our subsidiaries hold depositary receipts. Nonetheless, the holders of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and the holders of a right of pledge (</w:t>
      </w:r>
      <w:r>
        <w:rPr>
          <w:rFonts w:ascii="Times New Roman" w:hAnsi="Times New Roman"/>
          <w:b w:val="false"/>
          <w:i/>
          <w:color w:val="000000"/>
          <w:sz w:val="20"/>
        </w:rPr>
        <w:t>pandrecht</w:t>
      </w:r>
      <w:r>
        <w:rPr>
          <w:rFonts w:ascii="Times New Roman" w:hAnsi="Times New Roman"/>
          <w:b w:val="false"/>
          <w:i w:val="false"/>
          <w:color w:val="000000"/>
          <w:sz w:val="20"/>
        </w:rPr>
        <w:t>) in respect of shares held by us or our subsidiaries in our share capital are not excluded from the right to vote on such shares, if the right of usufruct (</w:t>
      </w:r>
      <w:r>
        <w:rPr>
          <w:rFonts w:ascii="Times New Roman" w:hAnsi="Times New Roman"/>
          <w:b w:val="false"/>
          <w:i/>
          <w:color w:val="000000"/>
          <w:sz w:val="20"/>
        </w:rPr>
        <w:t>vruchtgebruik</w:t>
      </w:r>
      <w:r>
        <w:rPr>
          <w:rFonts w:ascii="Times New Roman" w:hAnsi="Times New Roman"/>
          <w:b w:val="false"/>
          <w:i w:val="false"/>
          <w:color w:val="000000"/>
          <w:sz w:val="20"/>
        </w:rPr>
        <w:t>) or the right of pledge (</w:t>
      </w:r>
      <w:r>
        <w:rPr>
          <w:rFonts w:ascii="Times New Roman" w:hAnsi="Times New Roman"/>
          <w:b w:val="false"/>
          <w:i/>
          <w:color w:val="000000"/>
          <w:sz w:val="20"/>
        </w:rPr>
        <w:t>pandrecht</w:t>
      </w:r>
      <w:r>
        <w:rPr>
          <w:rFonts w:ascii="Times New Roman" w:hAnsi="Times New Roman"/>
          <w:b w:val="false"/>
          <w:i w:val="false"/>
          <w:color w:val="000000"/>
          <w:sz w:val="20"/>
        </w:rPr>
        <w:t>) was granted prior to the time such shares were acquired by us or any of our subsidiaries. Neither we nor any of our subsidiaries may cast votes in respect of a share on which we or such subsidiary holds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or a right of pledge (</w:t>
      </w:r>
      <w:r>
        <w:rPr>
          <w:rFonts w:ascii="Times New Roman" w:hAnsi="Times New Roman"/>
          <w:b w:val="false"/>
          <w:i/>
          <w:color w:val="000000"/>
          <w:sz w:val="20"/>
        </w:rPr>
        <w:t>pandrecht</w:t>
      </w:r>
      <w:r>
        <w:rPr>
          <w:rFonts w:ascii="Times New Roman" w:hAnsi="Times New Roman"/>
          <w:b w:val="false"/>
          <w:i w:val="false"/>
          <w:color w:val="000000"/>
          <w:sz w:val="20"/>
        </w:rPr>
        <w:t xml:space="preserve">). Shares that are not entitled to voting rights pursuant to the preceding sentences will not be taken into account for the purpose of determining the number of shareholders that vote and that are present or represented, or the amount of the share capital that is provided or that is represented at a general meeting of shareholders. </w:t>
      </w:r>
    </w:p>
    <w:p>
      <w:pPr>
        <w:spacing w:before="120" w:after="0"/>
        <w:ind w:left="120"/>
        <w:jc w:val="left"/>
      </w:pPr>
      <w:r>
        <w:rPr>
          <w:rFonts w:ascii="Times New Roman" w:hAnsi="Times New Roman"/>
          <w:b w:val="false"/>
          <w:i w:val="false"/>
          <w:color w:val="000000"/>
          <w:sz w:val="20"/>
        </w:rPr>
        <w:t xml:space="preserve"> Decisions of the general meeting of shareholders are taken by a simple majority of votes cast, except where Dutch law or the Articles of Association provide for a qualified majority or unanimity. </w:t>
      </w:r>
    </w:p>
    <w:p>
      <w:pPr>
        <w:spacing w:before="120" w:after="0"/>
        <w:ind w:left="120"/>
        <w:jc w:val="left"/>
      </w:pPr>
      <w:r>
        <w:rPr>
          <w:rFonts w:ascii="Times New Roman" w:hAnsi="Times New Roman"/>
          <w:b w:val="false"/>
          <w:i w:val="false"/>
          <w:color w:val="000000"/>
          <w:sz w:val="20"/>
        </w:rPr>
        <w:t xml:space="preserve"> We are a foreign private issuer. As a result, in accordance with Nasdaq listing requirements, we comply with certain home country governance requirements rather than complying with certain Nasdaq corporate governance requirements. In accordance with Dutch law and generally accepted business practices, our Articles of Association do not provide quorum requirements generally applicable to general meetings of shareholders in the United States. To this extent, our practice varies from the requirement of Nasdaq Listing Rule 5620(c), which requires an issuer to provide in its bylaws for a generally applicable quorum, and that such quorum may not be less than one-third of the outstanding voting stock. Although we must provide shareholders with an agenda and other relevant documents for the general meeting of shareholders, Dutch law does not have a regulatory regime for the solicitation of proxies and the solicitation of proxies is not a generally accepted business practice in the Netherlands, and thus our practice will vary from the requirement of Nasdaq Listing Rule 5620(b). As permitted by the listing requirements of Nasdaq, we also opted out of the requirements of Nasdaq Listing Rule 5605(d), which requires an issuer to have a compensation committee that, among other things, consists entirely of independent directors and makes determinations regarding the independence of any compensation consultants, Nasdaq Listing Rule 5605(e), which requires an issuer to have independent director oversight of director nominations, and Nasdaq Listing Rule 5605(b)(1), which requires an issuer to have a majority of independent directors on its board. In addition, we opted out of shareholder approval requirements for the issuance of securities in connection with certain events such as the acquisition of stock or assets of another company, the establishment of or amendments to equity-based compensation plans for employees and certain private placements. To this extent, our practice varies from the requirements of Nasdaq Listing Rule 5635, which generally requires an issuer to obtain shareholder approval for the issuance of securities in connection with such events. For an overview of our corporate governance principles, see “Item 10. Additional Information—2. Memorandum and articles of association” in our Annual Report on Form 20-F for the year ended December 31, 2025. </w:t>
      </w:r>
    </w:p>
    <w:p>
      <w:pPr>
        <w:spacing w:before="240" w:after="0"/>
        <w:ind w:left="120"/>
        <w:jc w:val="left"/>
      </w:pPr>
      <w:r>
        <w:rPr>
          <w:rFonts w:ascii="Times New Roman" w:hAnsi="Times New Roman"/>
          <w:b/>
          <w:i/>
          <w:color w:val="000000"/>
          <w:sz w:val="20"/>
        </w:rPr>
        <w:t xml:space="preserve"> Board of directors </w:t>
      </w:r>
    </w:p>
    <w:p>
      <w:pPr>
        <w:spacing w:before="140" w:after="0"/>
        <w:ind w:left="120"/>
        <w:jc w:val="left"/>
      </w:pPr>
      <w:r>
        <w:rPr>
          <w:rFonts w:ascii="Times New Roman" w:hAnsi="Times New Roman"/>
          <w:b w:val="false"/>
          <w:i/>
          <w:color w:val="000000"/>
          <w:sz w:val="20"/>
        </w:rPr>
        <w:t xml:space="preserve"> Appointment of directors </w:t>
      </w:r>
    </w:p>
    <w:p>
      <w:pPr>
        <w:spacing w:before="120" w:after="0"/>
        <w:ind w:left="120"/>
        <w:jc w:val="left"/>
      </w:pPr>
      <w:r>
        <w:rPr>
          <w:rFonts w:ascii="Times New Roman" w:hAnsi="Times New Roman"/>
          <w:b w:val="false"/>
          <w:i w:val="false"/>
          <w:color w:val="000000"/>
          <w:sz w:val="20"/>
        </w:rPr>
        <w:t xml:space="preserve"> Under our Articles of Association, the directors are appointed by the general meeting of shareholders upon binding nomination by our board of directors. However, the general meeting of shareholders may at all times overrule the binding nomination by a resolution adopted by at least a two-thirds majority of the votes cast, provided such majority represents more than half of the issued share capital. If the general meeting of shareholders overrules the binding nomination, the board of directors shall make a new nomination. </w:t>
      </w:r>
    </w:p>
    <w:p>
      <w:pPr>
        <w:spacing w:before="120" w:after="0"/>
        <w:ind w:left="120"/>
        <w:jc w:val="left"/>
      </w:pPr>
      <w:r>
        <w:rPr>
          <w:rFonts w:ascii="Times New Roman" w:hAnsi="Times New Roman"/>
          <w:b w:val="false"/>
          <w:i w:val="false"/>
          <w:color w:val="000000"/>
          <w:sz w:val="20"/>
        </w:rPr>
        <w:t xml:space="preserve"> At a general meeting of shareholders, a resolution to appoint a director can only be passed in respect of candidates whose names are stated for that purpose in the agenda of that general meeting of shareholders or in </w:t>
      </w:r>
    </w:p>
    <w:p>
      <w:pPr>
        <w:spacing w:before="189" w:after="0"/>
        <w:ind w:left="120"/>
        <w:jc w:val="center"/>
      </w:pPr>
      <w:r>
        <w:rPr>
          <w:rFonts w:ascii="Times New Roman" w:hAnsi="Times New Roman"/>
          <w:b w:val="false"/>
          <w:i w:val="false"/>
          <w:color w:val="000000"/>
          <w:sz w:val="20"/>
        </w:rPr>
        <w:t xml:space="preserve"> 14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5-description01_pg6" w:id="26"/>
      <w:r>
        <w:rPr>
          <w:rFonts w:ascii="Times New Roman" w:hAnsi="Times New Roman"/>
          <w:b w:val="false"/>
          <w:i w:val="false"/>
          <w:color w:val="0000ff"/>
          <w:sz w:val="22"/>
        </w:rPr>
        <w:t/>
      </w:r>
      <w:bookmarkEnd w:id="26"/>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the explanatory notes thereto. Upon the appointment of a person as a director, the general meeting of shareholders shall determine whether that person is appointed as executive director or as non-executive director. </w:t>
      </w:r>
    </w:p>
    <w:p>
      <w:pPr>
        <w:spacing w:before="300" w:after="0"/>
        <w:ind w:left="120"/>
        <w:jc w:val="left"/>
      </w:pPr>
      <w:r>
        <w:rPr>
          <w:rFonts w:ascii="Times New Roman" w:hAnsi="Times New Roman"/>
          <w:b w:val="false"/>
          <w:i/>
          <w:color w:val="000000"/>
          <w:sz w:val="20"/>
        </w:rPr>
        <w:t xml:space="preserve"> Duties and liabilities of directors </w:t>
      </w:r>
    </w:p>
    <w:p>
      <w:pPr>
        <w:spacing w:before="120" w:after="0"/>
        <w:ind w:left="120"/>
        <w:jc w:val="left"/>
      </w:pPr>
      <w:r>
        <w:rPr>
          <w:rFonts w:ascii="Times New Roman" w:hAnsi="Times New Roman"/>
          <w:b w:val="false"/>
          <w:i w:val="false"/>
          <w:color w:val="000000"/>
          <w:sz w:val="20"/>
        </w:rPr>
        <w:t xml:space="preserve"> Under Dutch law, the board of directors as a collective is responsible for our management, strategy, policy and operations. The executive directors manage our day-to-day business and operations and implement our strategy. The non-executive directors focus on the supervision of the policy and functioning of the performance of the duties of all directors and our general state of affairs. Each director has a statutory duty to act in the corporate interest of the company and its business. Under Dutch law, the corporate interest extends to the interests of all corporate stakeholders, such as shareholders, creditors, employees, customers and suppliers. The duty to act in the corporate interest of the company also applies in the event of a proposed sale or break-up of the company, provided that the circumstances generally dictate how such duty is to be applied and how the respective interests of various groups of stakeholders should be weighed. Any resolution of the board of directors regarding a material change in our identity or character requires approval of the general meeting of shareholders. </w:t>
      </w:r>
    </w:p>
    <w:p>
      <w:pPr>
        <w:spacing w:before="300" w:after="0"/>
        <w:ind w:left="120"/>
        <w:jc w:val="left"/>
      </w:pPr>
      <w:r>
        <w:rPr>
          <w:rFonts w:ascii="Times New Roman" w:hAnsi="Times New Roman"/>
          <w:b/>
          <w:i/>
          <w:color w:val="000000"/>
          <w:sz w:val="20"/>
        </w:rPr>
        <w:t xml:space="preserve"> Dividends and other distributions </w:t>
      </w:r>
    </w:p>
    <w:p>
      <w:pPr>
        <w:spacing w:before="140" w:after="0"/>
        <w:ind w:left="120"/>
        <w:jc w:val="left"/>
      </w:pPr>
      <w:r>
        <w:rPr>
          <w:rFonts w:ascii="Times New Roman" w:hAnsi="Times New Roman"/>
          <w:b w:val="false"/>
          <w:i/>
          <w:color w:val="000000"/>
          <w:sz w:val="20"/>
        </w:rPr>
        <w:t xml:space="preserve"> Amount available for distribution </w:t>
      </w:r>
    </w:p>
    <w:p>
      <w:pPr>
        <w:spacing w:before="120" w:after="0"/>
        <w:ind w:left="120"/>
        <w:jc w:val="left"/>
      </w:pPr>
      <w:r>
        <w:rPr>
          <w:rFonts w:ascii="Times New Roman" w:hAnsi="Times New Roman"/>
          <w:b w:val="false"/>
          <w:i w:val="false"/>
          <w:color w:val="000000"/>
          <w:sz w:val="20"/>
        </w:rPr>
        <w:t xml:space="preserve"> We may only make distributions to our shareholders to the extent our shareholders’ equity (</w:t>
      </w:r>
      <w:r>
        <w:rPr>
          <w:rFonts w:ascii="Times New Roman" w:hAnsi="Times New Roman"/>
          <w:b w:val="false"/>
          <w:i/>
          <w:color w:val="000000"/>
          <w:sz w:val="20"/>
        </w:rPr>
        <w:t>eigen vermogen</w:t>
      </w:r>
      <w:r>
        <w:rPr>
          <w:rFonts w:ascii="Times New Roman" w:hAnsi="Times New Roman"/>
          <w:b w:val="false"/>
          <w:i w:val="false"/>
          <w:color w:val="000000"/>
          <w:sz w:val="20"/>
        </w:rPr>
        <w:t xml:space="preserve">) exceeds the sum of the paid-up and called-up share capital plus any reserves required by Dutch law or by the Articles of Association. Under the Articles of Association, if any of the preferred shares are outstanding, a dividend is first paid out of the profit, if available for distribution, on the preferred shares. Any amount remaining out of the profit is carried to reserve as the board of directors determines. After reservation by the board of directors of any profit, the remaining profit will be at the disposal of the general meeting of shareholders. </w:t>
      </w:r>
    </w:p>
    <w:p>
      <w:pPr>
        <w:spacing w:before="120" w:after="0"/>
        <w:ind w:left="120"/>
        <w:jc w:val="left"/>
      </w:pPr>
      <w:r>
        <w:rPr>
          <w:rFonts w:ascii="Times New Roman" w:hAnsi="Times New Roman"/>
          <w:b w:val="false"/>
          <w:i w:val="false"/>
          <w:color w:val="000000"/>
          <w:sz w:val="20"/>
        </w:rPr>
        <w:t xml:space="preserve"> We may only make a distribution of dividends to our shareholders after the adoption of our annual accounts demonstrating that such distribution is legally permitted. The board of directors is permitted, subject to certain requirements, to declare interim dividends without the approval of the general meeting of shareholders. </w:t>
      </w:r>
    </w:p>
    <w:p>
      <w:pPr>
        <w:spacing w:before="120" w:after="0"/>
        <w:ind w:left="120"/>
        <w:jc w:val="left"/>
      </w:pPr>
      <w:r>
        <w:rPr>
          <w:rFonts w:ascii="Times New Roman" w:hAnsi="Times New Roman"/>
          <w:b w:val="false"/>
          <w:i w:val="false"/>
          <w:color w:val="000000"/>
          <w:sz w:val="20"/>
        </w:rPr>
        <w:t xml:space="preserve"> Dividends and other distributions shall be made payable no later than the date determined by the board of directors. Claims to dividends and other distributions not made within five years from the date that such dividends or distributions became payable, will lapse and any such amounts will be considered to have been forfeited to us (</w:t>
      </w:r>
      <w:r>
        <w:rPr>
          <w:rFonts w:ascii="Times New Roman" w:hAnsi="Times New Roman"/>
          <w:b w:val="false"/>
          <w:i/>
          <w:color w:val="000000"/>
          <w:sz w:val="20"/>
        </w:rPr>
        <w:t>verjaring</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val="false"/>
          <w:i w:val="false"/>
          <w:color w:val="000000"/>
          <w:sz w:val="20"/>
        </w:rPr>
        <w:t xml:space="preserve"> We have never paid or declared any cash dividends on our ordinary shares, and we do not anticipate paying any cash dividends on our ordinary shares in the foreseeable future. We intend to retain all available funds and any future earnings to fund the development and expansion of our business. </w:t>
      </w:r>
    </w:p>
    <w:p>
      <w:pPr>
        <w:spacing w:before="300" w:after="0"/>
        <w:ind w:left="120"/>
        <w:jc w:val="left"/>
      </w:pPr>
      <w:r>
        <w:rPr>
          <w:rFonts w:ascii="Times New Roman" w:hAnsi="Times New Roman"/>
          <w:b w:val="false"/>
          <w:i/>
          <w:color w:val="000000"/>
          <w:sz w:val="20"/>
        </w:rPr>
        <w:t xml:space="preserve"> Exchange controls </w:t>
      </w:r>
    </w:p>
    <w:p>
      <w:pPr>
        <w:spacing w:before="120" w:after="0"/>
        <w:ind w:left="120"/>
        <w:jc w:val="left"/>
      </w:pPr>
      <w:r>
        <w:rPr>
          <w:rFonts w:ascii="Times New Roman" w:hAnsi="Times New Roman"/>
          <w:b w:val="false"/>
          <w:i w:val="false"/>
          <w:color w:val="000000"/>
          <w:sz w:val="20"/>
        </w:rPr>
        <w:t xml:space="preserve"> Under existing laws of the Netherlands, there are no exchange controls applicable to the transfer to persons outside of the Netherlands of dividends or other distributions with respect to, or of the proceeds from the sale of, shares of a Dutch company, subject to applicable restrictions under sanctions and measures, including those concerning export control, pursuant to EU regulations, the Sanctions Act 1977 (</w:t>
      </w:r>
      <w:r>
        <w:rPr>
          <w:rFonts w:ascii="Times New Roman" w:hAnsi="Times New Roman"/>
          <w:b w:val="false"/>
          <w:i/>
          <w:color w:val="000000"/>
          <w:sz w:val="20"/>
        </w:rPr>
        <w:t>Sanctiewet 1977</w:t>
      </w:r>
      <w:r>
        <w:rPr>
          <w:rFonts w:ascii="Times New Roman" w:hAnsi="Times New Roman"/>
          <w:b w:val="false"/>
          <w:i w:val="false"/>
          <w:color w:val="000000"/>
          <w:sz w:val="20"/>
        </w:rPr>
        <w:t xml:space="preserve">) or other legislation, applicable anti-boycott regulations and similar rules. There are no special restrictions in the Articles of Association or Dutch law that limit the right of shareholders who are not citizens or residents of the Netherlands to hold or vote shares. </w:t>
      </w:r>
    </w:p>
    <w:p>
      <w:pPr>
        <w:spacing w:before="300" w:after="0"/>
        <w:ind w:left="120"/>
        <w:jc w:val="left"/>
      </w:pPr>
      <w:r>
        <w:rPr>
          <w:rFonts w:ascii="Times New Roman" w:hAnsi="Times New Roman"/>
          <w:b w:val="false"/>
          <w:i/>
          <w:color w:val="000000"/>
          <w:sz w:val="20"/>
        </w:rPr>
        <w:t xml:space="preserve"> Squeeze out procedures </w:t>
      </w:r>
    </w:p>
    <w:p>
      <w:pPr>
        <w:spacing w:before="120" w:after="0"/>
        <w:ind w:left="120"/>
        <w:jc w:val="left"/>
      </w:pPr>
      <w:r>
        <w:rPr>
          <w:rFonts w:ascii="Times New Roman" w:hAnsi="Times New Roman"/>
          <w:b w:val="false"/>
          <w:i w:val="false"/>
          <w:color w:val="000000"/>
          <w:sz w:val="20"/>
        </w:rPr>
        <w:t xml:space="preserve"> Pursuant to Section 92a, Book 2, Dutch Civil Code, a shareholder who—alone or together with group companies—for their own account holds at least 95% of our issued share capital may initiate proceedings against the other shareholders jointly for the transfer of their shares to such shareholder. The proceedings are held before the Enterprise Chamber of the Amsterdam Court of Appeal, or the Enterprise Chamber (</w:t>
      </w:r>
      <w:r>
        <w:rPr>
          <w:rFonts w:ascii="Times New Roman" w:hAnsi="Times New Roman"/>
          <w:b w:val="false"/>
          <w:i/>
          <w:color w:val="000000"/>
          <w:sz w:val="20"/>
        </w:rPr>
        <w:t>Ondernemingskamer</w:t>
      </w:r>
      <w:r>
        <w:rPr>
          <w:rFonts w:ascii="Times New Roman" w:hAnsi="Times New Roman"/>
          <w:b w:val="false"/>
          <w:i w:val="false"/>
          <w:color w:val="000000"/>
          <w:sz w:val="20"/>
        </w:rPr>
        <w:t>), and can be instituted by means of a writ of summons served upon each of the other shareholders in accordance with the provisions of the Dutch Code of Civil Procedure (</w:t>
      </w:r>
      <w:r>
        <w:rPr>
          <w:rFonts w:ascii="Times New Roman" w:hAnsi="Times New Roman"/>
          <w:b w:val="false"/>
          <w:i/>
          <w:color w:val="000000"/>
          <w:sz w:val="20"/>
        </w:rPr>
        <w:t>Wetboek van Burgerlijke Rechtsvordering</w:t>
      </w:r>
      <w:r>
        <w:rPr>
          <w:rFonts w:ascii="Times New Roman" w:hAnsi="Times New Roman"/>
          <w:b w:val="false"/>
          <w:i w:val="false"/>
          <w:color w:val="000000"/>
          <w:sz w:val="20"/>
        </w:rPr>
        <w:t xml:space="preserve">). The Enterprise Chamber may grant the claim for squeeze out in relation to the other shareholders and will determine </w:t>
      </w:r>
    </w:p>
    <w:p>
      <w:pPr>
        <w:spacing w:before="189" w:after="0"/>
        <w:ind w:left="120"/>
        <w:jc w:val="center"/>
      </w:pPr>
      <w:r>
        <w:rPr>
          <w:rFonts w:ascii="Times New Roman" w:hAnsi="Times New Roman"/>
          <w:b w:val="false"/>
          <w:i w:val="false"/>
          <w:color w:val="000000"/>
          <w:sz w:val="20"/>
        </w:rPr>
        <w:t xml:space="preserve"> 15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5-description01_pg7" w:id="27"/>
      <w:r>
        <w:rPr>
          <w:rFonts w:ascii="Times New Roman" w:hAnsi="Times New Roman"/>
          <w:b w:val="false"/>
          <w:i w:val="false"/>
          <w:color w:val="0000ff"/>
          <w:sz w:val="22"/>
        </w:rPr>
        <w:t/>
      </w:r>
      <w:bookmarkEnd w:id="27"/>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the price to be paid for the shares, if necessary, after appointment of one or three experts who will offer an opinion to the Enterprise Chamber on the value to be paid for the shares of the other shareholders. Once the order to transfer becomes final before the Enterprise Chamber, the person acquiring the shares shall give written notice of the date and place of payment and the price to the holders of the shares to be acquired whose addresses are known to the acquiring person. Unless the addresses of all of them are known to the acquiring person, such person is required to publish the same in a daily newspaper with a national circulation. </w:t>
      </w:r>
    </w:p>
    <w:p>
      <w:pPr>
        <w:spacing w:before="410" w:after="0"/>
        <w:ind w:left="120"/>
        <w:jc w:val="left"/>
      </w:pPr>
      <w:r>
        <w:rPr>
          <w:rFonts w:ascii="Times New Roman" w:hAnsi="Times New Roman"/>
          <w:b/>
          <w:i/>
          <w:color w:val="000000"/>
          <w:sz w:val="20"/>
        </w:rPr>
        <w:t xml:space="preserve"> Dissolution and liquidation </w:t>
      </w:r>
    </w:p>
    <w:p>
      <w:pPr>
        <w:spacing w:before="120" w:after="0"/>
        <w:ind w:left="120"/>
        <w:jc w:val="left"/>
      </w:pPr>
      <w:r>
        <w:rPr>
          <w:rFonts w:ascii="Times New Roman" w:hAnsi="Times New Roman"/>
          <w:b w:val="false"/>
          <w:i w:val="false"/>
          <w:color w:val="000000"/>
          <w:sz w:val="20"/>
        </w:rPr>
        <w:t xml:space="preserve"> Under our Articles of Association, we may be dissolved by a resolution of the general meeting of shareholders, subject to a proposal of the board of directors. In the event of a dissolution, the liquidation shall be effected by the board of directors, unless the general meeting decides otherwise. To the extent that any assets remain after payment of all debts, those assets shall first be distributed to the holders of any outstanding preferred shares in accordance with the procedures set forth in the Articles of Association. After such distribution, the remaining assets shall be distributed to the holders of ordinary shares. All distributions referred to in this paragraph will be made in accordance with the relevant provisions of the laws of the Netherlands. </w:t>
      </w:r>
    </w:p>
    <w:p>
      <w:pPr>
        <w:spacing w:before="410" w:after="0"/>
        <w:ind w:left="120"/>
        <w:jc w:val="left"/>
      </w:pPr>
      <w:r>
        <w:rPr>
          <w:rFonts w:ascii="Times New Roman" w:hAnsi="Times New Roman"/>
          <w:b/>
          <w:i w:val="false"/>
          <w:color w:val="000000"/>
          <w:sz w:val="20"/>
        </w:rPr>
        <w:t xml:space="preserve"> Dutch Financial Reporting Supervision Act </w:t>
      </w:r>
    </w:p>
    <w:p>
      <w:pPr>
        <w:spacing w:before="120" w:after="0"/>
        <w:ind w:left="120"/>
        <w:jc w:val="left"/>
      </w:pPr>
      <w:r>
        <w:rPr>
          <w:rFonts w:ascii="Times New Roman" w:hAnsi="Times New Roman"/>
          <w:b w:val="false"/>
          <w:i w:val="false"/>
          <w:color w:val="000000"/>
          <w:sz w:val="20"/>
        </w:rPr>
        <w:t xml:space="preserve"> On the basis of the Dutch Financial Reporting Supervision Act (</w:t>
      </w:r>
      <w:r>
        <w:rPr>
          <w:rFonts w:ascii="Times New Roman" w:hAnsi="Times New Roman"/>
          <w:b w:val="false"/>
          <w:i/>
          <w:color w:val="000000"/>
          <w:sz w:val="20"/>
        </w:rPr>
        <w:t>Wet toezicht financiële verslaggeving</w:t>
      </w:r>
      <w:r>
        <w:rPr>
          <w:rFonts w:ascii="Times New Roman" w:hAnsi="Times New Roman"/>
          <w:b w:val="false"/>
          <w:i w:val="false"/>
          <w:color w:val="000000"/>
          <w:sz w:val="20"/>
        </w:rPr>
        <w:t>), or the FRSA, the Authority for the Financial Markets (</w:t>
      </w:r>
      <w:r>
        <w:rPr>
          <w:rFonts w:ascii="Times New Roman" w:hAnsi="Times New Roman"/>
          <w:b w:val="false"/>
          <w:i/>
          <w:color w:val="000000"/>
          <w:sz w:val="20"/>
        </w:rPr>
        <w:t>Stichting Autoriteit Financiële Markten</w:t>
      </w:r>
      <w:r>
        <w:rPr>
          <w:rFonts w:ascii="Times New Roman" w:hAnsi="Times New Roman"/>
          <w:b w:val="false"/>
          <w:i w:val="false"/>
          <w:color w:val="000000"/>
          <w:sz w:val="20"/>
        </w:rPr>
        <w:t xml:space="preserve">), or AFM supervises the application of financial reporting standards by Dutch companies whose securities are listed on a Dutch or foreign stock exchange. </w:t>
      </w:r>
    </w:p>
    <w:p>
      <w:pPr>
        <w:spacing w:before="120" w:after="0"/>
        <w:ind w:left="120"/>
        <w:jc w:val="left"/>
      </w:pPr>
      <w:r>
        <w:rPr>
          <w:rFonts w:ascii="Times New Roman" w:hAnsi="Times New Roman"/>
          <w:b w:val="false"/>
          <w:i w:val="false"/>
          <w:color w:val="000000"/>
          <w:sz w:val="20"/>
        </w:rPr>
        <w:t xml:space="preserve"> Pursuant to the FRSA, the AFM has an independent right to (i) request an explanation from us regarding our application of the applicable financial reporting standards and (ii) recommend to us the making available of further explanations. If we do not comply with such a request or recommendation, the AFM may request that the Enterprise Chamber of the Amsterdam Court of Appeal (Ondernemingskamer) order us to (i) make available further explanations as recommended by the AFM, (ii) provide an explanation of the way we have applied the applicable financial reporting standards to our financial reports or (iii) prepare our financial reports in accordance with the Enterprise Chamber’s orders. </w:t>
      </w:r>
    </w:p>
    <w:p>
      <w:pPr>
        <w:spacing w:before="189" w:after="0"/>
        <w:ind w:left="120"/>
        <w:jc w:val="center"/>
      </w:pPr>
      <w:r>
        <w:rPr>
          <w:rFonts w:ascii="Times New Roman" w:hAnsi="Times New Roman"/>
          <w:b w:val="false"/>
          <w:i w:val="false"/>
          <w:color w:val="000000"/>
          <w:sz w:val="20"/>
        </w:rPr>
        <w:t xml:space="preserve"> 16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1" w:id="28"/>
      <w:r>
        <w:rPr>
          <w:rFonts w:ascii="Times New Roman" w:hAnsi="Times New Roman"/>
          <w:b w:val="false"/>
          <w:i w:val="false"/>
          <w:color w:val="0000ff"/>
          <w:sz w:val="22"/>
        </w:rPr>
        <w:t/>
      </w:r>
      <w:bookmarkEnd w:id="28"/>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COM" w:id="29"/>
      <w:r>
        <w:rPr>
          <w:rFonts w:ascii="Times New Roman" w:hAnsi="Times New Roman"/>
          <w:b/>
          <w:i w:val="false"/>
          <w:color w:val="0000ff"/>
          <w:sz w:val="20"/>
        </w:rPr>
        <w:t/>
      </w:r>
      <w:bookmarkEnd w:id="29"/>
      <w:r>
        <w:rPr>
          <w:rFonts w:ascii="Times New Roman" w:hAnsi="Times New Roman"/>
          <w:b/>
          <w:i w:val="false"/>
          <w:color w:val="000000"/>
          <w:sz w:val="20"/>
        </w:rPr>
        <w:t xml:space="preserve">COMPARISON OF DUTCH CORPORATE LAW AND OUR </w:t>
      </w:r>
      <w:r>
        <w:br/>
      </w:r>
      <w:r>
        <w:rPr>
          <w:rFonts w:ascii="Times New Roman" w:hAnsi="Times New Roman"/>
          <w:b/>
          <w:i w:val="false"/>
          <w:color w:val="000000"/>
          <w:sz w:val="20"/>
        </w:rPr>
        <w:t xml:space="preserve"> </w:t>
      </w:r>
    </w:p>
    <w:p>
      <w:pPr>
        <w:spacing w:before="0" w:after="0"/>
        <w:ind w:left="120"/>
        <w:jc w:val="center"/>
      </w:pPr>
      <w:r>
        <w:rPr>
          <w:rFonts w:ascii="Times New Roman" w:hAnsi="Times New Roman"/>
          <w:b/>
          <w:i w:val="false"/>
          <w:color w:val="000000"/>
          <w:sz w:val="20"/>
        </w:rPr>
        <w:t xml:space="preserve"> ARTICLES OF ASSOCIATION AND U.S. CORPORATE LAW </w:t>
      </w:r>
    </w:p>
    <w:p>
      <w:pPr>
        <w:spacing w:before="120" w:after="0"/>
        <w:ind w:left="120"/>
        <w:jc w:val="left"/>
      </w:pPr>
      <w:r>
        <w:rPr>
          <w:rFonts w:ascii="Times New Roman" w:hAnsi="Times New Roman"/>
          <w:b w:val="false"/>
          <w:i w:val="false"/>
          <w:color w:val="000000"/>
          <w:sz w:val="20"/>
        </w:rPr>
        <w:t xml:space="preserve"> The following comparison between Dutch corporate law, which applies to us, and Delaware corporation law, the law under which many publicly listed corporations in the United States are incorporated, discusses additional matters not otherwise described in this prospectus. Although we believe this summary is materially accurate, the summary is subject to Dutch law, including Book 2 of the Dutch Civil Code and the DCGC and Delaware corporation law, including the Delaware General Corporation Law. </w:t>
      </w:r>
    </w:p>
    <w:p>
      <w:pPr>
        <w:spacing w:before="380" w:after="0"/>
        <w:ind w:left="120"/>
        <w:jc w:val="left"/>
      </w:pPr>
      <w:r>
        <w:rPr>
          <w:rFonts w:ascii="Times New Roman" w:hAnsi="Times New Roman"/>
          <w:b/>
          <w:i/>
          <w:color w:val="000000"/>
          <w:sz w:val="20"/>
        </w:rPr>
        <w:t xml:space="preserve"> Corporate Governance </w:t>
      </w:r>
    </w:p>
    <w:p>
      <w:pPr>
        <w:spacing w:before="140" w:after="0"/>
        <w:ind w:left="120"/>
        <w:jc w:val="left"/>
      </w:pPr>
      <w:r>
        <w:rPr>
          <w:rFonts w:ascii="Times New Roman" w:hAnsi="Times New Roman"/>
          <w:b w:val="false"/>
          <w:i/>
          <w:color w:val="000000"/>
          <w:sz w:val="20"/>
        </w:rPr>
        <w:t xml:space="preserve"> Duties of directors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We have a one-tier board structure consisting of one or more executive directors and one or more non-executive directors. </w:t>
      </w:r>
    </w:p>
    <w:p>
      <w:pPr>
        <w:spacing w:before="120" w:after="0"/>
        <w:ind w:left="120"/>
        <w:jc w:val="left"/>
      </w:pPr>
      <w:r>
        <w:rPr>
          <w:rFonts w:ascii="Times New Roman" w:hAnsi="Times New Roman"/>
          <w:b w:val="false"/>
          <w:i w:val="false"/>
          <w:color w:val="000000"/>
          <w:sz w:val="20"/>
        </w:rPr>
        <w:t xml:space="preserve"> Under Dutch law, the board of directors as a collective is responsible for the management and the strategy, policy and operations of the company. The executive directors manage our day-to-day business and operations and implement our strategy. The non-executive directors focus on the supervision of the policy and functioning of the performance of the duties of all directors and our general state of affairs. Each director has a statutory duty to act in the corporate interest of the company and its business. Under Dutch law, the corporate interest extends to the interests of all corporate stakeholders, such as shareholders, creditors, employees, customers and suppliers. The duty to act in the corporate interest of the company also applies in the event of a proposed sale or break-up of the company, provided that the circumstances generally dictate how such duty is to be applied and how the respective interests of various groups of stakeholders should be weighed. Any resolution of the board of directors regarding a material change to the identity or character of the company requires the approval of the general meeting of shareholders.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board of directors bears the ultimate responsibility for managing the business and affairs of a corporation. In discharging this function, directors of a Delaware corporation owe fiduciary duties of care and loyalty to the corporation and to its shareholders. Delaware courts have decided that the directors of a Delaware corporation are required to exercise informed business judgment in the performance of their duties. Informed business judgment means that the directors have informed themselves of all material information reasonably available to them. Delaware courts have also imposed a heightened standard of conduct upon directors of a Delaware corporation who take any action designed to defeat a threatened change in control of the corporation. In addition, under Delaware law, when the board of directors of a Delaware corporation approves the sale or break-up of a corporation, the board of directors may, in certain circumstances, have a duty to obtain the highest value reasonably available to the shareholders. </w:t>
      </w:r>
    </w:p>
    <w:p>
      <w:pPr>
        <w:spacing w:before="380" w:after="0"/>
        <w:ind w:left="120"/>
        <w:jc w:val="left"/>
      </w:pPr>
      <w:r>
        <w:rPr>
          <w:rFonts w:ascii="Times New Roman" w:hAnsi="Times New Roman"/>
          <w:b w:val="false"/>
          <w:i/>
          <w:color w:val="000000"/>
          <w:sz w:val="20"/>
        </w:rPr>
        <w:t xml:space="preserve"> Director terms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The DCGC provides the following best practice recommendations on the terms for directors’ service: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Executive directors should be appointed for a maximum period of four years, without limiting the number of consecutive terms executive directors may serve. </w:t>
            </w:r>
          </w:p>
        </w:tc>
      </w:tr>
    </w:tbl>
    <w:tbl>
      <w:tblPr>
        <w:tblW w:w="0" w:type="auto"/>
        <w:tblCellSpacing w:w="0" w:type="dxa"/>
        <w:tblInd w:w="533" w:type="dxa"/>
        <w:tblBorders>
          <w:top w:val="none"/>
          <w:left w:val="none"/>
          <w:bottom w:val="none"/>
          <w:right w:val="none"/>
          <w:insideH w:val="none"/>
          <w:insideV w:val="none"/>
        </w:tblBorders>
      </w:tblPr>
      <w:tblGrid>
        <w:gridCol w:w="533"/>
        <w:gridCol w:w="1079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079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Non-executive directors should be appointed for two consecutive periods of no more than four years. </w:t>
            </w:r>
          </w:p>
        </w:tc>
      </w:tr>
    </w:tbl>
    <w:p>
      <w:pPr>
        <w:spacing w:before="120" w:after="0"/>
        <w:ind w:left="120"/>
        <w:jc w:val="left"/>
      </w:pPr>
      <w:r>
        <w:rPr>
          <w:rFonts w:ascii="Times New Roman" w:hAnsi="Times New Roman"/>
          <w:b w:val="false"/>
          <w:i w:val="false"/>
          <w:color w:val="000000"/>
          <w:sz w:val="20"/>
        </w:rPr>
        <w:t xml:space="preserve"> Thereafter, non-executive directors may be reappointed for a maximum of two consecutive periods of no more than two years, provided that any reappointment after an eight-year term of office should be disclosed in the company’s annual board report. </w:t>
      </w:r>
    </w:p>
    <w:p>
      <w:pPr>
        <w:spacing w:before="120" w:after="0"/>
        <w:ind w:left="120"/>
        <w:jc w:val="left"/>
      </w:pPr>
      <w:r>
        <w:rPr>
          <w:rFonts w:ascii="Times New Roman" w:hAnsi="Times New Roman"/>
          <w:b w:val="false"/>
          <w:i w:val="false"/>
          <w:color w:val="000000"/>
          <w:sz w:val="20"/>
        </w:rPr>
        <w:t xml:space="preserve"> The general meeting of shareholders shall at all times be entitled to suspend or remove a director. Under our Articles of Association, the general meeting of shareholders may only adopt a resolution to suspend or remove such director by at least a two-thirds majority of the votes cast, provided such majority represents more than half of the issued share capital, unless the resolution is passed at the proposal of the board of directors, in which case a simple majority of the votes cast is sufficient.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Delaware General Corporation Law generally provides for a one-year term for directors, but permits directorships to be divided into up to three classes with up to three-year terms, with the years for each </w:t>
      </w:r>
    </w:p>
    <w:p>
      <w:pPr>
        <w:spacing w:before="189" w:after="0"/>
        <w:ind w:left="120"/>
        <w:jc w:val="center"/>
      </w:pPr>
      <w:r>
        <w:rPr>
          <w:rFonts w:ascii="Times New Roman" w:hAnsi="Times New Roman"/>
          <w:b w:val="false"/>
          <w:i w:val="false"/>
          <w:color w:val="000000"/>
          <w:sz w:val="20"/>
        </w:rPr>
        <w:t xml:space="preserve"> 17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2" w:id="30"/>
      <w:r>
        <w:rPr>
          <w:rFonts w:ascii="Times New Roman" w:hAnsi="Times New Roman"/>
          <w:b w:val="false"/>
          <w:i w:val="false"/>
          <w:color w:val="0000ff"/>
          <w:sz w:val="22"/>
        </w:rPr>
        <w:t/>
      </w:r>
      <w:bookmarkEnd w:id="30"/>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class expiring in different years, if permitted by the certificate of incorporation, an initial bylaw or a bylaw adopted by the shareholders. A director elected to serve a term on a “classified” board may not be removed by shareholders without cause. There is no limit in the number of terms a director may serve. </w:t>
      </w:r>
    </w:p>
    <w:p>
      <w:pPr>
        <w:spacing w:before="120" w:after="0"/>
        <w:ind w:left="120"/>
        <w:jc w:val="left"/>
      </w:pPr>
      <w:r>
        <w:rPr>
          <w:rFonts w:ascii="Times New Roman" w:hAnsi="Times New Roman"/>
          <w:b w:val="false"/>
          <w:i w:val="false"/>
          <w:color w:val="000000"/>
          <w:sz w:val="20"/>
        </w:rPr>
        <w:t xml:space="preserve"> The executive directors and the chairman of the board of directors shall serve for four-year terms and the other non-executive directors shall serve for three-year terms, in each case until the earlier of their successors being duly appointed, their resignation or their removal. After these terms, directors may be nominated for re-appointment for such terms as may be deemed appropriate by the board of directors. </w:t>
      </w:r>
    </w:p>
    <w:p>
      <w:pPr>
        <w:spacing w:before="410" w:after="0"/>
        <w:ind w:left="120"/>
        <w:jc w:val="left"/>
      </w:pPr>
      <w:r>
        <w:rPr>
          <w:rFonts w:ascii="Times New Roman" w:hAnsi="Times New Roman"/>
          <w:b w:val="false"/>
          <w:i/>
          <w:color w:val="000000"/>
          <w:sz w:val="20"/>
        </w:rPr>
        <w:t xml:space="preserve"> Director vacancies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directors are appointed and reappointed by the general meeting of shareholders. Under our Articles of Association, directors are appointed by the general meeting of shareholders upon the binding nomination by our board of directors. However, the general meeting of shareholders may at all times overrule the binding nomination by a resolution adopted by at least a two-thirds majority of the votes cast, provided such majority represents more than half of the issued share capital. If the general meeting of shareholders overrules the binding nomination, the board of directors shall make a new nomination.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Delaware General Corporation Law provides that vacancies and newly created directorships may be filled by a majority of the directors then in office (even though less than a quorum) unless (i) otherwise provided in the certificate of incorporation or bylaws of the corporation or (ii) the certificate of incorporation directs that a particular class of stock is to elect such director, in which case any other directors elected by such class, or a sole remaining director elected by such class, will fill such vacancy. </w:t>
      </w:r>
    </w:p>
    <w:p>
      <w:pPr>
        <w:spacing w:before="410" w:after="0"/>
        <w:ind w:left="120"/>
        <w:jc w:val="left"/>
      </w:pPr>
      <w:r>
        <w:rPr>
          <w:rFonts w:ascii="Times New Roman" w:hAnsi="Times New Roman"/>
          <w:b w:val="false"/>
          <w:i/>
          <w:color w:val="000000"/>
          <w:sz w:val="20"/>
        </w:rPr>
        <w:t xml:space="preserve"> Conflict-of-interest transactions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and our Articles of Association, our directors shall not take part in any discussion or decision-making that involves a subject or transaction in relation to which he or she has a conflict of interest with us. Our Articles of Association provide that if as a result thereof no resolution of the board of directors can be adopted, the resolution can nonetheless be adopted by the board of directors as if none of the directors had a conflict of interest. In that case, each director is entitled to participate in the discussion and decision-making process and to cast a vote. </w:t>
      </w:r>
    </w:p>
    <w:p>
      <w:pPr>
        <w:spacing w:before="170" w:after="0"/>
        <w:ind w:left="120"/>
        <w:jc w:val="left"/>
      </w:pPr>
      <w:r>
        <w:rPr>
          <w:rFonts w:ascii="Times New Roman" w:hAnsi="Times New Roman"/>
          <w:b w:val="false"/>
          <w:i w:val="false"/>
          <w:color w:val="000000"/>
          <w:sz w:val="20"/>
        </w:rPr>
        <w:t xml:space="preserve"> The DCGC provides the following best practice recommendations in relation to conflicts of interests: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director should report any potential conflict of interest in a transaction that is of material significance to the company and/or to such director to the other directors without delay, providing all relevant information in relation to the conflict;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board of directors should then decide, outside the presence of the director concerned, whether there is a conflict of interest;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transactions in which there is a conflict of interest with a director should be agreed on arms’ length terms;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decision to enter into such a transaction in which there is a conflict of interest with a director that is of material significance to the company and/or to such director shall require the approval of the board of directors, and such transactions should be disclosed in the company’s annual board report. </w:t>
            </w:r>
          </w:p>
        </w:tc>
      </w:tr>
    </w:tbl>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Delaware General Corporation Law generally permits transactions involving a Delaware corporation and an interested director of that corporation if: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material facts as to the director’s relationship or interest are disclosed and a majority of disinterested directors consent;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material facts are disclosed as to the director’s relationship or interest and a majority of shares entitled to vote thereon consent;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transaction is fair to the corporation at the time it is authorized by the board of directors, a committee of the board of directors or the shareholders. </w:t>
            </w:r>
          </w:p>
        </w:tc>
      </w:tr>
    </w:tbl>
    <w:p>
      <w:pPr>
        <w:spacing w:before="189" w:after="0"/>
        <w:ind w:left="120"/>
        <w:jc w:val="center"/>
      </w:pPr>
      <w:r>
        <w:rPr>
          <w:rFonts w:ascii="Times New Roman" w:hAnsi="Times New Roman"/>
          <w:b w:val="false"/>
          <w:i w:val="false"/>
          <w:color w:val="000000"/>
          <w:sz w:val="20"/>
        </w:rPr>
        <w:t xml:space="preserve"> 18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3" w:id="31"/>
      <w:r>
        <w:rPr>
          <w:rFonts w:ascii="Times New Roman" w:hAnsi="Times New Roman"/>
          <w:b w:val="false"/>
          <w:i w:val="false"/>
          <w:color w:val="0000ff"/>
          <w:sz w:val="22"/>
        </w:rPr>
        <w:t/>
      </w:r>
      <w:bookmarkEnd w:id="31"/>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color w:val="000000"/>
          <w:sz w:val="20"/>
        </w:rPr>
        <w:t xml:space="preserve"> Proxy voting by directors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An absent director may issue a proxy for a specific board meeting but only to another director in writing.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A director of a Delaware corporation may not issue a proxy representing the director’s voting rights as a director. </w:t>
      </w:r>
    </w:p>
    <w:p>
      <w:pPr>
        <w:spacing w:before="300" w:after="0"/>
        <w:ind w:left="120"/>
        <w:jc w:val="left"/>
      </w:pPr>
      <w:r>
        <w:rPr>
          <w:rFonts w:ascii="Times New Roman" w:hAnsi="Times New Roman"/>
          <w:b/>
          <w:i/>
          <w:color w:val="000000"/>
          <w:sz w:val="20"/>
        </w:rPr>
        <w:t xml:space="preserve"> Dutch Corporate Governance Code </w:t>
      </w:r>
    </w:p>
    <w:p>
      <w:pPr>
        <w:spacing w:before="120" w:after="0"/>
        <w:ind w:left="120"/>
        <w:jc w:val="left"/>
      </w:pPr>
      <w:r>
        <w:rPr>
          <w:rFonts w:ascii="Times New Roman" w:hAnsi="Times New Roman"/>
          <w:b w:val="false"/>
          <w:i w:val="false"/>
          <w:color w:val="000000"/>
          <w:sz w:val="20"/>
        </w:rPr>
        <w:t xml:space="preserve"> The DCGC contains both principles and best practice provisions for boards of directors, shareholders and general meetings of shareholders, financial reporting, auditors, disclosure, compliance and enforcement standards. A copy of the DCGC can be found on </w:t>
      </w:r>
      <w:r>
        <w:rPr>
          <w:rFonts w:ascii="Times New Roman" w:hAnsi="Times New Roman"/>
          <w:b w:val="false"/>
          <w:i/>
          <w:color w:val="000000"/>
          <w:sz w:val="20"/>
        </w:rPr>
        <w:t>www.mccg.nl</w:t>
      </w:r>
      <w:r>
        <w:rPr>
          <w:rFonts w:ascii="Times New Roman" w:hAnsi="Times New Roman"/>
          <w:b w:val="false"/>
          <w:i w:val="false"/>
          <w:color w:val="000000"/>
          <w:sz w:val="20"/>
        </w:rPr>
        <w:t xml:space="preserve">. As a Dutch company listed on a stock exchange, we are subject to the DCGC and are required to disclose in our annual board report to what extent we comply with the principles and best practice provisions of the DCGC, and where we do not (for example, because of a conflicting Nasdaq requirement or otherwise), we must state why and to what extent we deviate in our annual reports. Our most substantial deviations from the DCGC are summarized below. </w:t>
      </w:r>
    </w:p>
    <w:p>
      <w:pPr>
        <w:spacing w:before="300" w:after="0"/>
        <w:ind w:left="120"/>
        <w:jc w:val="left"/>
      </w:pPr>
      <w:r>
        <w:rPr>
          <w:rFonts w:ascii="Times New Roman" w:hAnsi="Times New Roman"/>
          <w:b w:val="false"/>
          <w:i/>
          <w:color w:val="000000"/>
          <w:sz w:val="20"/>
        </w:rPr>
        <w:t xml:space="preserve"> Statement of risk management </w:t>
      </w:r>
    </w:p>
    <w:p>
      <w:pPr>
        <w:spacing w:before="120" w:after="0"/>
        <w:ind w:left="120"/>
        <w:jc w:val="left"/>
      </w:pPr>
      <w:r>
        <w:rPr>
          <w:rFonts w:ascii="Times New Roman" w:hAnsi="Times New Roman"/>
          <w:b w:val="false"/>
          <w:i w:val="false"/>
          <w:color w:val="000000"/>
          <w:sz w:val="20"/>
        </w:rPr>
        <w:t xml:space="preserve"> We are listed on the Nasdaq Stock Market and are subject to the U.S. Sarbanes-Oxley Act of 2002 (SOX), including the provisions of Section 404 a and b relating to internal control over financial reporting (with applicability of Section 404 b depending on our accelerated filer status). In this context, we have designed, implemented and evaluated a comprehensive system of internal control over financial reporting in accordance with SOX requirements. Our broader risk management framework further comprises an enterprise risk management process covering strategic, operational, financial and compliance risks, documented internal controls over financial reporting, and ongoing oversight by the audit committee. Given our (pre-)clinical stage and absence of operational revenues, we have a limited operational size and complexity. Taking into account this stage of development and our governance structure, management is of the view that the current disclosures provide appropriate transparency regarding our risk management and control environment. We continuously monitor developments in Dutch and U.S. corporate governance practice and will reassess our approach to compliance with DCGC’s recommendation in respect of the statement of risk management on an annual basis. </w:t>
      </w:r>
    </w:p>
    <w:p>
      <w:pPr>
        <w:spacing w:before="300" w:after="0"/>
        <w:ind w:left="120"/>
        <w:jc w:val="left"/>
      </w:pPr>
      <w:r>
        <w:rPr>
          <w:rFonts w:ascii="Times New Roman" w:hAnsi="Times New Roman"/>
          <w:b w:val="false"/>
          <w:i/>
          <w:color w:val="000000"/>
          <w:sz w:val="20"/>
        </w:rPr>
        <w:t xml:space="preserve"> Target figures in Diversity &amp; Inclusion (D&amp;I) policy for senior management </w:t>
      </w:r>
    </w:p>
    <w:p>
      <w:pPr>
        <w:spacing w:before="120" w:after="0"/>
        <w:ind w:left="120"/>
        <w:jc w:val="left"/>
      </w:pPr>
      <w:r>
        <w:rPr>
          <w:rFonts w:ascii="Times New Roman" w:hAnsi="Times New Roman"/>
          <w:b w:val="false"/>
          <w:i w:val="false"/>
          <w:color w:val="000000"/>
          <w:sz w:val="20"/>
        </w:rPr>
        <w:t xml:space="preserve"> Our D&amp;I policy does not include either a definition of senior management or targets for senior management. A senior management was consciously not defined in the light of our current size and our respective structure, which would not be meaningful and appropriate. The definition of only one level in the form of the board of directors reflects existing reporting lines to the executive management. A senior management level of employees in managerial positions which would be meaningful in the sense of the DCGC does not exist and cannot meaningfully be defined through titles or other definitions such as responsibility over personnel. As a consequence, appropriate targets were not defined. </w:t>
      </w:r>
    </w:p>
    <w:p>
      <w:pPr>
        <w:spacing w:before="160" w:after="0"/>
        <w:ind w:left="120"/>
        <w:jc w:val="left"/>
      </w:pPr>
      <w:r>
        <w:rPr>
          <w:rFonts w:ascii="Times New Roman" w:hAnsi="Times New Roman"/>
          <w:b w:val="false"/>
          <w:i w:val="false"/>
          <w:color w:val="000000"/>
          <w:sz w:val="20"/>
        </w:rPr>
        <w:t xml:space="preserve"> Self-evaluation of non-executive directors periodically under supervision of external expert </w:t>
      </w:r>
    </w:p>
    <w:p>
      <w:pPr>
        <w:spacing w:before="120" w:after="0"/>
        <w:ind w:left="120"/>
        <w:jc w:val="left"/>
      </w:pPr>
      <w:r>
        <w:rPr>
          <w:rFonts w:ascii="Times New Roman" w:hAnsi="Times New Roman"/>
          <w:b w:val="false"/>
          <w:i w:val="false"/>
          <w:color w:val="000000"/>
          <w:sz w:val="20"/>
        </w:rPr>
        <w:t xml:space="preserve"> So far, the self-evaluations of the non-executive directors conducted on an annual basis were not subject to the supervision of an external expert. The self-evaluation is conducted by using an anonymous state-of-the-art questionnaire. The evaluation campaigns are technically managed by our administration including creation of a summary report, which is disclosed to the non-executive directors and discussed in that group. The non-executive directors are of the opinion that external supervision might not further contribute to the already professional approach to conduct an objective, open and transparent evaluation and discussion. It is not excluded that an external expert could be engaged for any of the future evaluation campaigns. </w:t>
      </w:r>
    </w:p>
    <w:p>
      <w:pPr>
        <w:spacing w:before="300" w:after="0"/>
        <w:ind w:left="120"/>
        <w:jc w:val="left"/>
      </w:pPr>
      <w:r>
        <w:rPr>
          <w:rFonts w:ascii="Times New Roman" w:hAnsi="Times New Roman"/>
          <w:b w:val="false"/>
          <w:i/>
          <w:color w:val="000000"/>
          <w:sz w:val="20"/>
        </w:rPr>
        <w:t xml:space="preserve"> Committee chairmanship and committee composition </w:t>
      </w:r>
    </w:p>
    <w:p>
      <w:pPr>
        <w:spacing w:before="120" w:after="0"/>
        <w:ind w:left="120"/>
        <w:jc w:val="left"/>
      </w:pPr>
      <w:r>
        <w:rPr>
          <w:rFonts w:ascii="Times New Roman" w:hAnsi="Times New Roman"/>
          <w:b w:val="false"/>
          <w:i w:val="false"/>
          <w:color w:val="000000"/>
          <w:sz w:val="20"/>
        </w:rPr>
        <w:t xml:space="preserve"> Given the current composition of our board of directors, the independence of our directors and their qualifications (as well as the rules applicable to us with respect to the composition of our board of directors and its committees), all committees of our board of directors, except for the audit committee, are chaired by Mr. Fulpius, who is also the chairman of our board of directors. Our audit committee is chaired by Mr. Gibney. Our board of directors regularly evaluates its composition and that of its committees. </w:t>
      </w:r>
    </w:p>
    <w:p>
      <w:pPr>
        <w:spacing w:before="189" w:after="0"/>
        <w:ind w:left="120"/>
        <w:jc w:val="center"/>
      </w:pPr>
      <w:r>
        <w:rPr>
          <w:rFonts w:ascii="Times New Roman" w:hAnsi="Times New Roman"/>
          <w:b w:val="false"/>
          <w:i w:val="false"/>
          <w:color w:val="000000"/>
          <w:sz w:val="20"/>
        </w:rPr>
        <w:t xml:space="preserve"> 19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4" w:id="32"/>
      <w:r>
        <w:rPr>
          <w:rFonts w:ascii="Times New Roman" w:hAnsi="Times New Roman"/>
          <w:b w:val="false"/>
          <w:i w:val="false"/>
          <w:color w:val="0000ff"/>
          <w:sz w:val="22"/>
        </w:rPr>
        <w:t/>
      </w:r>
      <w:bookmarkEnd w:id="32"/>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color w:val="000000"/>
          <w:sz w:val="20"/>
        </w:rPr>
        <w:t xml:space="preserve"> Vice chairman </w:t>
      </w:r>
    </w:p>
    <w:p>
      <w:pPr>
        <w:spacing w:before="120" w:after="0"/>
        <w:ind w:left="120"/>
        <w:jc w:val="left"/>
      </w:pPr>
      <w:r>
        <w:rPr>
          <w:rFonts w:ascii="Times New Roman" w:hAnsi="Times New Roman"/>
          <w:b w:val="false"/>
          <w:i w:val="false"/>
          <w:color w:val="000000"/>
          <w:sz w:val="20"/>
        </w:rPr>
        <w:t xml:space="preserve"> Given the current organization of the Company, our board of directors has not appointed a vice chairman. Our board of directors is of the opinion that the tasks and duties of the chairman will sufficiently be done by the other non-executive directors. </w:t>
      </w:r>
    </w:p>
    <w:p>
      <w:pPr>
        <w:spacing w:before="300" w:after="0"/>
        <w:ind w:left="120"/>
        <w:jc w:val="left"/>
      </w:pPr>
      <w:r>
        <w:rPr>
          <w:rFonts w:ascii="Times New Roman" w:hAnsi="Times New Roman"/>
          <w:b w:val="false"/>
          <w:i/>
          <w:color w:val="000000"/>
          <w:sz w:val="20"/>
        </w:rPr>
        <w:t xml:space="preserve"> Company secretary </w:t>
      </w:r>
    </w:p>
    <w:p>
      <w:pPr>
        <w:spacing w:before="120" w:after="0"/>
        <w:ind w:left="120"/>
        <w:jc w:val="left"/>
      </w:pPr>
      <w:r>
        <w:rPr>
          <w:rFonts w:ascii="Times New Roman" w:hAnsi="Times New Roman"/>
          <w:b w:val="false"/>
          <w:i w:val="false"/>
          <w:color w:val="000000"/>
          <w:sz w:val="20"/>
        </w:rPr>
        <w:t xml:space="preserve"> We have not appointed a company secretary, although the board of directors is supported by the Head of Legal Affairs for selected items including support of the chairman in administrational tasks. </w:t>
      </w:r>
    </w:p>
    <w:p>
      <w:pPr>
        <w:spacing w:before="300" w:after="0"/>
        <w:ind w:left="120"/>
        <w:jc w:val="left"/>
      </w:pPr>
      <w:r>
        <w:rPr>
          <w:rFonts w:ascii="Times New Roman" w:hAnsi="Times New Roman"/>
          <w:b w:val="false"/>
          <w:i/>
          <w:color w:val="000000"/>
          <w:sz w:val="20"/>
        </w:rPr>
        <w:t xml:space="preserve"> Compensation </w:t>
      </w:r>
    </w:p>
    <w:p>
      <w:pPr>
        <w:spacing w:before="120" w:after="0"/>
        <w:ind w:left="120"/>
        <w:jc w:val="left"/>
      </w:pPr>
      <w:r>
        <w:rPr>
          <w:rFonts w:ascii="Times New Roman" w:hAnsi="Times New Roman"/>
          <w:b w:val="false"/>
          <w:i w:val="false"/>
          <w:color w:val="000000"/>
          <w:sz w:val="20"/>
        </w:rPr>
        <w:t xml:space="preserve"> Consistent with market practice in the United States, the trading jurisdiction of our ordinary shares, and in order to further support our ability to attract and retain the right highly qualified candidates for our board of directors: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options awarded to our executive directors as part of their compensation could (subject to the terms of the option awards) vest and become exercisable during the first three years after the date of grant;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directors may generally sell our ordinary shares held by them at any point in time, subject to applicable law, company policy and applicable lock-up arrangements;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non-executive directors may be granted compensation in the form of shares, options and other equity-based compensation;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executive directors may be entitled to a severance payment in excess of their respective annual base salaries. </w:t>
            </w:r>
          </w:p>
        </w:tc>
      </w:tr>
    </w:tbl>
    <w:p>
      <w:pPr>
        <w:spacing w:before="300" w:after="0"/>
        <w:ind w:left="120"/>
        <w:jc w:val="left"/>
      </w:pPr>
      <w:r>
        <w:rPr>
          <w:rFonts w:ascii="Times New Roman" w:hAnsi="Times New Roman"/>
          <w:b w:val="false"/>
          <w:i/>
          <w:color w:val="000000"/>
          <w:sz w:val="20"/>
        </w:rPr>
        <w:t xml:space="preserve"> Compensation committee’s proposal on executive director remuneration </w:t>
      </w:r>
    </w:p>
    <w:p>
      <w:pPr>
        <w:spacing w:before="120" w:after="0"/>
        <w:ind w:left="120"/>
        <w:jc w:val="left"/>
      </w:pPr>
      <w:r>
        <w:rPr>
          <w:rFonts w:ascii="Times New Roman" w:hAnsi="Times New Roman"/>
          <w:b w:val="false"/>
          <w:i w:val="false"/>
          <w:color w:val="000000"/>
          <w:sz w:val="20"/>
        </w:rPr>
        <w:t xml:space="preserve"> Our compensation committee does not discuss executive directors’ views regarding amount and structure of their remuneration, because we are of the opinion that the amount and structure of the remuneration can be shaped and proposed based upon the committee members’ expertise and knowledge of the industry standards of the biopharmaceutical industry while being in constant contact with the executive management. </w:t>
      </w:r>
    </w:p>
    <w:p>
      <w:pPr>
        <w:spacing w:before="310" w:after="0"/>
        <w:ind w:left="120"/>
        <w:jc w:val="left"/>
      </w:pPr>
      <w:r>
        <w:rPr>
          <w:rFonts w:ascii="Times New Roman" w:hAnsi="Times New Roman"/>
          <w:b w:val="false"/>
          <w:i/>
          <w:color w:val="000000"/>
          <w:sz w:val="20"/>
        </w:rPr>
        <w:t xml:space="preserve"> Majority requirements for dismissal and overruling binding nominations </w:t>
      </w:r>
    </w:p>
    <w:p>
      <w:pPr>
        <w:spacing w:before="120" w:after="0"/>
        <w:ind w:left="120"/>
        <w:jc w:val="left"/>
      </w:pPr>
      <w:r>
        <w:rPr>
          <w:rFonts w:ascii="Times New Roman" w:hAnsi="Times New Roman"/>
          <w:b w:val="false"/>
          <w:i w:val="false"/>
          <w:color w:val="000000"/>
          <w:sz w:val="20"/>
        </w:rPr>
        <w:t xml:space="preserve"> Our directors are appointed by our general meeting of shareholders upon the binding nomination by our board of directors. Our general meeting of shareholders may only overrule the binding nomination by a resolution passed by a two-thirds majority of votes cast, provided such majority represents more than half of our issued share capital. In addition, except if proposed by our board of directors, our directors may be suspended or dismissed by our general meeting of shareholders at any time by a resolution passed by a two-thirds majority of votes cast, provided such majority represents more than half of our issued share capital. The possibility to convene a new general meeting of shareholders as referred to in Section 2:120(3) of the Dutch Civil Code in respect of these matters has been excluded in our Articles of Association. We believe that these provisions support the continuity of our company and its business and that those provisions, therefore, are in the best interests of our shareholders and our other stakeholders. </w:t>
      </w:r>
    </w:p>
    <w:p>
      <w:pPr>
        <w:spacing w:before="310" w:after="0"/>
        <w:ind w:left="120"/>
        <w:jc w:val="left"/>
      </w:pPr>
      <w:r>
        <w:rPr>
          <w:rFonts w:ascii="Times New Roman" w:hAnsi="Times New Roman"/>
          <w:b/>
          <w:i/>
          <w:color w:val="000000"/>
          <w:sz w:val="20"/>
        </w:rPr>
        <w:t xml:space="preserve"> Shareholder Rights </w:t>
      </w:r>
    </w:p>
    <w:p>
      <w:pPr>
        <w:spacing w:before="140" w:after="0"/>
        <w:ind w:left="120"/>
        <w:jc w:val="left"/>
      </w:pPr>
      <w:r>
        <w:rPr>
          <w:rFonts w:ascii="Times New Roman" w:hAnsi="Times New Roman"/>
          <w:b w:val="false"/>
          <w:i/>
          <w:color w:val="000000"/>
          <w:sz w:val="20"/>
        </w:rPr>
        <w:t xml:space="preserve"> Voting rights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In accordance with Dutch law and our Articles of Association, each issued ordinary share and each issued preferred share confers the right to cast one vote at the general meeting of shareholders. Each holder of shares may cast as many votes as it holds shares. No votes may be cast on shares that are held by us or our direct or indirect subsidiaries or on shares for which we or our subsidiaries hold depositary receipts. </w:t>
      </w:r>
    </w:p>
    <w:p>
      <w:pPr>
        <w:spacing w:before="120" w:after="0"/>
        <w:ind w:left="120"/>
        <w:jc w:val="left"/>
      </w:pPr>
      <w:r>
        <w:rPr>
          <w:rFonts w:ascii="Times New Roman" w:hAnsi="Times New Roman"/>
          <w:b w:val="false"/>
          <w:i w:val="false"/>
          <w:color w:val="000000"/>
          <w:sz w:val="20"/>
        </w:rPr>
        <w:t xml:space="preserve"> Nonetheless, the holders of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and the holders of a right of pledge (</w:t>
      </w:r>
      <w:r>
        <w:rPr>
          <w:rFonts w:ascii="Times New Roman" w:hAnsi="Times New Roman"/>
          <w:b w:val="false"/>
          <w:i/>
          <w:color w:val="000000"/>
          <w:sz w:val="20"/>
        </w:rPr>
        <w:t>pandrecht</w:t>
      </w:r>
      <w:r>
        <w:rPr>
          <w:rFonts w:ascii="Times New Roman" w:hAnsi="Times New Roman"/>
          <w:b w:val="false"/>
          <w:i w:val="false"/>
          <w:color w:val="000000"/>
          <w:sz w:val="20"/>
        </w:rPr>
        <w:t>) in respect of shares held by us or our subsidiaries in our share capital are not excluded from the right to vote on such shares, if the right of usufruct (</w:t>
      </w:r>
      <w:r>
        <w:rPr>
          <w:rFonts w:ascii="Times New Roman" w:hAnsi="Times New Roman"/>
          <w:b w:val="false"/>
          <w:i/>
          <w:color w:val="000000"/>
          <w:sz w:val="20"/>
        </w:rPr>
        <w:t>vruchtgebruik</w:t>
      </w:r>
      <w:r>
        <w:rPr>
          <w:rFonts w:ascii="Times New Roman" w:hAnsi="Times New Roman"/>
          <w:b w:val="false"/>
          <w:i w:val="false"/>
          <w:color w:val="000000"/>
          <w:sz w:val="20"/>
        </w:rPr>
        <w:t>) or the right of pledge (</w:t>
      </w:r>
      <w:r>
        <w:rPr>
          <w:rFonts w:ascii="Times New Roman" w:hAnsi="Times New Roman"/>
          <w:b w:val="false"/>
          <w:i/>
          <w:color w:val="000000"/>
          <w:sz w:val="20"/>
        </w:rPr>
        <w:t>pandrecht</w:t>
      </w:r>
      <w:r>
        <w:rPr>
          <w:rFonts w:ascii="Times New Roman" w:hAnsi="Times New Roman"/>
          <w:b w:val="false"/>
          <w:i w:val="false"/>
          <w:color w:val="000000"/>
          <w:sz w:val="20"/>
        </w:rPr>
        <w:t xml:space="preserve">) was granted prior to the time such shares were acquired by us or any of our subsidiaries. Neither we nor any of our </w:t>
      </w:r>
    </w:p>
    <w:p>
      <w:pPr>
        <w:spacing w:before="189" w:after="0"/>
        <w:ind w:left="120"/>
        <w:jc w:val="center"/>
      </w:pPr>
      <w:r>
        <w:rPr>
          <w:rFonts w:ascii="Times New Roman" w:hAnsi="Times New Roman"/>
          <w:b w:val="false"/>
          <w:i w:val="false"/>
          <w:color w:val="000000"/>
          <w:sz w:val="20"/>
        </w:rPr>
        <w:t xml:space="preserve"> 20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5" w:id="33"/>
      <w:r>
        <w:rPr>
          <w:rFonts w:ascii="Times New Roman" w:hAnsi="Times New Roman"/>
          <w:b w:val="false"/>
          <w:i w:val="false"/>
          <w:color w:val="0000ff"/>
          <w:sz w:val="22"/>
        </w:rPr>
        <w:t/>
      </w:r>
      <w:bookmarkEnd w:id="3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subsidiaries may cast votes in respect of a share on which we or such subsidiary holds a right of usufruct (</w:t>
      </w:r>
      <w:r>
        <w:rPr>
          <w:rFonts w:ascii="Times New Roman" w:hAnsi="Times New Roman"/>
          <w:b w:val="false"/>
          <w:i/>
          <w:color w:val="000000"/>
          <w:sz w:val="20"/>
        </w:rPr>
        <w:t>vruchtgebruik</w:t>
      </w:r>
      <w:r>
        <w:rPr>
          <w:rFonts w:ascii="Times New Roman" w:hAnsi="Times New Roman"/>
          <w:b w:val="false"/>
          <w:i w:val="false"/>
          <w:color w:val="000000"/>
          <w:sz w:val="20"/>
        </w:rPr>
        <w:t>) or a right of pledge (</w:t>
      </w:r>
      <w:r>
        <w:rPr>
          <w:rFonts w:ascii="Times New Roman" w:hAnsi="Times New Roman"/>
          <w:b w:val="false"/>
          <w:i/>
          <w:color w:val="000000"/>
          <w:sz w:val="20"/>
        </w:rPr>
        <w:t xml:space="preserve">pandrecht). </w:t>
      </w:r>
      <w:r>
        <w:rPr>
          <w:rFonts w:ascii="Times New Roman" w:hAnsi="Times New Roman"/>
          <w:b w:val="false"/>
          <w:i w:val="false"/>
          <w:color w:val="000000"/>
          <w:sz w:val="20"/>
        </w:rPr>
        <w:t xml:space="preserve">Shares which are not entitled to voting rights pursuant to the preceding sentences will not be taken into account for the purpose of determining the number of shareholders that vote and that are present or represented, or the amount of the share capital that is provided or that is represented at a general meeting. </w:t>
      </w:r>
    </w:p>
    <w:p>
      <w:pPr>
        <w:spacing w:before="120" w:after="0"/>
        <w:ind w:left="120"/>
        <w:jc w:val="left"/>
      </w:pPr>
      <w:r>
        <w:rPr>
          <w:rFonts w:ascii="Times New Roman" w:hAnsi="Times New Roman"/>
          <w:b w:val="false"/>
          <w:i w:val="false"/>
          <w:color w:val="000000"/>
          <w:sz w:val="20"/>
        </w:rPr>
        <w:t xml:space="preserve"> In accordance with our Articles of Association, for each general meeting of shareholders, the board of directors may determine that a record date will be applied in order to establish which shareholders are entitled to attend and vote at the general meeting of shareholders. Such record date shall be the 28th day prior to the day of the general meeting. The record date and the manner in which shareholders can register and exercise their rights will be set out in the notice of the meeting which must be published in a Dutch daily newspaper with national distribution at least 15 calendar days prior to the meeting (and such notice may therefore be published after the record date for such meeting). Under our Articles of Association, shareholders and others with meeting rights under Dutch law must notify us in writing or by electronic means of their identity and intention to attend the general meeting. This notice must be received by us ultimately on the seventh day prior to the general meeting, unless indicated otherwise when such meeting is convened.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each shareholder is entitled to one vote per share of stock, unless the certificate of incorporation provides otherwise. In addition, the certificate of incorporation may provide for cumulative voting at all elections of directors of the corporation, or at elections held under specified circumstances. Either the certificate of incorporation or the bylaws may specify the number of shares and/or the amount of other securities that must be represented at a meeting in order to constitute a quorum, but in no event will a quorum consist of less than one-third of the shares entitled to vote at a meeting. </w:t>
      </w:r>
    </w:p>
    <w:p>
      <w:pPr>
        <w:spacing w:before="120" w:after="0"/>
        <w:ind w:left="120"/>
        <w:jc w:val="left"/>
      </w:pPr>
      <w:r>
        <w:rPr>
          <w:rFonts w:ascii="Times New Roman" w:hAnsi="Times New Roman"/>
          <w:b w:val="false"/>
          <w:i w:val="false"/>
          <w:color w:val="000000"/>
          <w:sz w:val="20"/>
        </w:rPr>
        <w:t xml:space="preserve"> Shareholders as of the record date for the meeting are entitled to vote at the meeting, and the board of directors may fix a record date that is no more than 60 nor less than 10 days before the date of the meeting, and if no record date is set then the record date is the close of business on the day next preceding the day on which notice is given, or if notice is waived then the record date is the close of business on the day next preceding the day on which the meeting is held. The determination of the shareholders of record entitled to notice or to vote at a meeting of shareholders shall apply to any adjournment of the meeting, but the board of directors may fix a new record date for the adjourned meeting. </w:t>
      </w:r>
    </w:p>
    <w:p>
      <w:pPr>
        <w:spacing w:before="280" w:after="0"/>
        <w:ind w:left="120"/>
        <w:jc w:val="left"/>
      </w:pPr>
      <w:r>
        <w:rPr>
          <w:rFonts w:ascii="Times New Roman" w:hAnsi="Times New Roman"/>
          <w:b w:val="false"/>
          <w:i/>
          <w:color w:val="000000"/>
          <w:sz w:val="20"/>
        </w:rPr>
        <w:t xml:space="preserve"> Shareholder proposals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Pursuant to our Articles of Association, extraordinary general meetings of shareholders will be held whenever required under Dutch law or whenever our board of directors deems such to be appropriate or necessary. Pursuant to Dutch law, one or more shareholders or others with meeting rights under Dutch law representing at least one-tenth of the issued share capital may request us to convene a general meeting, setting out in detail the matters to be discussed. If our board of directors has not taken the steps necessary to ensure that such meeting can be held within six weeks after the request, the requesting party or parties may, on their application, be authorized by the competent Dutch court in preliminary relief proceedings to convene a general meeting of shareholders. The court shall disallow the application if it does not appear that the proponent(s) has/have previously requested our board of directors to convene a general meeting and our board of directors has not taken the necessary steps so that the general meeting could be held within six weeks after the request. The application shall also be disallowed if the proponent(s) has/have not demonstrated to have a reasonable interest in the convening of the general meeting. </w:t>
      </w:r>
    </w:p>
    <w:p>
      <w:pPr>
        <w:spacing w:before="120" w:after="0"/>
        <w:ind w:left="120"/>
        <w:jc w:val="left"/>
      </w:pPr>
      <w:r>
        <w:rPr>
          <w:rFonts w:ascii="Times New Roman" w:hAnsi="Times New Roman"/>
          <w:b w:val="false"/>
          <w:i w:val="false"/>
          <w:color w:val="000000"/>
          <w:sz w:val="20"/>
        </w:rPr>
        <w:t xml:space="preserve"> Also, the agenda for a general meeting of shareholders shall include such items requested by one or more shareholders, and others entitled to attend general meetings of shareholders, representing at least 3% of the issued share capital, except where the articles of association state a lower percentage. Our Articles of Association do not state such lower percentage. Requests must be made in writing or by electronic means and received by the board of directors at least 60 days before the day of the meeting. </w:t>
      </w:r>
    </w:p>
    <w:p>
      <w:pPr>
        <w:spacing w:before="120" w:after="0"/>
        <w:ind w:left="120"/>
        <w:jc w:val="left"/>
      </w:pPr>
      <w:r>
        <w:rPr>
          <w:rFonts w:ascii="Times New Roman" w:hAnsi="Times New Roman"/>
          <w:b w:val="false"/>
          <w:i w:val="false"/>
          <w:color w:val="000000"/>
          <w:sz w:val="20"/>
        </w:rPr>
        <w:t xml:space="preserve"> In accordance with the DCGC, a shareholder shall exercise the right of putting an item on the agenda only after consulting the board of directors in that respect. If one or more shareholders intend to request that an item be put on the agenda that may result in a change in the company’s strategy (e.g., the removal of directors), the board of directors should be given the opportunity to invoke a reasonable response time of up to 180 days from the moment the board of directors is informed of the intentions of the shareholder(s). If invoked, the board of directors shall use such response period for further deliberation and constructive consultation, in any event with </w:t>
      </w:r>
    </w:p>
    <w:p>
      <w:pPr>
        <w:spacing w:before="189" w:after="0"/>
        <w:ind w:left="120"/>
        <w:jc w:val="center"/>
      </w:pPr>
      <w:r>
        <w:rPr>
          <w:rFonts w:ascii="Times New Roman" w:hAnsi="Times New Roman"/>
          <w:b w:val="false"/>
          <w:i w:val="false"/>
          <w:color w:val="000000"/>
          <w:sz w:val="20"/>
        </w:rPr>
        <w:t xml:space="preserve"> 21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6" w:id="34"/>
      <w:r>
        <w:rPr>
          <w:rFonts w:ascii="Times New Roman" w:hAnsi="Times New Roman"/>
          <w:b w:val="false"/>
          <w:i w:val="false"/>
          <w:color w:val="0000ff"/>
          <w:sz w:val="22"/>
        </w:rPr>
        <w:t/>
      </w:r>
      <w:bookmarkEnd w:id="3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the shareholders concerned, and shall explore alternatives. At the end of the response time, the board of directors shall report on this consultation and the exploration of alternatives to the general meeting of shareholders. The response period may be invoked only once for any given general meeting of shareholders and shall not apply: (a) in respect of a matter for which a response period or a cooling-off period (as referred to below) has been previously invoked; or (b) if a shareholder holds at least 75% of the Company’s issued share capital as a consequence of a successful public bid. The response period may also be invoked in response to shareholders or others with meeting rights under Dutch law requesting that a general meeting of shareholders be convened, as described above. </w:t>
      </w:r>
    </w:p>
    <w:p>
      <w:pPr>
        <w:spacing w:before="120" w:after="0"/>
        <w:ind w:left="120"/>
        <w:jc w:val="left"/>
      </w:pPr>
      <w:r>
        <w:rPr>
          <w:rFonts w:ascii="Times New Roman" w:hAnsi="Times New Roman"/>
          <w:b w:val="false"/>
          <w:i w:val="false"/>
          <w:color w:val="000000"/>
          <w:sz w:val="20"/>
        </w:rPr>
        <w:t xml:space="preserve"> Moreover, our board of directors can invoke a cooling-off period of up to 250 days when shareholders, using their right to have items added to the agenda for a general meeting or their right to request a general meeting, propose an agenda item for our general meeting to dismiss, suspend or appoint one or more directors (or to amend any provision in our Articles of Association dealing with those matters) or when a public offer for our company is made or announced without our support, provided, in each case, that our board of directors believes that such proposal or offer materially conflicts with the interests of our company and its business. During a cooling-off period, our general meeting cannot dismiss, suspend or appoint directors (or amend the provisions in our Articles of Association dealing with those matters) except at the proposal of our board of directors. During a cooling-off period, our board of directors must gather all relevant information necessary for a careful decision-making process and at least consult with shareholders representing 3% or more of our issued share capital at the time the cooling-off period was invoked, as well as with our Dutch works council (if we or, under certain circumstances, any of our subsidiaries would have one). Formal statements expressed by these stakeholders during such consultations must be published on our website to the extent these stakeholders have approved that publication. Ultimately one week following the last day of the cooling-off period, our board of directors must publish a report in respect of its policy and conduct of affairs during the cooling-off period on our website. This report must remain available for inspection by shareholders and others with meeting rights under Dutch law at our office and must be tabled for discussion at the next general meeting. Shareholders representing at least 3% of our issued share capital may request the Enterprise Chamber of the Amsterdam Court of Appeal, or the Enterprise Chamber (</w:t>
      </w:r>
      <w:r>
        <w:rPr>
          <w:rFonts w:ascii="Times New Roman" w:hAnsi="Times New Roman"/>
          <w:b w:val="false"/>
          <w:i/>
          <w:color w:val="000000"/>
          <w:sz w:val="20"/>
        </w:rPr>
        <w:t>Ondernemingskamer</w:t>
      </w:r>
      <w:r>
        <w:rPr>
          <w:rFonts w:ascii="Times New Roman" w:hAnsi="Times New Roman"/>
          <w:b w:val="false"/>
          <w:i w:val="false"/>
          <w:color w:val="000000"/>
          <w:sz w:val="20"/>
        </w:rPr>
        <w:t xml:space="preserve">), for early termination of the cooling-off period. The Enterprise Chamber must rule in favor of the request if the shareholders can demonstrate that: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board of directors, in light of the circumstances at hand when the cooling-off period was invoked, could not reasonably have concluded that the relevant proposal or hostile offer constituted a material conflict with the interests of our company and its business;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board of directors cannot reasonably believe that a continuation of the cooling-off period would contribute to careful policy-making;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defensive measures, having the same purpose, nature and scope as the cooling-off period, have been activated during the cooling-off period and have not since been terminated or suspended within a reasonable period at the relevant shareholders’ request (i.e., no ‘stacking’ of defensive measures). </w:t>
            </w:r>
          </w:p>
        </w:tc>
      </w:tr>
    </w:tbl>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Delaware law does not specifically grant shareholders the right to bring business before an annual or special meeting. However, if a Delaware corporation is subject to the SEC’s proxy rules, a shareholder who owns at least $2,000 in market value, or 1% of the corporation’s securities entitled to vote, and has owned such securities for at least one year, may propose a matter for a vote at an annual or special meeting in accordance with those rules. </w:t>
      </w:r>
    </w:p>
    <w:p>
      <w:pPr>
        <w:spacing w:before="400" w:after="0"/>
        <w:ind w:left="120"/>
        <w:jc w:val="left"/>
      </w:pPr>
      <w:r>
        <w:rPr>
          <w:rFonts w:ascii="Times New Roman" w:hAnsi="Times New Roman"/>
          <w:b w:val="false"/>
          <w:i/>
          <w:color w:val="000000"/>
          <w:sz w:val="20"/>
        </w:rPr>
        <w:t xml:space="preserve"> Action by written consent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shareholders’ resolutions may be adopted in writing without holding a meeting of shareholders, provided that (i) the articles of association allow such action by written consent, (ii) the company has not issued bearer shares or, with its cooperation, depository receipts for shares in its capital, and (iii) the resolution is adopted unanimously by all shareholders that are entitled to vote. The requirement of unanimity renders the adoption of shareholder resolutions without holding a meeting not feasible for publicly traded companies.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Although permitted by Delaware law, publicly listed companies do not typically permit shareholders of a corporation to take action by written consent. </w:t>
      </w:r>
    </w:p>
    <w:p>
      <w:pPr>
        <w:spacing w:before="189" w:after="0"/>
        <w:ind w:left="120"/>
        <w:jc w:val="center"/>
      </w:pPr>
      <w:r>
        <w:rPr>
          <w:rFonts w:ascii="Times New Roman" w:hAnsi="Times New Roman"/>
          <w:b w:val="false"/>
          <w:i w:val="false"/>
          <w:color w:val="000000"/>
          <w:sz w:val="20"/>
        </w:rPr>
        <w:t xml:space="preserve"> 22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7" w:id="35"/>
      <w:r>
        <w:rPr>
          <w:rFonts w:ascii="Times New Roman" w:hAnsi="Times New Roman"/>
          <w:b w:val="false"/>
          <w:i w:val="false"/>
          <w:color w:val="0000ff"/>
          <w:sz w:val="22"/>
        </w:rPr>
        <w:t/>
      </w:r>
      <w:bookmarkEnd w:id="35"/>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color w:val="000000"/>
          <w:sz w:val="20"/>
        </w:rPr>
        <w:t xml:space="preserve"> Appraisal rights </w:t>
      </w:r>
    </w:p>
    <w:p>
      <w:pPr>
        <w:spacing w:before="14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val="false"/>
          <w:i w:val="false"/>
          <w:color w:val="000000"/>
          <w:sz w:val="20"/>
        </w:rPr>
        <w:t xml:space="preserve"> Subject to certain exceptions, Dutch law does not recognize the concept of appraisal or dissenters’ rights. However, Dutch law does provide for squeeze-out procedures as described under “Dividends and Other Distributions — Squeeze-Out Procedures.” Also, Dutch law provides for cash exit rights in certain situations for shareholders of a company organized under Dutch law entering into certain types of mergers, demergers or conversion. In those situations, a shareholder may file a claim with the Dutch company for compensation or re-examination of the exchange ratio, as applicable, subject to certain conditions and in accordance with the procedures stipulated by Dutch law. Such compensation shall then be determined by one or more independent experts. Except in the case of a shareholder seeking re-examination of an exchange ratio, the shares of such shareholder that are subject to such claim will cease to exist as of the moment of entry into effect of the merger, demerger or conversion.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The Delaware General Corporation Law provides for shareholder appraisal rights, or the right to demand payment in cash of the judicially determined fair value of the shareholder’s shares, in connection with certain mergers and consolidations. </w:t>
      </w:r>
    </w:p>
    <w:p>
      <w:pPr>
        <w:spacing w:before="300" w:after="0"/>
        <w:ind w:left="120"/>
        <w:jc w:val="left"/>
      </w:pPr>
      <w:r>
        <w:rPr>
          <w:rFonts w:ascii="Times New Roman" w:hAnsi="Times New Roman"/>
          <w:b w:val="false"/>
          <w:i/>
          <w:color w:val="000000"/>
          <w:sz w:val="20"/>
        </w:rPr>
        <w:t xml:space="preserve"> Shareholder suits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In the event a third party is liable to a Dutch company, only the company itself can bring a civil action against that party. The individual shareholders do not have the right to bring an action on behalf of the company. Only in the event that the cause for the liability of a third party to the company also constitutes a tortious act directly against a shareholder does that shareholder have an individual right of action against such third party in its own name. Dutch law provides for the possibility to initiate such actions collectively, in which a foundation or an association can act as a class representative and has standing to commence proceedings and claim damages if certain criteria are met. The court will first determine if those criteria are met. If so, the case will go forward as a class action on the merits after a period allowing class members to opt out from the case has lapsed. All members of the class who are residents of the Netherlands and who did not opt-out will be bound to the outcome of the case. Residents of other countries must actively opt in in order to be able to benefit from the class action. The defendant is not required to file defenses on the merits prior to the merits phase having commenced. It is possible for the parties to reach a settlement during the merits phase. Such a settlement can be approved by the court, which approval will then bind the members of the class, subject to a second opt-out. This regime applies to claims brought after January 1, 2020 and which relate to certain events that occurred prior to that date. For other matters, the former Dutch class actions regime will apply. Under the old regime, no monetary damages can be sought. Also, a judgment rendered under the old regime will not always bind all individual class members. Even though Dutch law does not provide for derivative suits, directors and officers can still be subject to liability under U.S. securities laws.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 shareholder may bring a derivative action on behalf of the corporation to enforce the rights of the corporation. An individual also may commence a class action suit on behalf of himself and other similarly situated shareholders where the requirements for maintaining a class action under Delaware law have been met. A person may institute and maintain such a suit only if that person was a shareholder at the time of the transaction which is the subject of the suit. In addition, under Delaware case law, the plaintiff normally must be a shareholder at the time of the transaction that is the subject of the suit and throughout the duration of the derivative suit. Delaware law also requires that the derivative plaintiff make a demand on the directors of the corporation to assert the corporate claim before the suit may be prosecuted by the derivative plaintiff in court, unless such a demand would be futile. </w:t>
      </w:r>
    </w:p>
    <w:p>
      <w:pPr>
        <w:spacing w:before="300" w:after="0"/>
        <w:ind w:left="120"/>
        <w:jc w:val="left"/>
      </w:pPr>
      <w:r>
        <w:rPr>
          <w:rFonts w:ascii="Times New Roman" w:hAnsi="Times New Roman"/>
          <w:b w:val="false"/>
          <w:i/>
          <w:color w:val="000000"/>
          <w:sz w:val="20"/>
        </w:rPr>
        <w:t xml:space="preserve"> Repurchase of shares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when issuing shares, a public company with limited liability such as ours may not subscribe for newly issued shares in its own capital. Such company may, however, subject to certain restrictions of Dutch law and its articles of association, acquire shares in its own capital. A listed public company with limited liability such as ours may acquire fully paid shares in its own capital at any time for no valuable consideration. Furthermore, subject to certain provisions of Dutch law and its articles of association, such company may repurchase fully paid shares in its own capital if (i) the company’s shareholders’ equity less the payment required to make the acquisition does not fall below the sum of paid-up and called-up share capital </w:t>
      </w:r>
    </w:p>
    <w:p>
      <w:pPr>
        <w:spacing w:before="189" w:after="0"/>
        <w:ind w:left="120"/>
        <w:jc w:val="center"/>
      </w:pPr>
      <w:r>
        <w:rPr>
          <w:rFonts w:ascii="Times New Roman" w:hAnsi="Times New Roman"/>
          <w:b w:val="false"/>
          <w:i w:val="false"/>
          <w:color w:val="000000"/>
          <w:sz w:val="20"/>
        </w:rPr>
        <w:t xml:space="preserve"> 23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8" w:id="36"/>
      <w:r>
        <w:rPr>
          <w:rFonts w:ascii="Times New Roman" w:hAnsi="Times New Roman"/>
          <w:b w:val="false"/>
          <w:i w:val="false"/>
          <w:color w:val="0000ff"/>
          <w:sz w:val="22"/>
        </w:rPr>
        <w:t/>
      </w:r>
      <w:bookmarkEnd w:id="36"/>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plus any reserves required by Dutch law or its articles of association and (ii) the aggregate nominal value of shares of the company which the company acquires, holds or on which the company holds a pledge (</w:t>
      </w:r>
      <w:r>
        <w:rPr>
          <w:rFonts w:ascii="Times New Roman" w:hAnsi="Times New Roman"/>
          <w:b w:val="false"/>
          <w:i/>
          <w:color w:val="000000"/>
          <w:sz w:val="20"/>
        </w:rPr>
        <w:t>pandrecht</w:t>
      </w:r>
      <w:r>
        <w:rPr>
          <w:rFonts w:ascii="Times New Roman" w:hAnsi="Times New Roman"/>
          <w:b w:val="false"/>
          <w:i w:val="false"/>
          <w:color w:val="000000"/>
          <w:sz w:val="20"/>
        </w:rPr>
        <w:t xml:space="preserve">) or which are held by a subsidiary of the company, would not exceed 50% of its then current issued share capital. Such company may only acquire its own shares if its general meeting of shareholders has granted the board of directors the authority to effect such acquisitions. </w:t>
      </w:r>
    </w:p>
    <w:p>
      <w:pPr>
        <w:spacing w:before="120" w:after="0"/>
        <w:ind w:left="120"/>
        <w:jc w:val="left"/>
      </w:pPr>
      <w:r>
        <w:rPr>
          <w:rFonts w:ascii="Times New Roman" w:hAnsi="Times New Roman"/>
          <w:b w:val="false"/>
          <w:i w:val="false"/>
          <w:color w:val="000000"/>
          <w:sz w:val="20"/>
        </w:rPr>
        <w:t xml:space="preserve"> An acquisition of ordinary shares for a consideration must be authorized by our general meeting of shareholders. Such authorization may be granted for a maximum period of 18 months and must specify the number of ordinary shares that may be acquired, the manner in which ordinary shares may be acquired and the price limits within which ordinary shares may be acquired. Authorization is not required for the acquisition of ordinary shares in order to transfer them to our employees. The actual acquisition may only be effected by a resolution of our board of directors. </w:t>
      </w:r>
    </w:p>
    <w:p>
      <w:pPr>
        <w:spacing w:before="120" w:after="0"/>
        <w:ind w:left="120"/>
        <w:jc w:val="left"/>
      </w:pPr>
      <w:r>
        <w:rPr>
          <w:rFonts w:ascii="Times New Roman" w:hAnsi="Times New Roman"/>
          <w:b w:val="false"/>
          <w:i w:val="false"/>
          <w:color w:val="000000"/>
          <w:sz w:val="20"/>
        </w:rPr>
        <w:t xml:space="preserve"> No authorization of the general meeting of shareholders is required if ordinary shares are acquired by us with the intention of transferring such ordinary shares to our employees under an applicable employee stock purchase plan.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 corporation may purchase or redeem its own shares unless the capital of the corporation is impaired or the purchase or redemption would cause an impairment of the capital of the corporation. A Delaware corporation may, however, purchase or redeem out of capital any of its preferred shares or, if no preferred shares are outstanding, any of its own shares if such shares will be retired upon acquisition and the capital of the corporation will be reduced in accordance with specified limitations. </w:t>
      </w:r>
    </w:p>
    <w:p>
      <w:pPr>
        <w:spacing w:before="410" w:after="0"/>
        <w:ind w:left="120"/>
        <w:jc w:val="left"/>
      </w:pPr>
      <w:r>
        <w:rPr>
          <w:rFonts w:ascii="Times New Roman" w:hAnsi="Times New Roman"/>
          <w:b/>
          <w:i/>
          <w:color w:val="000000"/>
          <w:sz w:val="20"/>
        </w:rPr>
        <w:t xml:space="preserve"> Anti-Takeover Provisions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various protective measures are possible and permissible within the boundaries set by Dutch law and Dutch case law. We have adopted several provisions that may have the effect of making a takeover of our company more difficult or less attractive, including: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authorization of a class of preferred shares that may be issued by our board of directors to the protective foundation, in such a manner as to dilute the interest of any potential acquirer;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staggered multi-year terms of our directors (with subsequent terms as may be nominated by our board of directors and approved by our general meeting of shareholders), as a result of which only part of our directors may be subject to election or re-election in any one year;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provision that our directors may only be removed at the general meeting of shareholders by a two-thirds majority of votes cast representing more than 50% of our outstanding share capital if such removal is not proposed by our board of directors;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directors being appointed on the basis of a binding nomination by our board of directors, which can only be overruled by the general meeting of shareholders by a resolution adopted by at least a two-thirds majority of the votes cast, provided such majority represents more than half of the issued share capital (in which case the board of directors shall make a new nomination);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provision allowing, among other matters, the former chairman of our board of directors or our former chief executive officer, as applicable, to manage our affairs if all of our directors are removed from office and to appoint others to be charged with the management and supervision of our affairs until new directors are appointed by the general meeting of shareholders on the basis of a binding nomination discussed above;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requirements that certain matters, including an amendment of our Articles of Association, may only be brought to our shareholders for a vote upon a proposal by our board of directors. </w:t>
            </w:r>
          </w:p>
        </w:tc>
      </w:tr>
    </w:tbl>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In addition to other aspects of Delaware law governing fiduciary duties of directors during a potential takeover, the Delaware General Corporation Law also contains a business combination statute that protects Delaware companies from hostile takeovers and from actions following the takeover by prohibiting some transactions once an acquirer has gained a significant holding in the corporation. </w:t>
      </w:r>
    </w:p>
    <w:p>
      <w:pPr>
        <w:spacing w:before="189" w:after="0"/>
        <w:ind w:left="120"/>
        <w:jc w:val="center"/>
      </w:pPr>
      <w:r>
        <w:rPr>
          <w:rFonts w:ascii="Times New Roman" w:hAnsi="Times New Roman"/>
          <w:b w:val="false"/>
          <w:i w:val="false"/>
          <w:color w:val="000000"/>
          <w:sz w:val="20"/>
        </w:rPr>
        <w:t xml:space="preserve"> 24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9" w:id="37"/>
      <w:r>
        <w:rPr>
          <w:rFonts w:ascii="Times New Roman" w:hAnsi="Times New Roman"/>
          <w:b w:val="false"/>
          <w:i w:val="false"/>
          <w:color w:val="0000ff"/>
          <w:sz w:val="22"/>
        </w:rPr>
        <w:t/>
      </w:r>
      <w:bookmarkEnd w:id="37"/>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Section 203 of the Delaware General Corporation Law prohibits “business combinations,” including mergers, sales and leases of assets, issuances of securities and similar transactions by a corporation or a subsidiary with an interested shareholder that beneficially owns 15% or more of a corporation’s voting stock, within three years after the person becomes an interested shareholder, unless: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transaction that will cause the person to become an interested shareholder is approved by the board of directors of the target prior to the transactions;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after the completion of the transaction in which the person becomes an interested shareholder, the interested shareholder holds at least 85% of the voting stock of the corporation not including shares owned by persons who are directors and officers of interested shareholders and shares owned by specified employee benefit plans;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after the person becomes an interested shareholder, the business combination is approved by the board of directors of the corporation and holders of at least 66 and two-thirds percent of the outstanding voting stock, excluding shares held by the interested shareholder. </w:t>
            </w:r>
          </w:p>
        </w:tc>
      </w:tr>
    </w:tbl>
    <w:p>
      <w:pPr>
        <w:spacing w:before="120" w:after="0"/>
        <w:ind w:left="120"/>
        <w:jc w:val="left"/>
      </w:pPr>
      <w:r>
        <w:rPr>
          <w:rFonts w:ascii="Times New Roman" w:hAnsi="Times New Roman"/>
          <w:b w:val="false"/>
          <w:i w:val="false"/>
          <w:color w:val="000000"/>
          <w:sz w:val="20"/>
        </w:rPr>
        <w:t xml:space="preserve"> A Delaware corporation may elect not to be governed by Section 203 by a provision contained in the original certificate of incorporation of the corporation or an amendment to the original certificate of incorporation or to the bylaws of the company, which amendment must be approved by a majority of the shares entitled to vote and may not be further amended by the board of directors of the corporation. In most cases, such an amendment is not effective until 12 months following its adoption. </w:t>
      </w:r>
    </w:p>
    <w:p>
      <w:pPr>
        <w:spacing w:before="240" w:after="0"/>
        <w:ind w:left="120"/>
        <w:jc w:val="left"/>
      </w:pPr>
      <w:r>
        <w:rPr>
          <w:rFonts w:ascii="Times New Roman" w:hAnsi="Times New Roman"/>
          <w:b/>
          <w:i/>
          <w:color w:val="000000"/>
          <w:sz w:val="20"/>
        </w:rPr>
        <w:t xml:space="preserve"> Inspection of Books and Records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The board of directors must provide the general meeting all information that it requires, unless this would be contrary to an overriding interest of our company. If the board of directors invokes such an overriding interest, it must give reasons.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any shareholder may inspect for any proper purpose certain of the corporation’s books and records during the corporation’s usual hours of business. </w:t>
      </w:r>
    </w:p>
    <w:p>
      <w:pPr>
        <w:spacing w:before="240" w:after="0"/>
        <w:ind w:left="120"/>
        <w:jc w:val="left"/>
      </w:pPr>
      <w:r>
        <w:rPr>
          <w:rFonts w:ascii="Times New Roman" w:hAnsi="Times New Roman"/>
          <w:b/>
          <w:i/>
          <w:color w:val="000000"/>
          <w:sz w:val="20"/>
        </w:rPr>
        <w:t xml:space="preserve"> Removal of Directors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our Articles of Association, the general meeting of shareholders shall at all times be entitled to suspend or dismiss a director. The general meeting of shareholders may only adopt a resolution to suspend or dismiss a director by at least a two-thirds majority of the votes cast, provided such majority represents more than half of the issued share capital, unless the proposal was made by the board of directors, in which latter case a simple majority is sufficient.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any director or the entire board of directors may be removed, with or without cause, by the holders of a majority of the shares then entitled to vote at an election of directors, except (i) unless the certificate of incorporation provides otherwise, in the case of a corporation whose board is classified, shareholders may effect such removal only for cause, or (ii) in the case of a corporation having cumulative voting, if less than the entire board is to be removed, no director may be removed without cause if the votes cast against his removal would be sufficient to elect him if then cumulatively voted at an election of the entire board of directors, or, if there are classes of directors, at an election of the class of directors of which he is a part. </w:t>
      </w:r>
    </w:p>
    <w:p>
      <w:pPr>
        <w:spacing w:before="240" w:after="0"/>
        <w:ind w:left="120"/>
        <w:jc w:val="left"/>
      </w:pPr>
      <w:r>
        <w:rPr>
          <w:rFonts w:ascii="Times New Roman" w:hAnsi="Times New Roman"/>
          <w:b/>
          <w:i/>
          <w:color w:val="000000"/>
          <w:sz w:val="20"/>
        </w:rPr>
        <w:t xml:space="preserve"> Issuance of Shares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a company’s general meeting is the corporate body authorized to resolve on the issuance of shares and the granting of rights to subscribe for shares. The general meeting can delegate such authority to another corporate body of the company, such as the board of directors, for a period not exceeding five years. </w:t>
      </w:r>
    </w:p>
    <w:p>
      <w:pPr>
        <w:spacing w:before="120" w:after="0"/>
        <w:ind w:left="120"/>
        <w:jc w:val="left"/>
      </w:pPr>
      <w:r>
        <w:rPr>
          <w:rFonts w:ascii="Times New Roman" w:hAnsi="Times New Roman"/>
          <w:b w:val="false"/>
          <w:i w:val="false"/>
          <w:color w:val="000000"/>
          <w:sz w:val="20"/>
        </w:rPr>
        <w:t xml:space="preserve"> At our annual general meeting of shareholders, our board of directors intends to request - and has obtained at our most recent annual general meeting of shareholders - an authorization to issue shares and grant rights to subscribe for shares, subject to the terms and for the periods specified in such authorization.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All creation of shares require the board of directors to adopt a resolution or resolutions, pursuant to authority expressly vested in the board of directors by the provisions of the company’s certificate of incorporation. </w:t>
      </w:r>
    </w:p>
    <w:p>
      <w:pPr>
        <w:spacing w:before="189" w:after="0"/>
        <w:ind w:left="120"/>
        <w:jc w:val="center"/>
      </w:pPr>
      <w:r>
        <w:rPr>
          <w:rFonts w:ascii="Times New Roman" w:hAnsi="Times New Roman"/>
          <w:b w:val="false"/>
          <w:i w:val="false"/>
          <w:color w:val="000000"/>
          <w:sz w:val="20"/>
        </w:rPr>
        <w:t xml:space="preserve"> 25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10" w:id="38"/>
      <w:r>
        <w:rPr>
          <w:rFonts w:ascii="Times New Roman" w:hAnsi="Times New Roman"/>
          <w:b w:val="false"/>
          <w:i w:val="false"/>
          <w:color w:val="0000ff"/>
          <w:sz w:val="22"/>
        </w:rPr>
        <w:t/>
      </w:r>
      <w:bookmarkEnd w:id="38"/>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color w:val="000000"/>
          <w:sz w:val="20"/>
        </w:rPr>
        <w:t xml:space="preserve"> Preemptive Rights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in the event of an issuance of ordinary shares, each shareholder will have a pro rata preemptive right in proportion to the aggregate nominal value of the ordinary shares held by such holder (with the exception of ordinary shares to be issued to employees or ordinary shares issued against a contribution other than in cash or pursuant to the exercise of a previously acquired right to subscribe for shares). Under our Articles of Association, the preemptive rights in respect of newly issued ordinary shares may be restricted or excluded by a resolution of the general meeting of shareholders upon proposal of the board of directors. Our preferred shares carry no preemptive rights. </w:t>
      </w:r>
    </w:p>
    <w:p>
      <w:pPr>
        <w:spacing w:before="120" w:after="0"/>
        <w:ind w:left="120"/>
        <w:jc w:val="left"/>
      </w:pPr>
      <w:r>
        <w:rPr>
          <w:rFonts w:ascii="Times New Roman" w:hAnsi="Times New Roman"/>
          <w:b w:val="false"/>
          <w:i w:val="false"/>
          <w:color w:val="000000"/>
          <w:sz w:val="20"/>
        </w:rPr>
        <w:t xml:space="preserve"> The board of directors may restrict or exclude the preemptive rights in respect of newly issued ordinary shares if it has been designated as the authorized body to do so by the general meeting of shareholders. Such designation can be granted for a period not exceeding five years. A resolution of the general meeting of shareholders to restrict or exclude the preemptive rights or to designate the board of directors as the authorized body to do so requires a majority of not less than two-thirds of the votes cast, if less than one-half of our issued share capital is represented at the meeting. </w:t>
      </w:r>
    </w:p>
    <w:p>
      <w:pPr>
        <w:spacing w:before="120" w:after="0"/>
        <w:ind w:left="120"/>
        <w:jc w:val="left"/>
      </w:pPr>
      <w:r>
        <w:rPr>
          <w:rFonts w:ascii="Times New Roman" w:hAnsi="Times New Roman"/>
          <w:b w:val="false"/>
          <w:i w:val="false"/>
          <w:color w:val="000000"/>
          <w:sz w:val="20"/>
        </w:rPr>
        <w:t xml:space="preserve"> In conjunction with our requested annual authorization to issue shares and grant rights to subscribe for shares at our annual general meeting of shareholders, subject to the terms and for the periods specified in such authorization, our board of directors intends to request – and has obtained at our most recent annual general meeting of shareholders – authorization to limit or exclude preemptive rights in relation to such an issuance or grant.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shareholders have no preemptive rights to subscribe for additional issues of stock or to any security convertible into such stock unless, and to the extent that, such rights are expressly provided for in the certificate of incorporation. </w:t>
      </w:r>
    </w:p>
    <w:p>
      <w:pPr>
        <w:spacing w:before="300" w:after="0"/>
        <w:ind w:left="120"/>
        <w:jc w:val="left"/>
      </w:pPr>
      <w:r>
        <w:rPr>
          <w:rFonts w:ascii="Times New Roman" w:hAnsi="Times New Roman"/>
          <w:b/>
          <w:i/>
          <w:color w:val="000000"/>
          <w:sz w:val="20"/>
        </w:rPr>
        <w:t xml:space="preserve"> Dividends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Dutch law provides that dividends may be distributed after adoption of the annual accounts by the general meeting of shareholders from which it appears that such dividend distribution is allowed. Moreover, dividends may be distributed only to the extent the shareholders’ equity exceeds the amount of the paid-up and called-up issued share capital and the reserves that must be maintained under the law or the Articles of Association. Interim dividends may be declared as provided in the Articles of Association and may be distributed to the extent that the shareholders’ equity exceeds the amount of the paid-up and called-up issued share capital plus any reserves as described above as apparent from our financial statements. Under Dutch law, the Articles of Association may prescribe that the board of directors decide what portion of the profits are to be held as reserves. </w:t>
      </w:r>
    </w:p>
    <w:p>
      <w:pPr>
        <w:spacing w:before="120" w:after="0"/>
        <w:ind w:left="120"/>
        <w:jc w:val="left"/>
      </w:pPr>
      <w:r>
        <w:rPr>
          <w:rFonts w:ascii="Times New Roman" w:hAnsi="Times New Roman"/>
          <w:b w:val="false"/>
          <w:i w:val="false"/>
          <w:color w:val="000000"/>
          <w:sz w:val="20"/>
        </w:rPr>
        <w:t xml:space="preserve"> Under the Articles of Association, first, a dividend is paid out of the profit, if available for distribution, on the preferred shares (if applicable). Any amount remaining out of the profit is carried to reserve as the board of directors determines. After reservation by the board of directors of any profit, the remaining profit will be at the disposal of the general meeting of shareholders. We only make a distribution of dividends to our shareholders after the adoption of our annual accounts demonstrating that such distribution is legally permitted. The board of directors is permitted, subject to certain requirements, to declare interim dividends without the approval of the general meeting of shareholders. </w:t>
      </w:r>
    </w:p>
    <w:p>
      <w:pPr>
        <w:spacing w:before="120" w:after="0"/>
        <w:ind w:left="120"/>
        <w:jc w:val="left"/>
      </w:pPr>
      <w:r>
        <w:rPr>
          <w:rFonts w:ascii="Times New Roman" w:hAnsi="Times New Roman"/>
          <w:b w:val="false"/>
          <w:i w:val="false"/>
          <w:color w:val="000000"/>
          <w:sz w:val="20"/>
        </w:rPr>
        <w:t xml:space="preserve"> Dividends and other distributions shall be made payable not later than the date determined by the board of directors. Claims to dividends and other distributions not made within five years from the date that such dividends or distributions became payable, will lapse and any such amounts will be considered to have been forfeited to us (</w:t>
      </w:r>
      <w:r>
        <w:rPr>
          <w:rFonts w:ascii="Times New Roman" w:hAnsi="Times New Roman"/>
          <w:b w:val="false"/>
          <w:i/>
          <w:color w:val="000000"/>
          <w:sz w:val="20"/>
        </w:rPr>
        <w:t>verjaring</w:t>
      </w:r>
      <w:r>
        <w:rPr>
          <w:rFonts w:ascii="Times New Roman" w:hAnsi="Times New Roman"/>
          <w:b w:val="false"/>
          <w:i w:val="false"/>
          <w:color w:val="000000"/>
          <w:sz w:val="20"/>
        </w:rPr>
        <w:t xml:space="preserve">).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a Delaware corporation may pay dividends out of its surplus (the excess of net assets over capital), or in case there is no surplus, out of its net profits for the fiscal year in which the dividend is declared and/or the preceding fiscal year (provided that the amount of the capital of the corporation is not less than the aggregate amount of the capital represented by the issued and outstanding stock of all classes having a preference upon the distribution of assets). In determining the amount of surplus of a Delaware corporation, the assets of the corporation, including stock of subsidiaries owned by the corporation, must be valued at their fair market value as determined by the board of directors, without regard to their historical book value. Dividends may be paid in the form of common stock, property or cash. </w:t>
      </w:r>
    </w:p>
    <w:p>
      <w:pPr>
        <w:spacing w:before="189" w:after="0"/>
        <w:ind w:left="120"/>
        <w:jc w:val="center"/>
      </w:pPr>
      <w:r>
        <w:rPr>
          <w:rFonts w:ascii="Times New Roman" w:hAnsi="Times New Roman"/>
          <w:b w:val="false"/>
          <w:i w:val="false"/>
          <w:color w:val="000000"/>
          <w:sz w:val="20"/>
        </w:rPr>
        <w:t xml:space="preserve"> 26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6-comparison_pg11" w:id="39"/>
      <w:r>
        <w:rPr>
          <w:rFonts w:ascii="Times New Roman" w:hAnsi="Times New Roman"/>
          <w:b w:val="false"/>
          <w:i w:val="false"/>
          <w:color w:val="0000ff"/>
          <w:sz w:val="22"/>
        </w:rPr>
        <w:t/>
      </w:r>
      <w:bookmarkEnd w:id="39"/>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color w:val="000000"/>
          <w:sz w:val="20"/>
        </w:rPr>
        <w:t xml:space="preserve"> Shareholder Vote on Certain Reorganizations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and our Articles of Association, the general meeting of shareholders must approve resolutions of the board of directors relating to a significant change in the identity or the character of the company or the business of the company, which includes: </w:t>
      </w:r>
    </w:p>
    <w:tbl>
      <w:tblPr>
        <w:tblW w:w="0" w:type="auto"/>
        <w:tblCellSpacing w:w="0" w:type="dxa"/>
        <w:tblInd w:w="533" w:type="dxa"/>
        <w:tblBorders>
          <w:top w:val="none"/>
          <w:left w:val="none"/>
          <w:bottom w:val="none"/>
          <w:right w:val="none"/>
          <w:insideH w:val="none"/>
          <w:insideV w:val="none"/>
        </w:tblBorders>
      </w:tblPr>
      <w:tblGrid>
        <w:gridCol w:w="533"/>
        <w:gridCol w:w="768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68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transfer of the business or virtually the entire business to a third party;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entry into or termination of a long-term cooperation of the company or a subsidiary with another legal entity or company or as a fully liable partner in a limited partnership or general partnership, if such cooperation or termination is of a far-reaching significance for the company;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acquisition or divestment by the company or a subsidiary of a participating interest in the capital of a company having a value of at least one-third of the amount of its assets according to its balance sheet and explanatory notes or, if the company prepares a consolidated balance sheet, according to its consolidated balance sheet and explanatory notes in the last adopted annual accounts of the company. </w:t>
            </w:r>
          </w:p>
        </w:tc>
      </w:tr>
    </w:tbl>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the vote of a majority of the outstanding shares of capital stock entitled to vote thereon generally is necessary to approve a merger or consolidation or the sale of all or substantially all of the assets of a corporation. The Delaware General Corporation Law permits a corporation to include in its certificate of incorporation a provision requiring for any corporate action the vote of a larger portion of the stock or of any class or series of stock than would otherwise be required. </w:t>
      </w:r>
    </w:p>
    <w:p>
      <w:pPr>
        <w:spacing w:before="120" w:after="0"/>
        <w:ind w:left="120"/>
        <w:jc w:val="left"/>
      </w:pPr>
      <w:r>
        <w:rPr>
          <w:rFonts w:ascii="Times New Roman" w:hAnsi="Times New Roman"/>
          <w:b w:val="false"/>
          <w:i w:val="false"/>
          <w:color w:val="000000"/>
          <w:sz w:val="20"/>
        </w:rPr>
        <w:t xml:space="preserve"> Under the Delaware General Corporation Law, no vote of the shareholders of a surviving corporation to a merger is needed, however, unless required by the certificate of incorporation, if (i) the agreement of merger does not amend in any respect the certificate of incorporation of the surviving corporation, (ii) the shares of stock of the surviving corporation are not changed in the merger and (iii) the number of shares of common stock of the surviving corporation into which any other shares, securities or obligations to be issued in the merger may be converted does not exceed 20% of the surviving corporation’s common stock outstanding immediately prior to the effective date of the merger. In addition, shareholders may not be entitled to vote in certain mergers with other corporations that own 90% or more of the outstanding shares of each class of stock of such corporation, but the shareholders will be entitled to appraisal rights. </w:t>
      </w:r>
    </w:p>
    <w:p>
      <w:pPr>
        <w:spacing w:before="410" w:after="0"/>
        <w:ind w:left="120"/>
        <w:jc w:val="left"/>
      </w:pPr>
      <w:r>
        <w:rPr>
          <w:rFonts w:ascii="Times New Roman" w:hAnsi="Times New Roman"/>
          <w:b/>
          <w:i/>
          <w:color w:val="000000"/>
          <w:sz w:val="20"/>
        </w:rPr>
        <w:t xml:space="preserve"> Remuneration of Directors </w:t>
      </w:r>
    </w:p>
    <w:p>
      <w:pPr>
        <w:spacing w:before="120" w:after="0"/>
        <w:ind w:left="120"/>
        <w:jc w:val="left"/>
      </w:pPr>
      <w:r>
        <w:rPr>
          <w:rFonts w:ascii="Times New Roman" w:hAnsi="Times New Roman"/>
          <w:b w:val="false"/>
          <w:i/>
          <w:color w:val="000000"/>
          <w:sz w:val="20"/>
        </w:rPr>
        <w:t xml:space="preserve"> The Netherlands</w:t>
      </w:r>
      <w:r>
        <w:rPr>
          <w:rFonts w:ascii="Times New Roman" w:hAnsi="Times New Roman"/>
          <w:b w:val="false"/>
          <w:i w:val="false"/>
          <w:color w:val="000000"/>
          <w:sz w:val="20"/>
        </w:rPr>
        <w:t xml:space="preserve">. Under Dutch law and our Articles of Association, we must adopt a remuneration policy for our board of directors. Such remuneration policy shall be adopted by the general meeting of shareholders upon the proposal of the board of directors. The board of directors determines the remuneration of individual directors with due observance of the remuneration policy. Our executive directors may not participate in the discussions or decision-making regarding the remuneration of executive directors. A proposal by the board of directors with respect to remuneration schemes in the form of shares or rights to shares is submitted by the board of directors to the general meeting of shareholders for its approval. This proposal must set out at least the maximum number of shares or rights to subscribe for shares to be granted to the board of directors and the criteria for granting or amendment. </w:t>
      </w:r>
    </w:p>
    <w:p>
      <w:pPr>
        <w:spacing w:before="120" w:after="0"/>
        <w:ind w:left="120"/>
        <w:jc w:val="left"/>
      </w:pPr>
      <w:r>
        <w:rPr>
          <w:rFonts w:ascii="Times New Roman" w:hAnsi="Times New Roman"/>
          <w:b w:val="false"/>
          <w:i/>
          <w:color w:val="000000"/>
          <w:sz w:val="20"/>
        </w:rPr>
        <w:t xml:space="preserve"> Delaware</w:t>
      </w:r>
      <w:r>
        <w:rPr>
          <w:rFonts w:ascii="Times New Roman" w:hAnsi="Times New Roman"/>
          <w:b w:val="false"/>
          <w:i w:val="false"/>
          <w:color w:val="000000"/>
          <w:sz w:val="20"/>
        </w:rPr>
        <w:t xml:space="preserve">. Under the Delaware General Corporation Law, the shareholders do not generally have the right to approve the compensation policy for directors or the senior management of the corporation, although certain aspects of executive compensation may be subject to shareholder vote due to the provisions of U.S. federal securities and tax law, as well as exchange requirements. </w:t>
      </w:r>
    </w:p>
    <w:p>
      <w:pPr>
        <w:spacing w:before="120" w:after="0"/>
        <w:ind w:left="120"/>
        <w:jc w:val="left"/>
      </w:pPr>
      <w:r>
        <w:rPr>
          <w:rFonts w:ascii="Times New Roman" w:hAnsi="Times New Roman"/>
          <w:b w:val="false"/>
          <w:i/>
          <w:color w:val="000000"/>
          <w:sz w:val="20"/>
        </w:rPr>
        <w:t xml:space="preserve"> Listing</w:t>
      </w:r>
      <w:r>
        <w:rPr>
          <w:rFonts w:ascii="Times New Roman" w:hAnsi="Times New Roman"/>
          <w:b w:val="false"/>
          <w:i w:val="false"/>
          <w:color w:val="000000"/>
          <w:sz w:val="20"/>
        </w:rPr>
        <w:t xml:space="preserve">. Our ordinary shares are listed on Nasdaq under the symbol “IFRX.” On August 5, 2026, the last reported sale price of our ordinary shares was $1.77. </w:t>
      </w:r>
    </w:p>
    <w:p>
      <w:pPr>
        <w:spacing w:before="189" w:after="0"/>
        <w:ind w:left="120"/>
        <w:jc w:val="center"/>
      </w:pPr>
      <w:r>
        <w:rPr>
          <w:rFonts w:ascii="Times New Roman" w:hAnsi="Times New Roman"/>
          <w:b w:val="false"/>
          <w:i w:val="false"/>
          <w:color w:val="000000"/>
          <w:sz w:val="20"/>
        </w:rPr>
        <w:t xml:space="preserve"> 27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7-description02_pg1" w:id="40"/>
      <w:r>
        <w:rPr>
          <w:rFonts w:ascii="Times New Roman" w:hAnsi="Times New Roman"/>
          <w:b w:val="false"/>
          <w:i w:val="false"/>
          <w:color w:val="0000ff"/>
          <w:sz w:val="22"/>
        </w:rPr>
        <w:t/>
      </w:r>
      <w:bookmarkEnd w:id="40"/>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DS" w:id="41"/>
      <w:r>
        <w:rPr>
          <w:rFonts w:ascii="Times New Roman" w:hAnsi="Times New Roman"/>
          <w:b/>
          <w:i w:val="false"/>
          <w:color w:val="0000ff"/>
          <w:sz w:val="20"/>
        </w:rPr>
        <w:t/>
      </w:r>
      <w:bookmarkEnd w:id="41"/>
      <w:r>
        <w:rPr>
          <w:rFonts w:ascii="Times New Roman" w:hAnsi="Times New Roman"/>
          <w:b/>
          <w:i w:val="false"/>
          <w:color w:val="000000"/>
          <w:sz w:val="20"/>
        </w:rPr>
        <w:t xml:space="preserve">DESCRIPTION OF DEBT SECURITIES </w:t>
      </w:r>
    </w:p>
    <w:p>
      <w:pPr>
        <w:spacing w:before="120" w:after="0"/>
        <w:ind w:left="120"/>
        <w:jc w:val="left"/>
      </w:pPr>
      <w:r>
        <w:rPr>
          <w:rFonts w:ascii="Times New Roman" w:hAnsi="Times New Roman"/>
          <w:b w:val="false"/>
          <w:i w:val="false"/>
          <w:color w:val="000000"/>
          <w:sz w:val="20"/>
        </w:rPr>
        <w:t xml:space="preserve"> The debt securities will be our direct general obligations. The debt securities will be either senior debt securities or subordinated debt securities and may be secured or unsecured and may be convertible into other securities, including our ordinary shares. The debt securities will be issued under one or more separate indentures between our company and a financial institution that will act as trustee. Senior debt securities will be issued under a senior indenture. Subordinated debt securities will be issued under a subordinated indenture. Each of the senior indenture and the subordinated indenture is referred to individually as an indenture and collectively as the indentures. Each of the senior debt trustee and the subordinated debt trustee is referred to individually as a trustee and collectively as the trustees. The material terms of any indenture will be set forth in the applicable prospectus supplement. </w:t>
      </w:r>
    </w:p>
    <w:p>
      <w:pPr>
        <w:spacing w:before="120" w:after="0"/>
        <w:ind w:left="120"/>
        <w:jc w:val="left"/>
      </w:pPr>
      <w:r>
        <w:rPr>
          <w:rFonts w:ascii="Times New Roman" w:hAnsi="Times New Roman"/>
          <w:b w:val="false"/>
          <w:i w:val="false"/>
          <w:color w:val="000000"/>
          <w:sz w:val="20"/>
        </w:rPr>
        <w:t xml:space="preserve"> We have summarized certain terms and provisions of the indentures. The summary is not complete. The indentures are subject to and governed by the Trust Indenture Act of 1939, as amended, or the Trust Indenture Act. The senior indenture and subordinated indenture are substantially identical, except for the provisions relating to subordination. </w:t>
      </w:r>
    </w:p>
    <w:p>
      <w:pPr>
        <w:spacing w:before="120" w:after="0"/>
        <w:ind w:left="120"/>
        <w:jc w:val="left"/>
      </w:pPr>
      <w:r>
        <w:rPr>
          <w:rFonts w:ascii="Times New Roman" w:hAnsi="Times New Roman"/>
          <w:b w:val="false"/>
          <w:i w:val="false"/>
          <w:color w:val="000000"/>
          <w:sz w:val="20"/>
        </w:rPr>
        <w:t xml:space="preserve"> Neither indenture will limit the amount of debt securities that we may issue. We may issue debt securities up to an aggregate principal amount as we may authorize from time to time. The applicable prospectus supplement will describe the terms of any debt securities being offered. These terms will include some or all of the following: </w:t>
      </w:r>
    </w:p>
    <w:tbl>
      <w:tblPr>
        <w:tblW w:w="0" w:type="auto"/>
        <w:tblCellSpacing w:w="0" w:type="dxa"/>
        <w:tblInd w:w="533" w:type="dxa"/>
        <w:tblBorders>
          <w:top w:val="none"/>
          <w:left w:val="none"/>
          <w:bottom w:val="none"/>
          <w:right w:val="none"/>
          <w:insideH w:val="none"/>
          <w:insideV w:val="none"/>
        </w:tblBorders>
      </w:tblPr>
      <w:tblGrid>
        <w:gridCol w:w="533"/>
        <w:gridCol w:w="583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58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classification as senior or subordinated debt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ranking of the specific series of debt securities relative to other outstanding indebtedness, including subsidiaries’ debt;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the debt securities are subordinated, the aggregate amount of outstanding indebtedness, as of a recent date, that is senior to the subordinated securities, and any limitation on the issuance of additional senior indebtedness; </w:t>
            </w:r>
          </w:p>
        </w:tc>
      </w:tr>
    </w:tbl>
    <w:tbl>
      <w:tblPr>
        <w:tblW w:w="0" w:type="auto"/>
        <w:tblCellSpacing w:w="0" w:type="dxa"/>
        <w:tblInd w:w="533" w:type="dxa"/>
        <w:tblBorders>
          <w:top w:val="none"/>
          <w:left w:val="none"/>
          <w:bottom w:val="none"/>
          <w:right w:val="none"/>
          <w:insideH w:val="none"/>
          <w:insideV w:val="none"/>
        </w:tblBorders>
      </w:tblPr>
      <w:tblGrid>
        <w:gridCol w:w="533"/>
        <w:gridCol w:w="8042"/>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042"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designation, aggregate principal amount and authorized denominations; </w:t>
            </w:r>
          </w:p>
        </w:tc>
      </w:tr>
    </w:tbl>
    <w:tbl>
      <w:tblPr>
        <w:tblW w:w="0" w:type="auto"/>
        <w:tblCellSpacing w:w="0" w:type="dxa"/>
        <w:tblInd w:w="533" w:type="dxa"/>
        <w:tblBorders>
          <w:top w:val="none"/>
          <w:left w:val="none"/>
          <w:bottom w:val="none"/>
          <w:right w:val="none"/>
          <w:insideH w:val="none"/>
          <w:insideV w:val="none"/>
        </w:tblBorders>
      </w:tblPr>
      <w:tblGrid>
        <w:gridCol w:w="533"/>
        <w:gridCol w:w="83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3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date or dates on which the principal of the debt securities may be payable;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rate or rates (which may be fixed or variable) per annum at which the debt securities shall bear interest, if any;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date or dates from which such interest shall accrue, on which such interest shall be payable, and on which a record shall be taken for the determination of holders of the debt securities to whom interest is payable; </w:t>
            </w:r>
          </w:p>
        </w:tc>
      </w:tr>
    </w:tbl>
    <w:tbl>
      <w:tblPr>
        <w:tblW w:w="0" w:type="auto"/>
        <w:tblCellSpacing w:w="0" w:type="dxa"/>
        <w:tblInd w:w="533" w:type="dxa"/>
        <w:tblBorders>
          <w:top w:val="none"/>
          <w:left w:val="none"/>
          <w:bottom w:val="none"/>
          <w:right w:val="none"/>
          <w:insideH w:val="none"/>
          <w:insideV w:val="none"/>
        </w:tblBorders>
      </w:tblPr>
      <w:tblGrid>
        <w:gridCol w:w="533"/>
        <w:gridCol w:w="728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28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place or places where the principal and interest shall be payable;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right, if any, to redeem the debt securities, in whole or in part, at our option and the period or periods within which, the price or prices at which and any terms and conditions upon which such debt securities may be so redeemed, pursuant to any sinking fund or otherwise;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obligation, if any, to redeem, purchase or repay any debt securities pursuant to any mandatory redemption, sinking fund or other provisions or at the option of a holder of the debt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other than denominations of $2,000 and any higher integral multiple of $1,000, the denominations in which the debt securities will be issuable;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other than the currency of the United States, the currency or currencies in which payment of the principal and interest shall be payable; </w:t>
            </w:r>
          </w:p>
        </w:tc>
      </w:tr>
    </w:tbl>
    <w:tbl>
      <w:tblPr>
        <w:tblW w:w="0" w:type="auto"/>
        <w:tblCellSpacing w:w="0" w:type="dxa"/>
        <w:tblInd w:w="533" w:type="dxa"/>
        <w:tblBorders>
          <w:top w:val="none"/>
          <w:left w:val="none"/>
          <w:bottom w:val="none"/>
          <w:right w:val="none"/>
          <w:insideH w:val="none"/>
          <w:insideV w:val="none"/>
        </w:tblBorders>
      </w:tblPr>
      <w:tblGrid>
        <w:gridCol w:w="533"/>
        <w:gridCol w:w="782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82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whether the debt securities will be issued in the form of global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6302"/>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302"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provisions, if any, for the defeasance of the debt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1021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021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U.S. federal income tax and any material non-U.S. tax consequences, where necessary;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other specific terms, including any deletions from, modifications of or additions to the events of default or covenants described below or in the applicable indenture. </w:t>
            </w:r>
          </w:p>
        </w:tc>
      </w:tr>
    </w:tbl>
    <w:p>
      <w:pPr>
        <w:spacing w:before="189" w:after="0"/>
        <w:ind w:left="120"/>
        <w:jc w:val="center"/>
      </w:pPr>
      <w:r>
        <w:rPr>
          <w:rFonts w:ascii="Times New Roman" w:hAnsi="Times New Roman"/>
          <w:b w:val="false"/>
          <w:i w:val="false"/>
          <w:color w:val="000000"/>
          <w:sz w:val="20"/>
        </w:rPr>
        <w:t xml:space="preserve"> 28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7-description02_pg2" w:id="42"/>
      <w:r>
        <w:rPr>
          <w:rFonts w:ascii="Times New Roman" w:hAnsi="Times New Roman"/>
          <w:b w:val="false"/>
          <w:i w:val="false"/>
          <w:color w:val="0000ff"/>
          <w:sz w:val="22"/>
        </w:rPr>
        <w:t/>
      </w:r>
      <w:bookmarkEnd w:id="42"/>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i w:val="false"/>
          <w:color w:val="000000"/>
          <w:sz w:val="20"/>
        </w:rPr>
        <w:t xml:space="preserve"> Senior Debt </w:t>
      </w:r>
    </w:p>
    <w:p>
      <w:pPr>
        <w:spacing w:before="120" w:after="0"/>
        <w:ind w:left="120"/>
        <w:jc w:val="left"/>
      </w:pPr>
      <w:r>
        <w:rPr>
          <w:rFonts w:ascii="Times New Roman" w:hAnsi="Times New Roman"/>
          <w:b w:val="false"/>
          <w:i w:val="false"/>
          <w:color w:val="000000"/>
          <w:sz w:val="20"/>
        </w:rPr>
        <w:t xml:space="preserve"> We may issue under the senior indenture the debt securities that will constitute part of our senior debt. These senior debt securities will rank equally and pari passu with all our other unsecured and unsubordinated debt. </w:t>
      </w:r>
    </w:p>
    <w:p>
      <w:pPr>
        <w:spacing w:before="300" w:after="0"/>
        <w:ind w:left="120"/>
        <w:jc w:val="left"/>
      </w:pPr>
      <w:r>
        <w:rPr>
          <w:rFonts w:ascii="Times New Roman" w:hAnsi="Times New Roman"/>
          <w:b/>
          <w:i w:val="false"/>
          <w:color w:val="000000"/>
          <w:sz w:val="20"/>
        </w:rPr>
        <w:t xml:space="preserve"> Subordinated Debt </w:t>
      </w:r>
    </w:p>
    <w:p>
      <w:pPr>
        <w:spacing w:before="120" w:after="0"/>
        <w:ind w:left="120"/>
        <w:jc w:val="left"/>
      </w:pPr>
      <w:r>
        <w:rPr>
          <w:rFonts w:ascii="Times New Roman" w:hAnsi="Times New Roman"/>
          <w:b w:val="false"/>
          <w:i w:val="false"/>
          <w:color w:val="000000"/>
          <w:sz w:val="20"/>
        </w:rPr>
        <w:t xml:space="preserve"> We may issue under the subordinated indenture the debt securities that will constitute part of our subordinated debt. These subordinated debt securities will be subordinate and junior in right of payment, to the extent and in the manner set forth in the subordinated indenture, to all our “senior indebtedness.” “Senior indebtedness” is defined in the subordinated indenture and generally includes obligations of, or guaranteed by, us for borrowed money, or as evidenced by bonds, debentures, notes or other similar instruments, or in respect of letters of credit or other similar instruments, or to pay the deferred purchase price of property or services, or as a lessee under capital leases, or as secured by a lien on any asset of ours. Senior indebtedness does not include the subordinated debt securities or any other obligations specifically designated as being subordinate in right of payment to, or pari passu with, the subordinated debt securities. In general, the holders of all senior indebtedness are first entitled to receive payment in full of such senior indebtedness before the holders of any of the subordinated debt securities are entitled to receive a payment on account of the principal or interest on the indebtedness evidenced by the subordinated debt securities in certain events. These events include: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subject to Dutch law, any insolvency or bankruptcy proceedings, or any receivership, dissolution, winding up, total or partial liquidation, reorganization or other similar proceedings in respect of us or a substantial part of our property, whether voluntary or involuntary;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5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 a default having occurred with respect to the payment of principal or interest on or other monetary amounts due and payable with respect to any senior indebtedness or (ii) an Event of Default (as defined below) (other than a default described in clause (i) above) having occurred with respect to any senior indebtedness that permits the holder or holders of such senior indebtedness to accelerate the maturity of such senior indebtedness. Such a default or Event of Default must have continued beyond the period of grace, if any, provided in respect of such default or Event of Default, and such a default or Event of Default shall not have been cured or waived or shall not have ceased to exist;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principal of, and accrued interest on, any series of the subordinated debt securities having been declared due and payable upon an Event of Default pursuant to the subordinated indenture. This declaration must not have been rescinded and annulled as provided in the subordinated indenture. </w:t>
            </w:r>
          </w:p>
        </w:tc>
      </w:tr>
    </w:tbl>
    <w:p>
      <w:pPr>
        <w:spacing w:before="300" w:after="0"/>
        <w:ind w:left="120"/>
        <w:jc w:val="left"/>
      </w:pPr>
      <w:r>
        <w:rPr>
          <w:rFonts w:ascii="Times New Roman" w:hAnsi="Times New Roman"/>
          <w:b/>
          <w:i w:val="false"/>
          <w:color w:val="000000"/>
          <w:sz w:val="20"/>
        </w:rPr>
        <w:t xml:space="preserve"> Authentication and Delivery </w:t>
      </w:r>
    </w:p>
    <w:p>
      <w:pPr>
        <w:spacing w:before="120" w:after="0"/>
        <w:ind w:left="120"/>
        <w:jc w:val="left"/>
      </w:pPr>
      <w:r>
        <w:rPr>
          <w:rFonts w:ascii="Times New Roman" w:hAnsi="Times New Roman"/>
          <w:b w:val="false"/>
          <w:i w:val="false"/>
          <w:color w:val="000000"/>
          <w:sz w:val="20"/>
        </w:rPr>
        <w:t xml:space="preserve"> We will deliver the debt securities to the trustee for authentication, and the trustee will authenticate and deliver the debt securities upon our written order. </w:t>
      </w:r>
    </w:p>
    <w:p>
      <w:pPr>
        <w:spacing w:before="300" w:after="0"/>
        <w:ind w:left="120"/>
        <w:jc w:val="left"/>
      </w:pPr>
      <w:r>
        <w:rPr>
          <w:rFonts w:ascii="Times New Roman" w:hAnsi="Times New Roman"/>
          <w:b/>
          <w:i w:val="false"/>
          <w:color w:val="000000"/>
          <w:sz w:val="20"/>
        </w:rPr>
        <w:t xml:space="preserve"> Events of Default </w:t>
      </w:r>
    </w:p>
    <w:p>
      <w:pPr>
        <w:spacing w:before="120" w:after="0"/>
        <w:ind w:left="120"/>
        <w:jc w:val="left"/>
      </w:pPr>
      <w:r>
        <w:rPr>
          <w:rFonts w:ascii="Times New Roman" w:hAnsi="Times New Roman"/>
          <w:b w:val="false"/>
          <w:i w:val="false"/>
          <w:color w:val="000000"/>
          <w:sz w:val="20"/>
        </w:rPr>
        <w:t xml:space="preserve"> When we use the term “Event of Default” in the indentures with respect to the debt securities of any series, set forth below are some examples of what we mean: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(1)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default in the payment of the principal on the debt securities when it becomes due and payable at maturity or otherwise;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(2)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default in the payment of interest on the debt securities when it becomes due and payable, and such default continues for a period of 30 days;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(3)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default in the performance, or breach, of any covenant in the indenture (other than defaults specified in clauses (1) or (2) above) and the default or breach continues for a period of 90 consecutive days or more after written notice to us by the trustee or to us and the trustee by the holders of 25% or more in aggregate principal amount of the outstanding debt securities of all series affected thereby;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(4)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occurrence of certain events of bankruptcy, insolvency, or similar proceedings with respect to us or any substantial part of our property; or </w:t>
            </w:r>
          </w:p>
        </w:tc>
      </w:tr>
    </w:tbl>
    <w:tbl>
      <w:tblPr>
        <w:tblW w:w="0" w:type="auto"/>
        <w:tblCellSpacing w:w="0" w:type="dxa"/>
        <w:tblInd w:w="533" w:type="dxa"/>
        <w:tblBorders>
          <w:top w:val="none"/>
          <w:left w:val="none"/>
          <w:bottom w:val="none"/>
          <w:right w:val="none"/>
          <w:insideH w:val="none"/>
          <w:insideV w:val="none"/>
        </w:tblBorders>
      </w:tblPr>
      <w:tblGrid>
        <w:gridCol w:w="533"/>
        <w:gridCol w:w="962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(5) </w:t>
            </w:r>
            <w:r>
              <w:br/>
            </w:r>
            <w:r>
              <w:rPr>
                <w:rFonts w:ascii="Times New Roman" w:hAnsi="Times New Roman"/>
                <w:b w:val="false"/>
                <w:i w:val="false"/>
                <w:color w:val="000000"/>
                <w:sz w:val="20"/>
              </w:rPr>
              <w:t xml:space="preserve"> </w:t>
            </w:r>
          </w:p>
        </w:tc>
        <w:tc>
          <w:tcPr>
            <w:tcW w:w="962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other Events of Default that may be set forth in the applicable prospectus supplement. </w:t>
            </w:r>
          </w:p>
        </w:tc>
      </w:tr>
    </w:tbl>
    <w:p>
      <w:pPr>
        <w:spacing w:before="189" w:after="0"/>
        <w:ind w:left="120"/>
        <w:jc w:val="center"/>
      </w:pPr>
      <w:r>
        <w:rPr>
          <w:rFonts w:ascii="Times New Roman" w:hAnsi="Times New Roman"/>
          <w:b w:val="false"/>
          <w:i w:val="false"/>
          <w:color w:val="000000"/>
          <w:sz w:val="20"/>
        </w:rPr>
        <w:t xml:space="preserve"> 29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7-description02_pg3" w:id="43"/>
      <w:r>
        <w:rPr>
          <w:rFonts w:ascii="Times New Roman" w:hAnsi="Times New Roman"/>
          <w:b w:val="false"/>
          <w:i w:val="false"/>
          <w:color w:val="0000ff"/>
          <w:sz w:val="22"/>
        </w:rPr>
        <w:t/>
      </w:r>
      <w:bookmarkEnd w:id="4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If an Event of Default (other than an Event of Default specified in clause (4) above) with respect to the debt securities of any series then outstanding occurs and is continuing, then either the trustee or the holders of not less than 25% in principal amount of the securities of all such series then outstanding in respect of which an Event of Default has occurred may by notice in writing to us declare the entire principal amount of all debt securities of the affected series, and accrued interest, if any, to be due and payable immediately, and upon any such declaration the same shall become immediately due and payable. </w:t>
      </w:r>
    </w:p>
    <w:p>
      <w:pPr>
        <w:spacing w:before="120" w:after="0"/>
        <w:ind w:left="120"/>
        <w:jc w:val="left"/>
      </w:pPr>
      <w:r>
        <w:rPr>
          <w:rFonts w:ascii="Times New Roman" w:hAnsi="Times New Roman"/>
          <w:b w:val="false"/>
          <w:i w:val="false"/>
          <w:color w:val="000000"/>
          <w:sz w:val="20"/>
        </w:rPr>
        <w:t xml:space="preserve"> If an Event of Default described in clause (4) above occurs and is continuing, then the principal amount of all the debt securities then outstanding and accrued interest shall be and become due immediately and payable without any declaration, notice or other action by any holder of the debt securities or the trustee. </w:t>
      </w:r>
    </w:p>
    <w:p>
      <w:pPr>
        <w:spacing w:before="120" w:after="0"/>
        <w:ind w:left="120"/>
        <w:jc w:val="left"/>
      </w:pPr>
      <w:r>
        <w:rPr>
          <w:rFonts w:ascii="Times New Roman" w:hAnsi="Times New Roman"/>
          <w:b w:val="false"/>
          <w:i w:val="false"/>
          <w:color w:val="000000"/>
          <w:sz w:val="20"/>
        </w:rPr>
        <w:t xml:space="preserve"> The trustee will, within 90 days after the occurrence of any default actually known to it, give notice of the default to the holders of the debt securities of that series, unless the default was already cured or waived. Unless there is a default in paying principal or interest when due, the trustee can withhold giving notice to the holders if it determines in good faith that the withholding of notice is in the interest of the holders. </w:t>
      </w:r>
    </w:p>
    <w:p>
      <w:pPr>
        <w:spacing w:before="410" w:after="0"/>
        <w:ind w:left="120"/>
        <w:jc w:val="left"/>
      </w:pPr>
      <w:r>
        <w:rPr>
          <w:rFonts w:ascii="Times New Roman" w:hAnsi="Times New Roman"/>
          <w:b/>
          <w:i w:val="false"/>
          <w:color w:val="000000"/>
          <w:sz w:val="20"/>
        </w:rPr>
        <w:t xml:space="preserve"> Satisfaction, Discharge and Defeasance </w:t>
      </w:r>
    </w:p>
    <w:p>
      <w:pPr>
        <w:spacing w:before="150" w:after="0"/>
        <w:ind w:left="120"/>
        <w:jc w:val="left"/>
      </w:pPr>
      <w:r>
        <w:rPr>
          <w:rFonts w:ascii="Times New Roman" w:hAnsi="Times New Roman"/>
          <w:b w:val="false"/>
          <w:i w:val="false"/>
          <w:color w:val="000000"/>
          <w:sz w:val="20"/>
        </w:rPr>
        <w:t xml:space="preserve"> We may discharge our obligations under each indenture, except as to: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rights of registration of transfer and exchange of debt securities, and our right of optional redemption, if any; </w:t>
            </w:r>
          </w:p>
        </w:tc>
      </w:tr>
    </w:tbl>
    <w:tbl>
      <w:tblPr>
        <w:tblW w:w="0" w:type="auto"/>
        <w:tblCellSpacing w:w="0" w:type="dxa"/>
        <w:tblInd w:w="533" w:type="dxa"/>
        <w:tblBorders>
          <w:top w:val="none"/>
          <w:left w:val="none"/>
          <w:bottom w:val="none"/>
          <w:right w:val="none"/>
          <w:insideH w:val="none"/>
          <w:insideV w:val="none"/>
        </w:tblBorders>
      </w:tblPr>
      <w:tblGrid>
        <w:gridCol w:w="533"/>
        <w:gridCol w:w="794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94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substitution of mutilated, defaced, destroyed, lost or stolen debt securities; </w:t>
            </w:r>
          </w:p>
        </w:tc>
      </w:tr>
    </w:tbl>
    <w:tbl>
      <w:tblPr>
        <w:tblW w:w="0" w:type="auto"/>
        <w:tblCellSpacing w:w="0" w:type="dxa"/>
        <w:tblInd w:w="533" w:type="dxa"/>
        <w:tblBorders>
          <w:top w:val="none"/>
          <w:left w:val="none"/>
          <w:bottom w:val="none"/>
          <w:right w:val="none"/>
          <w:insideH w:val="none"/>
          <w:insideV w:val="none"/>
        </w:tblBorders>
      </w:tblPr>
      <w:tblGrid>
        <w:gridCol w:w="533"/>
        <w:gridCol w:w="932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32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rights of holders of the debt securities to receive payments of principal and interest; </w:t>
            </w:r>
          </w:p>
        </w:tc>
      </w:tr>
    </w:tbl>
    <w:tbl>
      <w:tblPr>
        <w:tblW w:w="0" w:type="auto"/>
        <w:tblCellSpacing w:w="0" w:type="dxa"/>
        <w:tblInd w:w="533" w:type="dxa"/>
        <w:tblBorders>
          <w:top w:val="none"/>
          <w:left w:val="none"/>
          <w:bottom w:val="none"/>
          <w:right w:val="none"/>
          <w:insideH w:val="none"/>
          <w:insideV w:val="none"/>
        </w:tblBorders>
      </w:tblPr>
      <w:tblGrid>
        <w:gridCol w:w="533"/>
        <w:gridCol w:w="603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03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rights, obligations and immunities of the trustee;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rights of the holders of the debt securities as beneficiaries with respect to the property deposited with the trustee payable to them (as described below); when: </w:t>
            </w:r>
          </w:p>
        </w:tc>
      </w:tr>
    </w:tbl>
    <w:tbl>
      <w:tblPr>
        <w:tblW w:w="0" w:type="auto"/>
        <w:tblCellSpacing w:w="0" w:type="dxa"/>
        <w:tblInd w:w="533" w:type="dxa"/>
        <w:tblBorders>
          <w:top w:val="none"/>
          <w:left w:val="none"/>
          <w:bottom w:val="none"/>
          <w:right w:val="none"/>
          <w:insideH w:val="none"/>
          <w:insideV w:val="none"/>
        </w:tblBorders>
      </w:tblPr>
      <w:tblGrid>
        <w:gridCol w:w="533"/>
        <w:gridCol w:w="749"/>
      </w:tblGrid>
      <w:tr>
        <w:trPr>
          <w:trHeight w:val="2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49"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either: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43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all debt securities of any series issued that have been authenticated and delivered have been delivered by us to the trustee for cancellation; or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178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all the debt securities of any series issued that have not been delivered by us to the trustee for cancellation have become due and payable or will become due and payable within one year or are to be called for redemption within one year under arrangements satisfactory to the trustee for the giving of notice of redemption by such trustee in our name and at our expense, and we have irrevocably deposited or caused to be deposited with the trustee as trust funds the entire amount sufficient to pay at maturity or upon redemption all debt securities of such series not delivered to the trustee for cancellation, including principal and interest due or to become due on or prior to such date of maturity or redemption; </w:t>
            </w:r>
          </w:p>
        </w:tc>
      </w:tr>
    </w:tbl>
    <w:tbl>
      <w:tblPr>
        <w:tblW w:w="0" w:type="auto"/>
        <w:tblCellSpacing w:w="0" w:type="dxa"/>
        <w:tblInd w:w="533" w:type="dxa"/>
        <w:tblBorders>
          <w:top w:val="none"/>
          <w:left w:val="none"/>
          <w:bottom w:val="none"/>
          <w:right w:val="none"/>
          <w:insideH w:val="none"/>
          <w:insideV w:val="none"/>
        </w:tblBorders>
      </w:tblPr>
      <w:tblGrid>
        <w:gridCol w:w="533"/>
        <w:gridCol w:w="1034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034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have paid or caused to be paid all other sums then due and payable under such indenture;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have delivered to the trustee an officers’ certificate and an opinion of counsel, each stating that all conditions precedent under such indenture relating to the satisfaction and discharge of such indenture have been complied with. </w:t>
            </w:r>
          </w:p>
        </w:tc>
      </w:tr>
    </w:tbl>
    <w:p>
      <w:pPr>
        <w:spacing w:before="120" w:after="0"/>
        <w:ind w:left="120"/>
        <w:jc w:val="left"/>
      </w:pPr>
      <w:r>
        <w:rPr>
          <w:rFonts w:ascii="Times New Roman" w:hAnsi="Times New Roman"/>
          <w:b w:val="false"/>
          <w:i w:val="false"/>
          <w:color w:val="000000"/>
          <w:sz w:val="20"/>
        </w:rPr>
        <w:t xml:space="preserve"> In addition, unless the applicable prospectus supplement and supplemental indenture otherwise provide, we may elect either (i) to have our obligations under each indenture discharged with respect to the outstanding debt securities of any series (“legal defeasance”) or (ii) to be released from our obligations under each indenture with respect to certain covenants applicable to the outstanding debt securities of any series (“covenant defeasance”). Legal defeasance means that we will be deemed to have paid and discharged the entire indebtedness represented by the outstanding debt securities of such series under such indenture and covenant defeasance means that we will no longer be required to comply with the obligations with respect to such covenants (and an omission to comply with such obligations will not constitute a default or Event of Default). </w:t>
      </w:r>
    </w:p>
    <w:p>
      <w:pPr>
        <w:spacing w:before="189" w:after="0"/>
        <w:ind w:left="120"/>
        <w:jc w:val="center"/>
      </w:pPr>
      <w:r>
        <w:rPr>
          <w:rFonts w:ascii="Times New Roman" w:hAnsi="Times New Roman"/>
          <w:b w:val="false"/>
          <w:i w:val="false"/>
          <w:color w:val="000000"/>
          <w:sz w:val="20"/>
        </w:rPr>
        <w:t xml:space="preserve"> 30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7-description02_pg4" w:id="44"/>
      <w:r>
        <w:rPr>
          <w:rFonts w:ascii="Times New Roman" w:hAnsi="Times New Roman"/>
          <w:b w:val="false"/>
          <w:i w:val="false"/>
          <w:color w:val="0000ff"/>
          <w:sz w:val="22"/>
        </w:rPr>
        <w:t/>
      </w:r>
      <w:bookmarkEnd w:id="44"/>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In order to exercise legal defeasance or covenant defeasance with respect to outstanding debt securities of any series: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must irrevocably have deposited or caused to be deposited with the trustee as trust funds in trust for the purpose of making the following payments, specifically pledged as security for, and dedicated solely to the benefit of, the holders of the debt securities of a series: </w:t>
            </w:r>
          </w:p>
        </w:tc>
      </w:tr>
    </w:tbl>
    <w:tbl>
      <w:tblPr>
        <w:tblW w:w="0" w:type="auto"/>
        <w:tblCellSpacing w:w="0" w:type="dxa"/>
        <w:tblInd w:w="533" w:type="dxa"/>
        <w:tblBorders>
          <w:top w:val="none"/>
          <w:left w:val="none"/>
          <w:bottom w:val="none"/>
          <w:right w:val="none"/>
          <w:insideH w:val="none"/>
          <w:insideV w:val="none"/>
        </w:tblBorders>
      </w:tblPr>
      <w:tblGrid>
        <w:gridCol w:w="533"/>
        <w:gridCol w:w="226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226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money in an amount; </w:t>
            </w:r>
          </w:p>
        </w:tc>
      </w:tr>
    </w:tbl>
    <w:tbl>
      <w:tblPr>
        <w:tblW w:w="0" w:type="auto"/>
        <w:tblCellSpacing w:w="0" w:type="dxa"/>
        <w:tblInd w:w="533" w:type="dxa"/>
        <w:tblBorders>
          <w:top w:val="none"/>
          <w:left w:val="none"/>
          <w:bottom w:val="none"/>
          <w:right w:val="none"/>
          <w:insideH w:val="none"/>
          <w:insideV w:val="none"/>
        </w:tblBorders>
      </w:tblPr>
      <w:tblGrid>
        <w:gridCol w:w="533"/>
        <w:gridCol w:w="343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43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U.S. government obligations; or </w:t>
            </w:r>
          </w:p>
        </w:tc>
      </w:tr>
    </w:tbl>
    <w:tbl>
      <w:tblPr>
        <w:tblW w:w="0" w:type="auto"/>
        <w:tblCellSpacing w:w="0" w:type="dxa"/>
        <w:tblInd w:w="533" w:type="dxa"/>
        <w:tblBorders>
          <w:top w:val="none"/>
          <w:left w:val="none"/>
          <w:bottom w:val="none"/>
          <w:right w:val="none"/>
          <w:insideH w:val="none"/>
          <w:insideV w:val="none"/>
        </w:tblBorders>
      </w:tblPr>
      <w:tblGrid>
        <w:gridCol w:w="533"/>
        <w:gridCol w:w="626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26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combination of money and U.S. government obligations, </w:t>
            </w:r>
          </w:p>
        </w:tc>
      </w:tr>
    </w:tbl>
    <w:p>
      <w:pPr>
        <w:spacing w:before="120" w:after="0"/>
        <w:ind w:left="120"/>
        <w:jc w:val="left"/>
      </w:pPr>
      <w:r>
        <w:rPr>
          <w:rFonts w:ascii="Times New Roman" w:hAnsi="Times New Roman"/>
          <w:b w:val="false"/>
          <w:i w:val="false"/>
          <w:color w:val="000000"/>
          <w:sz w:val="20"/>
        </w:rPr>
        <w:t xml:space="preserve"> in each case sufficient without reinvestment, in the written opinion of a nationally recognized firm of independent public accountants, to pay and discharge, and which shall be applied by the trustee to pay and discharge, all of the principal and interest at due date or maturity or if we have made irrevocable arrangements satisfactory to the trustee for the giving of notice of redemption by the trustee, the redemption date;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have delivered to the trustee an opinion of counsel stating that, under then applicable U.S. federal income tax law, the holders of the debt securities of that series will not recognize gain or loss for U.S. federal income tax purposes as a result of the defeasance and will be subject to the same federal income tax as would be the case if the defeasance did not occur;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no default relating to bankruptcy or insolvency and, in the case of a covenant defeasance, no other default has occurred and is continuing at any time;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at such time the debt securities of such series are listed on a national securities exchange, we have delivered to the trustee an opinion of counsel to the effect that the debt securities of such series will not be delisted as a result of such defeasance;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we have delivered to the trustee an officers’ certificate and an opinion of counsel stating that all conditions precedent with respect to the defeasance have been complied with. </w:t>
            </w:r>
          </w:p>
        </w:tc>
      </w:tr>
    </w:tbl>
    <w:p>
      <w:pPr>
        <w:spacing w:before="120" w:after="0"/>
        <w:ind w:left="120"/>
        <w:jc w:val="left"/>
      </w:pPr>
      <w:r>
        <w:rPr>
          <w:rFonts w:ascii="Times New Roman" w:hAnsi="Times New Roman"/>
          <w:b w:val="false"/>
          <w:i w:val="false"/>
          <w:color w:val="000000"/>
          <w:sz w:val="20"/>
        </w:rPr>
        <w:t xml:space="preserve"> We are required to furnish to each trustee an annual statement as to compliance with all conditions and covenants under the indenture. </w:t>
      </w:r>
    </w:p>
    <w:p>
      <w:pPr>
        <w:spacing w:before="189" w:after="0"/>
        <w:ind w:left="120"/>
        <w:jc w:val="center"/>
      </w:pPr>
      <w:r>
        <w:rPr>
          <w:rFonts w:ascii="Times New Roman" w:hAnsi="Times New Roman"/>
          <w:b w:val="false"/>
          <w:i w:val="false"/>
          <w:color w:val="000000"/>
          <w:sz w:val="20"/>
        </w:rPr>
        <w:t xml:space="preserve"> 31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7-description02_pg5" w:id="45"/>
      <w:r>
        <w:rPr>
          <w:rFonts w:ascii="Times New Roman" w:hAnsi="Times New Roman"/>
          <w:b w:val="false"/>
          <w:i w:val="false"/>
          <w:color w:val="0000ff"/>
          <w:sz w:val="22"/>
        </w:rPr>
        <w:t/>
      </w:r>
      <w:bookmarkEnd w:id="4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W" w:id="46"/>
      <w:r>
        <w:rPr>
          <w:rFonts w:ascii="Times New Roman" w:hAnsi="Times New Roman"/>
          <w:b/>
          <w:i w:val="false"/>
          <w:color w:val="0000ff"/>
          <w:sz w:val="20"/>
        </w:rPr>
        <w:t/>
      </w:r>
      <w:bookmarkEnd w:id="46"/>
      <w:r>
        <w:rPr>
          <w:rFonts w:ascii="Times New Roman" w:hAnsi="Times New Roman"/>
          <w:b/>
          <w:i w:val="false"/>
          <w:color w:val="000000"/>
          <w:sz w:val="20"/>
        </w:rPr>
        <w:t xml:space="preserve">DESCRIPTION OF WARRANTS </w:t>
      </w:r>
    </w:p>
    <w:p>
      <w:pPr>
        <w:spacing w:before="120" w:after="0"/>
        <w:ind w:left="120"/>
        <w:jc w:val="left"/>
      </w:pPr>
      <w:r>
        <w:rPr>
          <w:rFonts w:ascii="Times New Roman" w:hAnsi="Times New Roman"/>
          <w:b w:val="false"/>
          <w:i w:val="false"/>
          <w:color w:val="000000"/>
          <w:sz w:val="20"/>
        </w:rPr>
        <w:t xml:space="preserve"> We may issue warrants to purchase debt securities, ordinary shares or other securities. We may issue warrants independently or together with other securities. Warrants sold with other securities may be attached to or separate from the other securities. We will issue warrants under one or more warrant agreements between our company and a warrant agent that we will name in the applicable prospectus supplement. </w:t>
      </w:r>
    </w:p>
    <w:p>
      <w:pPr>
        <w:spacing w:before="120" w:after="0"/>
        <w:ind w:left="120"/>
        <w:jc w:val="left"/>
      </w:pPr>
      <w:r>
        <w:rPr>
          <w:rFonts w:ascii="Times New Roman" w:hAnsi="Times New Roman"/>
          <w:b w:val="false"/>
          <w:i w:val="false"/>
          <w:color w:val="000000"/>
          <w:sz w:val="20"/>
        </w:rPr>
        <w:t xml:space="preserve"> The prospectus supplement relating to any warrants we offer will include specific terms relating to the offering. These terms will include some or all of the following: </w:t>
      </w:r>
    </w:p>
    <w:tbl>
      <w:tblPr>
        <w:tblW w:w="0" w:type="auto"/>
        <w:tblCellSpacing w:w="0" w:type="dxa"/>
        <w:tblInd w:w="533" w:type="dxa"/>
        <w:tblBorders>
          <w:top w:val="none"/>
          <w:left w:val="none"/>
          <w:bottom w:val="none"/>
          <w:right w:val="none"/>
          <w:insideH w:val="none"/>
          <w:insideV w:val="none"/>
        </w:tblBorders>
      </w:tblPr>
      <w:tblGrid>
        <w:gridCol w:w="533"/>
        <w:gridCol w:w="255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255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title of the warrants; </w:t>
            </w:r>
          </w:p>
        </w:tc>
      </w:tr>
    </w:tbl>
    <w:tbl>
      <w:tblPr>
        <w:tblW w:w="0" w:type="auto"/>
        <w:tblCellSpacing w:w="0" w:type="dxa"/>
        <w:tblInd w:w="533" w:type="dxa"/>
        <w:tblBorders>
          <w:top w:val="none"/>
          <w:left w:val="none"/>
          <w:bottom w:val="none"/>
          <w:right w:val="none"/>
          <w:insideH w:val="none"/>
          <w:insideV w:val="none"/>
        </w:tblBorders>
      </w:tblPr>
      <w:tblGrid>
        <w:gridCol w:w="533"/>
        <w:gridCol w:w="450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450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aggregate number of warrants offered;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designation, number and terms of the debt securities, ordinary shares or other securities purchasable upon exercise of the warrants and procedures by which those numbers may be adjusted; </w:t>
            </w:r>
          </w:p>
        </w:tc>
      </w:tr>
    </w:tbl>
    <w:tbl>
      <w:tblPr>
        <w:tblW w:w="0" w:type="auto"/>
        <w:tblCellSpacing w:w="0" w:type="dxa"/>
        <w:tblInd w:w="533" w:type="dxa"/>
        <w:tblBorders>
          <w:top w:val="none"/>
          <w:left w:val="none"/>
          <w:bottom w:val="none"/>
          <w:right w:val="none"/>
          <w:insideH w:val="none"/>
          <w:insideV w:val="none"/>
        </w:tblBorders>
      </w:tblPr>
      <w:tblGrid>
        <w:gridCol w:w="533"/>
        <w:gridCol w:w="361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61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exercise price of the warrants; </w:t>
            </w:r>
          </w:p>
        </w:tc>
      </w:tr>
    </w:tbl>
    <w:tbl>
      <w:tblPr>
        <w:tblW w:w="0" w:type="auto"/>
        <w:tblCellSpacing w:w="0" w:type="dxa"/>
        <w:tblInd w:w="533" w:type="dxa"/>
        <w:tblBorders>
          <w:top w:val="none"/>
          <w:left w:val="none"/>
          <w:bottom w:val="none"/>
          <w:right w:val="none"/>
          <w:insideH w:val="none"/>
          <w:insideV w:val="none"/>
        </w:tblBorders>
      </w:tblPr>
      <w:tblGrid>
        <w:gridCol w:w="533"/>
        <w:gridCol w:w="668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68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dates or periods during which the warrants are exercisable; </w:t>
            </w:r>
          </w:p>
        </w:tc>
      </w:tr>
    </w:tbl>
    <w:tbl>
      <w:tblPr>
        <w:tblW w:w="0" w:type="auto"/>
        <w:tblCellSpacing w:w="0" w:type="dxa"/>
        <w:tblInd w:w="533" w:type="dxa"/>
        <w:tblBorders>
          <w:top w:val="none"/>
          <w:left w:val="none"/>
          <w:bottom w:val="none"/>
          <w:right w:val="none"/>
          <w:insideH w:val="none"/>
          <w:insideV w:val="none"/>
        </w:tblBorders>
      </w:tblPr>
      <w:tblGrid>
        <w:gridCol w:w="533"/>
        <w:gridCol w:w="840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40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designation and terms of any securities with which the warrants are issued;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the warrants are issued as a unit with another security, the date on and after which the warrants and the other security will be separately transferable;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the exercise price is not payable in U.S. dollars, the foreign currency, currency unit or composite currency in which the exercise price is denominated; </w:t>
            </w:r>
          </w:p>
        </w:tc>
      </w:tr>
    </w:tbl>
    <w:tbl>
      <w:tblPr>
        <w:tblW w:w="0" w:type="auto"/>
        <w:tblCellSpacing w:w="0" w:type="dxa"/>
        <w:tblInd w:w="533" w:type="dxa"/>
        <w:tblBorders>
          <w:top w:val="none"/>
          <w:left w:val="none"/>
          <w:bottom w:val="none"/>
          <w:right w:val="none"/>
          <w:insideH w:val="none"/>
          <w:insideV w:val="none"/>
        </w:tblBorders>
      </w:tblPr>
      <w:tblGrid>
        <w:gridCol w:w="533"/>
        <w:gridCol w:w="924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24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minimum or maximum amount of warrants that may be exercised at any one time; </w:t>
            </w:r>
          </w:p>
        </w:tc>
      </w:tr>
    </w:tbl>
    <w:tbl>
      <w:tblPr>
        <w:tblW w:w="0" w:type="auto"/>
        <w:tblCellSpacing w:w="0" w:type="dxa"/>
        <w:tblInd w:w="533" w:type="dxa"/>
        <w:tblBorders>
          <w:top w:val="none"/>
          <w:left w:val="none"/>
          <w:bottom w:val="none"/>
          <w:right w:val="none"/>
          <w:insideH w:val="none"/>
          <w:insideV w:val="none"/>
        </w:tblBorders>
      </w:tblPr>
      <w:tblGrid>
        <w:gridCol w:w="533"/>
        <w:gridCol w:w="577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577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terms relating to the modification of the warrants;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terms, procedures and limitations relating to the transferability, exchange or exercise of the warrants; and </w:t>
            </w:r>
          </w:p>
        </w:tc>
      </w:tr>
    </w:tbl>
    <w:tbl>
      <w:tblPr>
        <w:tblW w:w="0" w:type="auto"/>
        <w:tblCellSpacing w:w="0" w:type="dxa"/>
        <w:tblInd w:w="533" w:type="dxa"/>
        <w:tblBorders>
          <w:top w:val="none"/>
          <w:left w:val="none"/>
          <w:bottom w:val="none"/>
          <w:right w:val="none"/>
          <w:insideH w:val="none"/>
          <w:insideV w:val="none"/>
        </w:tblBorders>
      </w:tblPr>
      <w:tblGrid>
        <w:gridCol w:w="533"/>
        <w:gridCol w:w="429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429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other specific terms of the warrants. </w:t>
            </w:r>
          </w:p>
        </w:tc>
      </w:tr>
    </w:tbl>
    <w:p>
      <w:pPr>
        <w:spacing w:before="120" w:after="0"/>
        <w:ind w:left="120"/>
        <w:jc w:val="left"/>
      </w:pPr>
      <w:r>
        <w:rPr>
          <w:rFonts w:ascii="Times New Roman" w:hAnsi="Times New Roman"/>
          <w:b w:val="false"/>
          <w:i w:val="false"/>
          <w:color w:val="000000"/>
          <w:sz w:val="20"/>
        </w:rPr>
        <w:t xml:space="preserve"> The terms of any warrants to be issued and a description of the material provisions of the applicable warrant agreement will be set forth in the applicable prospectus supplement. </w:t>
      </w:r>
    </w:p>
    <w:p>
      <w:pPr>
        <w:spacing w:before="189" w:after="0"/>
        <w:ind w:left="120"/>
        <w:jc w:val="center"/>
      </w:pPr>
      <w:r>
        <w:rPr>
          <w:rFonts w:ascii="Times New Roman" w:hAnsi="Times New Roman"/>
          <w:b w:val="false"/>
          <w:i w:val="false"/>
          <w:color w:val="000000"/>
          <w:sz w:val="20"/>
        </w:rPr>
        <w:t xml:space="preserve"> 32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7-description02_pg6" w:id="47"/>
      <w:r>
        <w:rPr>
          <w:rFonts w:ascii="Times New Roman" w:hAnsi="Times New Roman"/>
          <w:b w:val="false"/>
          <w:i w:val="false"/>
          <w:color w:val="0000ff"/>
          <w:sz w:val="22"/>
        </w:rPr>
        <w:t/>
      </w:r>
      <w:bookmarkEnd w:id="47"/>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PC" w:id="48"/>
      <w:r>
        <w:rPr>
          <w:rFonts w:ascii="Times New Roman" w:hAnsi="Times New Roman"/>
          <w:b/>
          <w:i w:val="false"/>
          <w:color w:val="0000ff"/>
          <w:sz w:val="20"/>
        </w:rPr>
        <w:t/>
      </w:r>
      <w:bookmarkEnd w:id="48"/>
      <w:r>
        <w:rPr>
          <w:rFonts w:ascii="Times New Roman" w:hAnsi="Times New Roman"/>
          <w:b/>
          <w:i w:val="false"/>
          <w:color w:val="000000"/>
          <w:sz w:val="20"/>
        </w:rPr>
        <w:t xml:space="preserve">DESCRIPTION OF PURCHASE CONTRACTS </w:t>
      </w:r>
    </w:p>
    <w:p>
      <w:pPr>
        <w:spacing w:before="120" w:after="0"/>
        <w:ind w:left="120"/>
        <w:jc w:val="left"/>
      </w:pPr>
      <w:r>
        <w:rPr>
          <w:rFonts w:ascii="Times New Roman" w:hAnsi="Times New Roman"/>
          <w:b w:val="false"/>
          <w:i w:val="false"/>
          <w:color w:val="000000"/>
          <w:sz w:val="20"/>
        </w:rPr>
        <w:t xml:space="preserve"> We may issue purchase contracts for the purchase or sale of debt or equity securities issued by us or securities of third parties, a basket of such securities, an index or indices of such securities or any combination of the above as specified in the applicable prospectus supplement. </w:t>
      </w:r>
    </w:p>
    <w:p>
      <w:pPr>
        <w:spacing w:before="120" w:after="0"/>
        <w:ind w:left="120"/>
        <w:jc w:val="left"/>
      </w:pPr>
      <w:r>
        <w:rPr>
          <w:rFonts w:ascii="Times New Roman" w:hAnsi="Times New Roman"/>
          <w:b w:val="false"/>
          <w:i w:val="false"/>
          <w:color w:val="000000"/>
          <w:sz w:val="20"/>
        </w:rPr>
        <w:t xml:space="preserve"> Each purchase contract will entitle the holder thereof to purchase or sell, and obligate us to sell or purchase, on specified dates, such securities at a specified purchase price, which may be based on a formula, all as set forth in the applicable prospectus supplement. A purchase by us or any of our subsidiaries of ordinary shares pursuant to any such purchase contract shall be subject to certain restrictions under Dutch law that generally apply to a repurchase of shares. We may, however, satisfy our obligations, if any, with respect to any purchase contract by delivering the cash value of such purchase contract or the cash value of the property otherwise deliverable as set forth in the applicable prospectus supplement. The applicable prospectus supplement will also specify the methods by which the holders may purchase or sell such securities and any acceleration, cancellation or termination provisions or other provisions relating to the settlement of a purchase contract. </w:t>
      </w:r>
    </w:p>
    <w:p>
      <w:pPr>
        <w:spacing w:before="120" w:after="0"/>
        <w:ind w:left="120"/>
        <w:jc w:val="left"/>
      </w:pPr>
      <w:r>
        <w:rPr>
          <w:rFonts w:ascii="Times New Roman" w:hAnsi="Times New Roman"/>
          <w:b w:val="false"/>
          <w:i w:val="false"/>
          <w:color w:val="000000"/>
          <w:sz w:val="20"/>
        </w:rPr>
        <w:t xml:space="preserve"> The purchase contracts may require us to make periodic payments to the holders thereof or vice versa, which payments may be deferred to the extent set forth in the applicable prospectus supplement, and those payments may be unsecured or prefunded on some basis. The purchase contracts may require the holders thereof to secure their obligations in a specified manner to be described in the applicable prospectus supplement. Alternatively, purchase contracts may require holders to satisfy their obligations thereunder when the purchase contracts are issued. Our obligation to settle such pre-paid purchase contracts on the relevant settlement date may constitute indebtedness. Accordingly, pre-paid purchase contracts will be issued under either the senior indenture or the subordinated indenture. </w:t>
      </w:r>
    </w:p>
    <w:p>
      <w:pPr>
        <w:spacing w:before="189" w:after="0"/>
        <w:ind w:left="120"/>
        <w:jc w:val="center"/>
      </w:pPr>
      <w:r>
        <w:rPr>
          <w:rFonts w:ascii="Times New Roman" w:hAnsi="Times New Roman"/>
          <w:b w:val="false"/>
          <w:i w:val="false"/>
          <w:color w:val="000000"/>
          <w:sz w:val="20"/>
        </w:rPr>
        <w:t xml:space="preserve"> 33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7-description02_pg7" w:id="49"/>
      <w:r>
        <w:rPr>
          <w:rFonts w:ascii="Times New Roman" w:hAnsi="Times New Roman"/>
          <w:b w:val="false"/>
          <w:i w:val="false"/>
          <w:color w:val="0000ff"/>
          <w:sz w:val="22"/>
        </w:rPr>
        <w:t/>
      </w:r>
      <w:bookmarkEnd w:id="49"/>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DU" w:id="50"/>
      <w:r>
        <w:rPr>
          <w:rFonts w:ascii="Times New Roman" w:hAnsi="Times New Roman"/>
          <w:b/>
          <w:i w:val="false"/>
          <w:color w:val="0000ff"/>
          <w:sz w:val="20"/>
        </w:rPr>
        <w:t/>
      </w:r>
      <w:bookmarkEnd w:id="50"/>
      <w:r>
        <w:rPr>
          <w:rFonts w:ascii="Times New Roman" w:hAnsi="Times New Roman"/>
          <w:b/>
          <w:i w:val="false"/>
          <w:color w:val="000000"/>
          <w:sz w:val="20"/>
        </w:rPr>
        <w:t xml:space="preserve">DESCRIPTION OF UNITS </w:t>
      </w:r>
    </w:p>
    <w:p>
      <w:pPr>
        <w:spacing w:before="120" w:after="0"/>
        <w:ind w:left="120"/>
        <w:jc w:val="left"/>
      </w:pPr>
      <w:r>
        <w:rPr>
          <w:rFonts w:ascii="Times New Roman" w:hAnsi="Times New Roman"/>
          <w:b w:val="false"/>
          <w:i w:val="false"/>
          <w:color w:val="000000"/>
          <w:sz w:val="20"/>
        </w:rPr>
        <w:t xml:space="preserve"> As specified in the applicable prospectus supplement, we may issue units consisting of one or more ordinary shares, debt securities, warrants, purchase contracts or any combination of such securities. The applicable prospectus supplement will describe: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terms of the units and of the ordinary shares, debt securities, warrants and/or purchase contracts comprising the units, including whether and under what circumstances the securities comprising the units may be traded separately; </w:t>
            </w:r>
          </w:p>
        </w:tc>
      </w:tr>
    </w:tbl>
    <w:tbl>
      <w:tblPr>
        <w:tblW w:w="0" w:type="auto"/>
        <w:tblCellSpacing w:w="0" w:type="dxa"/>
        <w:tblInd w:w="533" w:type="dxa"/>
        <w:tblBorders>
          <w:top w:val="none"/>
          <w:left w:val="none"/>
          <w:bottom w:val="none"/>
          <w:right w:val="none"/>
          <w:insideH w:val="none"/>
          <w:insideV w:val="none"/>
        </w:tblBorders>
      </w:tblPr>
      <w:tblGrid>
        <w:gridCol w:w="533"/>
        <w:gridCol w:w="778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78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description of the terms of any unit agreement governing the units; and </w:t>
            </w:r>
          </w:p>
        </w:tc>
      </w:tr>
    </w:tbl>
    <w:tbl>
      <w:tblPr>
        <w:tblW w:w="0" w:type="auto"/>
        <w:tblCellSpacing w:w="0" w:type="dxa"/>
        <w:tblInd w:w="533" w:type="dxa"/>
        <w:tblBorders>
          <w:top w:val="none"/>
          <w:left w:val="none"/>
          <w:bottom w:val="none"/>
          <w:right w:val="none"/>
          <w:insideH w:val="none"/>
          <w:insideV w:val="none"/>
        </w:tblBorders>
      </w:tblPr>
      <w:tblGrid>
        <w:gridCol w:w="533"/>
        <w:gridCol w:w="988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988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description of the provisions for the payment, settlement, transfer or exchange of the units. </w:t>
            </w:r>
          </w:p>
        </w:tc>
      </w:tr>
    </w:tbl>
    <w:p>
      <w:pPr>
        <w:spacing w:before="189" w:after="0"/>
        <w:ind w:left="120"/>
        <w:jc w:val="center"/>
      </w:pPr>
      <w:r>
        <w:rPr>
          <w:rFonts w:ascii="Times New Roman" w:hAnsi="Times New Roman"/>
          <w:b w:val="false"/>
          <w:i w:val="false"/>
          <w:color w:val="000000"/>
          <w:sz w:val="20"/>
        </w:rPr>
        <w:t xml:space="preserve"> 34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1" w:id="51"/>
      <w:r>
        <w:rPr>
          <w:rFonts w:ascii="Times New Roman" w:hAnsi="Times New Roman"/>
          <w:b w:val="false"/>
          <w:i w:val="false"/>
          <w:color w:val="0000ff"/>
          <w:sz w:val="22"/>
        </w:rPr>
        <w:t/>
      </w:r>
      <w:bookmarkEnd w:id="51"/>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FS" w:id="52"/>
      <w:r>
        <w:rPr>
          <w:rFonts w:ascii="Times New Roman" w:hAnsi="Times New Roman"/>
          <w:b/>
          <w:i w:val="false"/>
          <w:color w:val="0000ff"/>
          <w:sz w:val="20"/>
        </w:rPr>
        <w:t/>
      </w:r>
      <w:bookmarkEnd w:id="52"/>
      <w:r>
        <w:rPr>
          <w:rFonts w:ascii="Times New Roman" w:hAnsi="Times New Roman"/>
          <w:b/>
          <w:i w:val="false"/>
          <w:color w:val="000000"/>
          <w:sz w:val="20"/>
        </w:rPr>
        <w:t xml:space="preserve">FORMS OF SECURITIES </w:t>
      </w:r>
    </w:p>
    <w:p>
      <w:pPr>
        <w:spacing w:before="120" w:after="0"/>
        <w:ind w:left="120"/>
        <w:jc w:val="left"/>
      </w:pPr>
      <w:r>
        <w:rPr>
          <w:rFonts w:ascii="Times New Roman" w:hAnsi="Times New Roman"/>
          <w:b w:val="false"/>
          <w:i w:val="false"/>
          <w:color w:val="000000"/>
          <w:sz w:val="20"/>
        </w:rPr>
        <w:t xml:space="preserve"> Each debt security, warrant and unit will be represented either by a certificate issued in definitive form to a particular investor or by one or more global securities representing the entire issuance of securities. Certificated securities will be issued in definitive form, and global securities will be issued in registered form. Definitive securities name you or your nominee as the owner of the security, and in order to transfer or exchange these securities or to receive payments other than interest or other interim payments, you or your nominee must physically deliver the securities to the trustee, registrar, paying agent or other agent, as applicable. Global securities name a depositary or its nominee as the owner of the debt securities, warrants or units represented by these global securities. The depositary maintains a computerized system that will reflect each investor’s beneficial ownership of the securities through an account maintained by the investor with its broker/dealer, bank, trust company or other representative, as we explain more fully below. </w:t>
      </w:r>
    </w:p>
    <w:p>
      <w:pPr>
        <w:spacing w:before="410" w:after="0"/>
        <w:ind w:left="120"/>
        <w:jc w:val="left"/>
      </w:pPr>
      <w:r>
        <w:rPr>
          <w:rFonts w:ascii="Times New Roman" w:hAnsi="Times New Roman"/>
          <w:b/>
          <w:i w:val="false"/>
          <w:color w:val="000000"/>
          <w:sz w:val="20"/>
        </w:rPr>
        <w:t xml:space="preserve"> Registered Global Securities </w:t>
      </w:r>
    </w:p>
    <w:p>
      <w:pPr>
        <w:spacing w:before="120" w:after="0"/>
        <w:ind w:left="120"/>
        <w:jc w:val="left"/>
      </w:pPr>
      <w:r>
        <w:rPr>
          <w:rFonts w:ascii="Times New Roman" w:hAnsi="Times New Roman"/>
          <w:b w:val="false"/>
          <w:i w:val="false"/>
          <w:color w:val="000000"/>
          <w:sz w:val="20"/>
        </w:rPr>
        <w:t xml:space="preserve"> We may issue registered debt securities, warrants and units in the form of one or more fully registered global securities that will be deposited with a depositary or its nominee identified in the applicable prospectus supplement and registered in the name of that depositary or nominee. In those cases, one or more registered global securities will be issued in a denomination or aggregate denominations equal to the portion of the aggregate principal or face amount of the securities to be represented by registered global securities. Unless and until it is exchanged in whole for securities in definitive registered form, a registered global security may not be transferred except as a whole by and among the depositary for the registered global security, the nominees of the depositary or any successors of the depositary or those nominees. </w:t>
      </w:r>
    </w:p>
    <w:p>
      <w:pPr>
        <w:spacing w:before="120" w:after="0"/>
        <w:ind w:left="120"/>
        <w:jc w:val="left"/>
      </w:pPr>
      <w:r>
        <w:rPr>
          <w:rFonts w:ascii="Times New Roman" w:hAnsi="Times New Roman"/>
          <w:b w:val="false"/>
          <w:i w:val="false"/>
          <w:color w:val="000000"/>
          <w:sz w:val="20"/>
        </w:rPr>
        <w:t xml:space="preserve"> If not described below, any specific terms of the depositary arrangement with respect to any securities to be represented by a registered global security will be described in the prospectus supplement relating to those securities. We anticipate that the following provisions will apply to all depositary arrangements. </w:t>
      </w:r>
    </w:p>
    <w:p>
      <w:pPr>
        <w:spacing w:before="120" w:after="0"/>
        <w:ind w:left="120"/>
        <w:jc w:val="left"/>
      </w:pPr>
      <w:r>
        <w:rPr>
          <w:rFonts w:ascii="Times New Roman" w:hAnsi="Times New Roman"/>
          <w:b w:val="false"/>
          <w:i w:val="false"/>
          <w:color w:val="000000"/>
          <w:sz w:val="20"/>
        </w:rPr>
        <w:t xml:space="preserve"> Ownership of beneficial interests in a registered global security will be limited to persons, called participants, that have accounts with the depositary or persons that may hold interests through participants. Upon the issuance of a registered global security, the depositary will credit, on its book-entry registration and transfer system, the participants’ accounts with the respective principal or face amounts of the securities beneficially owned by the participants. Any dealers, underwriters or agents participating in the distribution of the securities will designate the accounts to be credited. Ownership of beneficial interests in a registered global security will be shown on, and the transfer of ownership interests will be effected only through, records maintained by the depositary, with respect to interests of participants, and on the records of participants, with respect to interests of persons holding through participants. The laws of some states may require that some purchasers of securities take physical delivery of these securities in definitive form. These laws may impair your ability to own, transfer or pledge beneficial interests in registered global securities. </w:t>
      </w:r>
    </w:p>
    <w:p>
      <w:pPr>
        <w:spacing w:before="120" w:after="0"/>
        <w:ind w:left="120"/>
        <w:jc w:val="left"/>
      </w:pPr>
      <w:r>
        <w:rPr>
          <w:rFonts w:ascii="Times New Roman" w:hAnsi="Times New Roman"/>
          <w:b w:val="false"/>
          <w:i w:val="false"/>
          <w:color w:val="000000"/>
          <w:sz w:val="20"/>
        </w:rPr>
        <w:t xml:space="preserve"> So long as the depositary, or its nominee, is the registered owner of a registered global security, that depositary or its nominee, as the case may be, will be considered the sole owner or holder of the securities represented by the registered global security for all purposes under the applicable indenture, warrant agreement or unit agreement. Except as described below, owners of beneficial interests in a registered global security will not be entitled to have the securities represented by the registered global security registered in their names, will not receive or be entitled to receive physical delivery of the securities in definitive form and will not be considered the owners or holders of the securities under the applicable indenture, warrant agreement or unit agreement. Accordingly, each person owning a beneficial interest in a registered global security must rely on the procedures of the depositary for that registered global security and, if that person is not a participant, on the procedures of the participant through which the person owns its interest, to exercise any rights of a holder under the applicable indenture, warrant agreement or unit agreement. We understand that under existing industry practices, if we request any action of holders or if an owner of a beneficial interest in a registered global security desires to give or take any action that a holder is entitled to give or take under the applicable indenture, warrant agreement or unit agreement, the depositary for the registered global security would authorize the participants holding the relevant beneficial interests to give or take that action, and the participants would authorize beneficial owners owning through them to give or take that action or would otherwise act upon the instructions of beneficial owners holding through them. </w:t>
      </w:r>
    </w:p>
    <w:p>
      <w:pPr>
        <w:spacing w:before="189" w:after="0"/>
        <w:ind w:left="120"/>
        <w:jc w:val="center"/>
      </w:pPr>
      <w:r>
        <w:rPr>
          <w:rFonts w:ascii="Times New Roman" w:hAnsi="Times New Roman"/>
          <w:b w:val="false"/>
          <w:i w:val="false"/>
          <w:color w:val="000000"/>
          <w:sz w:val="20"/>
        </w:rPr>
        <w:t xml:space="preserve"> 35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2" w:id="53"/>
      <w:r>
        <w:rPr>
          <w:rFonts w:ascii="Times New Roman" w:hAnsi="Times New Roman"/>
          <w:b w:val="false"/>
          <w:i w:val="false"/>
          <w:color w:val="0000ff"/>
          <w:sz w:val="22"/>
        </w:rPr>
        <w:t/>
      </w:r>
      <w:bookmarkEnd w:id="53"/>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Principal, premium, if any, and interest payments on debt securities, and any payments to holders with respect to warrants or units, represented by a registered global security registered in the name of a depositary or its nominee will be made to the depositary or its nominee, as the case may be, as the registered owner of the registered global security. None of InflaRx N.V., its affiliates, the trustees, the warrant agents, the unit agents or any other agent of InflaRx N.V., agent of the trustees or agent of the warrant agents or unit agents will have any responsibility or liability for any aspect of the records relating to payments made on account of beneficial ownership interests in the registered global security or for maintaining, supervising or reviewing any records relating to those beneficial ownership interests. </w:t>
      </w:r>
    </w:p>
    <w:p>
      <w:pPr>
        <w:spacing w:before="120" w:after="0"/>
        <w:ind w:left="120"/>
        <w:jc w:val="left"/>
      </w:pPr>
      <w:r>
        <w:rPr>
          <w:rFonts w:ascii="Times New Roman" w:hAnsi="Times New Roman"/>
          <w:b w:val="false"/>
          <w:i w:val="false"/>
          <w:color w:val="000000"/>
          <w:sz w:val="20"/>
        </w:rPr>
        <w:t xml:space="preserve"> We expect that the depositary for any of the securities represented by a registered global security, upon receipt of any payment of principal, premium, interest or other distribution of underlying securities or other property to holders on that registered global security, will immediately credit participants’ accounts in amounts proportionate to their respective beneficial interests in that registered global security as shown on the records of the depositary. We also expect that payments by participants to owners of beneficial interests in a registered global security held through participants will be governed by standing customer instructions and customary practices, as is now the case with the securities held for the accounts of customers in bearer form or registered in “street name,” and will be the responsibility of those participants. </w:t>
      </w:r>
    </w:p>
    <w:p>
      <w:pPr>
        <w:spacing w:before="120" w:after="0"/>
        <w:ind w:left="120"/>
        <w:jc w:val="left"/>
      </w:pPr>
      <w:r>
        <w:rPr>
          <w:rFonts w:ascii="Times New Roman" w:hAnsi="Times New Roman"/>
          <w:b w:val="false"/>
          <w:i w:val="false"/>
          <w:color w:val="000000"/>
          <w:sz w:val="20"/>
        </w:rPr>
        <w:t xml:space="preserve"> If the depositary for any of these securities represented by a registered global security is at any time unwilling or unable to continue as depositary or ceases to be a clearing agency registered under the Exchange Act, and a successor depositary registered as a clearing agency under the Exchange Act is not appointed by us within 90 days, we will issue securities in definitive form in exchange for the registered global security that had been held by the depositary. Any securities issued in definitive form in exchange for a registered global security will be registered in the name or names that the depositary gives to the relevant trustee, warrant agent, unit agent or other relevant agent of ours or theirs. It is expected that the depositary’s instructions will be based upon directions received by the depositary from participants with respect to ownership of beneficial interests in the registered global security that had been held by the depositary. </w:t>
      </w:r>
    </w:p>
    <w:p>
      <w:pPr>
        <w:spacing w:before="189" w:after="0"/>
        <w:ind w:left="120"/>
        <w:jc w:val="center"/>
      </w:pPr>
      <w:r>
        <w:rPr>
          <w:rFonts w:ascii="Times New Roman" w:hAnsi="Times New Roman"/>
          <w:b w:val="false"/>
          <w:i w:val="false"/>
          <w:color w:val="000000"/>
          <w:sz w:val="20"/>
        </w:rPr>
        <w:t xml:space="preserve"> 36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3" w:id="54"/>
      <w:r>
        <w:rPr>
          <w:rFonts w:ascii="Times New Roman" w:hAnsi="Times New Roman"/>
          <w:b w:val="false"/>
          <w:i w:val="false"/>
          <w:color w:val="0000ff"/>
          <w:sz w:val="22"/>
        </w:rPr>
        <w:t/>
      </w:r>
      <w:bookmarkEnd w:id="54"/>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PLN" w:id="55"/>
      <w:r>
        <w:rPr>
          <w:rFonts w:ascii="Times New Roman" w:hAnsi="Times New Roman"/>
          <w:b/>
          <w:i w:val="false"/>
          <w:color w:val="0000ff"/>
          <w:sz w:val="20"/>
        </w:rPr>
        <w:t/>
      </w:r>
      <w:bookmarkEnd w:id="55"/>
      <w:r>
        <w:rPr>
          <w:rFonts w:ascii="Times New Roman" w:hAnsi="Times New Roman"/>
          <w:b/>
          <w:i w:val="false"/>
          <w:color w:val="000000"/>
          <w:sz w:val="20"/>
        </w:rPr>
        <w:t xml:space="preserve">PLAN OF DISTRIBUTION </w:t>
      </w:r>
    </w:p>
    <w:p>
      <w:pPr>
        <w:spacing w:before="150" w:after="0"/>
        <w:ind w:left="120"/>
        <w:jc w:val="left"/>
      </w:pPr>
      <w:r>
        <w:rPr>
          <w:rFonts w:ascii="Times New Roman" w:hAnsi="Times New Roman"/>
          <w:b w:val="false"/>
          <w:i w:val="false"/>
          <w:color w:val="000000"/>
          <w:sz w:val="20"/>
        </w:rPr>
        <w:t xml:space="preserve"> We may sell the securities in one or more of the following ways (or in any combination) from time to time: </w:t>
      </w:r>
    </w:p>
    <w:tbl>
      <w:tblPr>
        <w:tblW w:w="0" w:type="auto"/>
        <w:tblCellSpacing w:w="0" w:type="dxa"/>
        <w:tblInd w:w="533" w:type="dxa"/>
        <w:tblBorders>
          <w:top w:val="none"/>
          <w:left w:val="none"/>
          <w:bottom w:val="none"/>
          <w:right w:val="none"/>
          <w:insideH w:val="none"/>
          <w:insideV w:val="none"/>
        </w:tblBorders>
      </w:tblPr>
      <w:tblGrid>
        <w:gridCol w:w="533"/>
        <w:gridCol w:w="3436"/>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436"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through underwriters or dealers; </w:t>
            </w:r>
          </w:p>
        </w:tc>
      </w:tr>
    </w:tbl>
    <w:tbl>
      <w:tblPr>
        <w:tblW w:w="0" w:type="auto"/>
        <w:tblCellSpacing w:w="0" w:type="dxa"/>
        <w:tblInd w:w="533" w:type="dxa"/>
        <w:tblBorders>
          <w:top w:val="none"/>
          <w:left w:val="none"/>
          <w:bottom w:val="none"/>
          <w:right w:val="none"/>
          <w:insideH w:val="none"/>
          <w:insideV w:val="none"/>
        </w:tblBorders>
      </w:tblPr>
      <w:tblGrid>
        <w:gridCol w:w="533"/>
        <w:gridCol w:w="711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11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directly to a limited number of purchasers or to a single purchaser;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in “at-the-market” offerings, within the meaning of Rule 415(a)(4) of the Securities Act, to or through a market maker or into an existing trading market on an exchange or otherwise; </w:t>
            </w:r>
          </w:p>
        </w:tc>
      </w:tr>
    </w:tbl>
    <w:tbl>
      <w:tblPr>
        <w:tblW w:w="0" w:type="auto"/>
        <w:tblCellSpacing w:w="0" w:type="dxa"/>
        <w:tblInd w:w="533" w:type="dxa"/>
        <w:tblBorders>
          <w:top w:val="none"/>
          <w:left w:val="none"/>
          <w:bottom w:val="none"/>
          <w:right w:val="none"/>
          <w:insideH w:val="none"/>
          <w:insideV w:val="none"/>
        </w:tblBorders>
      </w:tblPr>
      <w:tblGrid>
        <w:gridCol w:w="533"/>
        <w:gridCol w:w="194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94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through agents;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through any other method permitted by applicable law and described in the applicable prospectus supplement. </w:t>
            </w:r>
          </w:p>
        </w:tc>
      </w:tr>
    </w:tbl>
    <w:p>
      <w:pPr>
        <w:spacing w:before="170" w:after="0"/>
        <w:ind w:left="520"/>
        <w:jc w:val="left"/>
      </w:pPr>
      <w:r>
        <w:rPr>
          <w:rFonts w:ascii="Times New Roman" w:hAnsi="Times New Roman"/>
          <w:b w:val="false"/>
          <w:i w:val="false"/>
          <w:color w:val="000000"/>
          <w:sz w:val="20"/>
        </w:rPr>
        <w:t xml:space="preserve"> The prospectus supplement will state the terms of the offering of the securities, including: </w:t>
      </w:r>
    </w:p>
    <w:tbl>
      <w:tblPr>
        <w:tblW w:w="0" w:type="auto"/>
        <w:tblCellSpacing w:w="0" w:type="dxa"/>
        <w:tblInd w:w="533" w:type="dxa"/>
        <w:tblBorders>
          <w:top w:val="none"/>
          <w:left w:val="none"/>
          <w:bottom w:val="none"/>
          <w:right w:val="none"/>
          <w:insideH w:val="none"/>
          <w:insideV w:val="none"/>
        </w:tblBorders>
      </w:tblPr>
      <w:tblGrid>
        <w:gridCol w:w="533"/>
        <w:gridCol w:w="617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17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name or names of any underwriters, dealers or agents; </w:t>
            </w:r>
          </w:p>
        </w:tc>
      </w:tr>
    </w:tbl>
    <w:tbl>
      <w:tblPr>
        <w:tblW w:w="0" w:type="auto"/>
        <w:tblCellSpacing w:w="0" w:type="dxa"/>
        <w:tblInd w:w="533" w:type="dxa"/>
        <w:tblBorders>
          <w:top w:val="none"/>
          <w:left w:val="none"/>
          <w:bottom w:val="none"/>
          <w:right w:val="none"/>
          <w:insideH w:val="none"/>
          <w:insideV w:val="none"/>
        </w:tblBorders>
      </w:tblPr>
      <w:tblGrid>
        <w:gridCol w:w="533"/>
        <w:gridCol w:w="8758"/>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8758"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purchase price of such securities and the proceeds to be received by us, if any;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underwriting discounts or agency fees and other items constituting underwriters’ or agents’ compensation; </w:t>
            </w:r>
          </w:p>
        </w:tc>
      </w:tr>
    </w:tbl>
    <w:tbl>
      <w:tblPr>
        <w:tblW w:w="0" w:type="auto"/>
        <w:tblCellSpacing w:w="0" w:type="dxa"/>
        <w:tblInd w:w="533" w:type="dxa"/>
        <w:tblBorders>
          <w:top w:val="none"/>
          <w:left w:val="none"/>
          <w:bottom w:val="none"/>
          <w:right w:val="none"/>
          <w:insideH w:val="none"/>
          <w:insideV w:val="none"/>
        </w:tblBorders>
      </w:tblPr>
      <w:tblGrid>
        <w:gridCol w:w="533"/>
        <w:gridCol w:w="3413"/>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341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initial public offering price; </w:t>
            </w:r>
          </w:p>
        </w:tc>
      </w:tr>
    </w:tbl>
    <w:tbl>
      <w:tblPr>
        <w:tblW w:w="0" w:type="auto"/>
        <w:tblCellSpacing w:w="0" w:type="dxa"/>
        <w:tblInd w:w="533" w:type="dxa"/>
        <w:tblBorders>
          <w:top w:val="none"/>
          <w:left w:val="none"/>
          <w:bottom w:val="none"/>
          <w:right w:val="none"/>
          <w:insideH w:val="none"/>
          <w:insideV w:val="none"/>
        </w:tblBorders>
      </w:tblPr>
      <w:tblGrid>
        <w:gridCol w:w="533"/>
        <w:gridCol w:w="7861"/>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7861"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discounts or concessions allowed or reallowed or paid to dealers; and </w:t>
            </w:r>
          </w:p>
        </w:tc>
      </w:tr>
    </w:tbl>
    <w:tbl>
      <w:tblPr>
        <w:tblW w:w="0" w:type="auto"/>
        <w:tblCellSpacing w:w="0" w:type="dxa"/>
        <w:tblInd w:w="533" w:type="dxa"/>
        <w:tblBorders>
          <w:top w:val="none"/>
          <w:left w:val="none"/>
          <w:bottom w:val="none"/>
          <w:right w:val="none"/>
          <w:insideH w:val="none"/>
          <w:insideV w:val="none"/>
        </w:tblBorders>
      </w:tblPr>
      <w:tblGrid>
        <w:gridCol w:w="533"/>
        <w:gridCol w:w="672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72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securities exchanges on which the securities may be listed. </w:t>
            </w:r>
          </w:p>
        </w:tc>
      </w:tr>
    </w:tbl>
    <w:p>
      <w:pPr>
        <w:spacing w:before="120" w:after="0"/>
        <w:ind w:left="120"/>
        <w:jc w:val="left"/>
      </w:pPr>
      <w:r>
        <w:rPr>
          <w:rFonts w:ascii="Times New Roman" w:hAnsi="Times New Roman"/>
          <w:b w:val="false"/>
          <w:i w:val="false"/>
          <w:color w:val="000000"/>
          <w:sz w:val="20"/>
        </w:rPr>
        <w:t xml:space="preserve"> Any initial public offering price and any discounts or concessions allowed or reallowed or paid to dealers may be changed from time to time. </w:t>
      </w:r>
    </w:p>
    <w:p>
      <w:pPr>
        <w:spacing w:before="120" w:after="0"/>
        <w:ind w:left="120"/>
        <w:jc w:val="left"/>
      </w:pPr>
      <w:r>
        <w:rPr>
          <w:rFonts w:ascii="Times New Roman" w:hAnsi="Times New Roman"/>
          <w:b w:val="false"/>
          <w:i w:val="false"/>
          <w:color w:val="000000"/>
          <w:sz w:val="20"/>
        </w:rPr>
        <w:t xml:space="preserve"> If underwriters are used in the sale, the securities will be acquired by the underwriters for their own account and may be resold from time to time in one or more transactions, including: </w:t>
      </w:r>
    </w:p>
    <w:tbl>
      <w:tblPr>
        <w:tblW w:w="0" w:type="auto"/>
        <w:tblCellSpacing w:w="0" w:type="dxa"/>
        <w:tblInd w:w="533" w:type="dxa"/>
        <w:tblBorders>
          <w:top w:val="none"/>
          <w:left w:val="none"/>
          <w:bottom w:val="none"/>
          <w:right w:val="none"/>
          <w:insideH w:val="none"/>
          <w:insideV w:val="none"/>
        </w:tblBorders>
      </w:tblPr>
      <w:tblGrid>
        <w:gridCol w:w="533"/>
        <w:gridCol w:w="2530"/>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2530"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negotiated transactions; </w:t>
            </w:r>
          </w:p>
        </w:tc>
      </w:tr>
    </w:tbl>
    <w:tbl>
      <w:tblPr>
        <w:tblW w:w="0" w:type="auto"/>
        <w:tblCellSpacing w:w="0" w:type="dxa"/>
        <w:tblInd w:w="533" w:type="dxa"/>
        <w:tblBorders>
          <w:top w:val="none"/>
          <w:left w:val="none"/>
          <w:bottom w:val="none"/>
          <w:right w:val="none"/>
          <w:insideH w:val="none"/>
          <w:insideV w:val="none"/>
        </w:tblBorders>
      </w:tblPr>
      <w:tblGrid>
        <w:gridCol w:w="533"/>
        <w:gridCol w:w="691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691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at a fixed public offering price or prices, which may be changed; </w:t>
            </w:r>
          </w:p>
        </w:tc>
      </w:tr>
    </w:tbl>
    <w:tbl>
      <w:tblPr>
        <w:tblW w:w="0" w:type="auto"/>
        <w:tblCellSpacing w:w="0" w:type="dxa"/>
        <w:tblInd w:w="533" w:type="dxa"/>
        <w:tblBorders>
          <w:top w:val="none"/>
          <w:left w:val="none"/>
          <w:bottom w:val="none"/>
          <w:right w:val="none"/>
          <w:insideH w:val="none"/>
          <w:insideV w:val="none"/>
        </w:tblBorders>
      </w:tblPr>
      <w:tblGrid>
        <w:gridCol w:w="533"/>
        <w:gridCol w:w="4900"/>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4900"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at market prices prevailing at the time of sale; </w:t>
            </w:r>
          </w:p>
        </w:tc>
      </w:tr>
    </w:tbl>
    <w:tbl>
      <w:tblPr>
        <w:tblW w:w="0" w:type="auto"/>
        <w:tblCellSpacing w:w="0" w:type="dxa"/>
        <w:tblInd w:w="533" w:type="dxa"/>
        <w:tblBorders>
          <w:top w:val="none"/>
          <w:left w:val="none"/>
          <w:bottom w:val="none"/>
          <w:right w:val="none"/>
          <w:insideH w:val="none"/>
          <w:insideV w:val="none"/>
        </w:tblBorders>
      </w:tblPr>
      <w:tblGrid>
        <w:gridCol w:w="533"/>
        <w:gridCol w:w="499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499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at prices related to prevailing market prices; or </w:t>
            </w:r>
          </w:p>
        </w:tc>
      </w:tr>
    </w:tbl>
    <w:tbl>
      <w:tblPr>
        <w:tblW w:w="0" w:type="auto"/>
        <w:tblCellSpacing w:w="0" w:type="dxa"/>
        <w:tblInd w:w="533" w:type="dxa"/>
        <w:tblBorders>
          <w:top w:val="none"/>
          <w:left w:val="none"/>
          <w:bottom w:val="none"/>
          <w:right w:val="none"/>
          <w:insideH w:val="none"/>
          <w:insideV w:val="none"/>
        </w:tblBorders>
      </w:tblPr>
      <w:tblGrid>
        <w:gridCol w:w="533"/>
        <w:gridCol w:w="2145"/>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2145"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at negotiated prices. </w:t>
            </w:r>
          </w:p>
        </w:tc>
      </w:tr>
    </w:tbl>
    <w:p>
      <w:pPr>
        <w:spacing w:before="120" w:after="0"/>
        <w:ind w:left="120"/>
        <w:jc w:val="left"/>
      </w:pPr>
      <w:r>
        <w:rPr>
          <w:rFonts w:ascii="Times New Roman" w:hAnsi="Times New Roman"/>
          <w:b w:val="false"/>
          <w:i w:val="false"/>
          <w:color w:val="000000"/>
          <w:sz w:val="20"/>
        </w:rPr>
        <w:t xml:space="preserve"> Unless otherwise stated in a prospectus supplement, the obligations of the underwriters to purchase any securities will be conditioned on customary closing conditions and the underwriters will be obligated to purchase all of such series of securities, if any are purchased. </w:t>
      </w:r>
    </w:p>
    <w:p>
      <w:pPr>
        <w:spacing w:before="120" w:after="0"/>
        <w:ind w:left="120"/>
        <w:jc w:val="left"/>
      </w:pPr>
      <w:r>
        <w:rPr>
          <w:rFonts w:ascii="Times New Roman" w:hAnsi="Times New Roman"/>
          <w:b w:val="false"/>
          <w:i w:val="false"/>
          <w:color w:val="000000"/>
          <w:sz w:val="20"/>
        </w:rPr>
        <w:t xml:space="preserve"> In addition, any securities covered by this prospectus that qualify for sale pursuant to Rule 144 under the Securities Act may be sold under Rule 144 rather than pursuant to this prospectus. </w:t>
      </w:r>
    </w:p>
    <w:p>
      <w:pPr>
        <w:spacing w:before="120" w:after="0"/>
        <w:ind w:left="120"/>
        <w:jc w:val="left"/>
      </w:pPr>
      <w:r>
        <w:rPr>
          <w:rFonts w:ascii="Times New Roman" w:hAnsi="Times New Roman"/>
          <w:b w:val="false"/>
          <w:i w:val="false"/>
          <w:color w:val="000000"/>
          <w:sz w:val="20"/>
        </w:rPr>
        <w:t xml:space="preserve"> The securities may be sold through agents from time to time. The prospectus supplement will name any agent involved in the offer or sale of the securities and any commissions paid to them. Generally, any agent will be acting on a best efforts basis for the period of its appointment. </w:t>
      </w:r>
    </w:p>
    <w:p>
      <w:pPr>
        <w:spacing w:before="120" w:after="0"/>
        <w:ind w:left="120"/>
        <w:jc w:val="left"/>
      </w:pPr>
      <w:r>
        <w:rPr>
          <w:rFonts w:ascii="Times New Roman" w:hAnsi="Times New Roman"/>
          <w:b w:val="false"/>
          <w:i w:val="false"/>
          <w:color w:val="000000"/>
          <w:sz w:val="20"/>
        </w:rPr>
        <w:t xml:space="preserve"> Sales to or through one or more underwriters or agents in at-the-market offerings will be made pursuant to the terms of a distribution agreement with the underwriters or agents. Such underwriters or agents may act on an agency basis or on a principal basis. During the term of any such agreement, shares may be sold on a daily basis on any stock exchange, market or trading facility on which the ordinary shares are traded, in privately negotiated transactions or otherwise as agreed with the underwriters or agents. The distribution agreement will provide that any ordinary share sold will be sold at negotiated prices or at prices related to the then prevailing market prices for our ordinary shares. Therefore, exact figures regarding proceeds that will be raised or commissions to be paid </w:t>
      </w:r>
    </w:p>
    <w:p>
      <w:pPr>
        <w:spacing w:before="189" w:after="0"/>
        <w:ind w:left="120"/>
        <w:jc w:val="center"/>
      </w:pPr>
      <w:r>
        <w:rPr>
          <w:rFonts w:ascii="Times New Roman" w:hAnsi="Times New Roman"/>
          <w:b w:val="false"/>
          <w:i w:val="false"/>
          <w:color w:val="000000"/>
          <w:sz w:val="20"/>
        </w:rPr>
        <w:t xml:space="preserve"> 37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4" w:id="56"/>
      <w:r>
        <w:rPr>
          <w:rFonts w:ascii="Times New Roman" w:hAnsi="Times New Roman"/>
          <w:b w:val="false"/>
          <w:i w:val="false"/>
          <w:color w:val="0000ff"/>
          <w:sz w:val="22"/>
        </w:rPr>
        <w:t/>
      </w:r>
      <w:bookmarkEnd w:id="56"/>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cannot be determined at this time and will be described in a prospectus supplement. Pursuant to the terms of the distribution agreement, we may also agree to sell, and the relevant underwriters or agents may agree to solicit offers to purchase, blocks of our ordinary shares or other securities. The terms of each such distribution agreement will be described in a prospectus supplement. </w:t>
      </w:r>
    </w:p>
    <w:p>
      <w:pPr>
        <w:spacing w:before="120" w:after="0"/>
        <w:ind w:left="120"/>
        <w:jc w:val="left"/>
      </w:pPr>
      <w:r>
        <w:rPr>
          <w:rFonts w:ascii="Times New Roman" w:hAnsi="Times New Roman"/>
          <w:b w:val="false"/>
          <w:i w:val="false"/>
          <w:color w:val="000000"/>
          <w:sz w:val="20"/>
        </w:rPr>
        <w:t xml:space="preserve"> We may authorize underwriters, dealers or agents to solicit offers by certain purchasers to purchase the securities at the public offering price set forth in the prospectus supplement pursuant to delayed delivery contracts providing for payment and delivery on a specified date in the future. The contracts will be subject only to those conditions set forth in the prospectus supplement, and the prospectus supplement will set forth any commissions paid for solicitation of these contracts. </w:t>
      </w:r>
    </w:p>
    <w:p>
      <w:pPr>
        <w:spacing w:before="120" w:after="0"/>
        <w:ind w:left="120"/>
        <w:jc w:val="left"/>
      </w:pPr>
      <w:r>
        <w:rPr>
          <w:rFonts w:ascii="Times New Roman" w:hAnsi="Times New Roman"/>
          <w:b w:val="false"/>
          <w:i w:val="false"/>
          <w:color w:val="000000"/>
          <w:sz w:val="20"/>
        </w:rPr>
        <w:t xml:space="preserve"> Underwriters and agents may be entitled under agreements entered into with us to indemnification by us against certain civil liabilities, including liabilities under the Securities Act, or to contribution with respect to payments that the underwriters or agents may be required to make. </w:t>
      </w:r>
    </w:p>
    <w:p>
      <w:pPr>
        <w:spacing w:before="120" w:after="0"/>
        <w:ind w:left="120"/>
        <w:jc w:val="left"/>
      </w:pPr>
      <w:r>
        <w:rPr>
          <w:rFonts w:ascii="Times New Roman" w:hAnsi="Times New Roman"/>
          <w:b w:val="false"/>
          <w:i w:val="false"/>
          <w:color w:val="000000"/>
          <w:sz w:val="20"/>
        </w:rPr>
        <w:t xml:space="preserve"> The prospectus supplement may also set forth whether or not underwriters may over-allot or effect transactions that stabilize, maintain or otherwise affect the market price of the securities at levels above those that might otherwise prevail in the open market, including, for example, by entering stabilizing bids, effecting syndicate covering transactions or imposing penalty bids. </w:t>
      </w:r>
    </w:p>
    <w:p>
      <w:pPr>
        <w:spacing w:before="120" w:after="0"/>
        <w:ind w:left="120"/>
        <w:jc w:val="left"/>
      </w:pPr>
      <w:r>
        <w:rPr>
          <w:rFonts w:ascii="Times New Roman" w:hAnsi="Times New Roman"/>
          <w:b w:val="false"/>
          <w:i w:val="false"/>
          <w:color w:val="000000"/>
          <w:sz w:val="20"/>
        </w:rPr>
        <w:t xml:space="preserve"> Underwriters and agents may be customers of, engage in transactions with, or perform services for us and our affiliates in the ordinary course of business. </w:t>
      </w:r>
    </w:p>
    <w:p>
      <w:pPr>
        <w:spacing w:before="120" w:after="0"/>
        <w:ind w:left="120"/>
        <w:jc w:val="left"/>
      </w:pPr>
      <w:r>
        <w:rPr>
          <w:rFonts w:ascii="Times New Roman" w:hAnsi="Times New Roman"/>
          <w:b w:val="false"/>
          <w:i w:val="false"/>
          <w:color w:val="000000"/>
          <w:sz w:val="20"/>
        </w:rPr>
        <w:t xml:space="preserve"> Each series of securities will be a new issue of securities and will have no established trading market, other than our ordinary shares, which are listed on Nasdaq. Any underwriters to whom securities are sold for public offering and sale may make a market in the securities, but such underwriters will not be obligated to do so and may discontinue any market making at any time without notice. The securities, other than our ordinary shares, may or may not be listed on a national securities exchange. </w:t>
      </w:r>
    </w:p>
    <w:p>
      <w:pPr>
        <w:spacing w:before="189" w:after="0"/>
        <w:ind w:left="120"/>
        <w:jc w:val="center"/>
      </w:pPr>
      <w:r>
        <w:rPr>
          <w:rFonts w:ascii="Times New Roman" w:hAnsi="Times New Roman"/>
          <w:b w:val="false"/>
          <w:i w:val="false"/>
          <w:color w:val="000000"/>
          <w:sz w:val="20"/>
        </w:rPr>
        <w:t xml:space="preserve"> 38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5" w:id="57"/>
      <w:r>
        <w:rPr>
          <w:rFonts w:ascii="Times New Roman" w:hAnsi="Times New Roman"/>
          <w:b w:val="false"/>
          <w:i w:val="false"/>
          <w:color w:val="0000ff"/>
          <w:sz w:val="22"/>
        </w:rPr>
        <w:t/>
      </w:r>
      <w:bookmarkEnd w:id="57"/>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INC" w:id="58"/>
      <w:r>
        <w:rPr>
          <w:rFonts w:ascii="Times New Roman" w:hAnsi="Times New Roman"/>
          <w:b/>
          <w:i w:val="false"/>
          <w:color w:val="0000ff"/>
          <w:sz w:val="20"/>
        </w:rPr>
        <w:t/>
      </w:r>
      <w:bookmarkEnd w:id="58"/>
      <w:r>
        <w:rPr>
          <w:rFonts w:ascii="Times New Roman" w:hAnsi="Times New Roman"/>
          <w:b/>
          <w:i w:val="false"/>
          <w:color w:val="000000"/>
          <w:sz w:val="20"/>
        </w:rPr>
        <w:t xml:space="preserve">INCORPORATION OF CERTAIN INFORMATION BY REFERENCE </w:t>
      </w:r>
    </w:p>
    <w:p>
      <w:pPr>
        <w:spacing w:before="120" w:after="0"/>
        <w:ind w:left="120"/>
        <w:jc w:val="left"/>
      </w:pPr>
      <w:r>
        <w:rPr>
          <w:rFonts w:ascii="Times New Roman" w:hAnsi="Times New Roman"/>
          <w:b w:val="false"/>
          <w:i w:val="false"/>
          <w:color w:val="000000"/>
          <w:sz w:val="20"/>
        </w:rPr>
        <w:t xml:space="preserve"> The SEC allows us to incorporate information by reference into this document. This means that we can disclose important information to you by referring you to another document filed separately with the SEC. The information incorporated by reference is considered to be a part of this document, except for any information superseded by information that is included directly in this prospectus or incorporated by reference subsequent to the date of this prospectus. </w:t>
      </w:r>
    </w:p>
    <w:p>
      <w:pPr>
        <w:spacing w:before="170" w:after="0"/>
        <w:ind w:left="120"/>
        <w:jc w:val="left"/>
      </w:pPr>
      <w:r>
        <w:rPr>
          <w:rFonts w:ascii="Times New Roman" w:hAnsi="Times New Roman"/>
          <w:b w:val="false"/>
          <w:i w:val="false"/>
          <w:color w:val="000000"/>
          <w:sz w:val="20"/>
        </w:rPr>
        <w:t xml:space="preserve"> We incorporate by reference the following documents or information that we have filed with the SEC: </w:t>
      </w:r>
    </w:p>
    <w:tbl>
      <w:tblPr>
        <w:tblW w:w="0" w:type="auto"/>
        <w:tblCellSpacing w:w="0" w:type="dxa"/>
        <w:tblInd w:w="533" w:type="dxa"/>
        <w:tblBorders>
          <w:top w:val="none"/>
          <w:left w:val="none"/>
          <w:bottom w:val="none"/>
          <w:right w:val="none"/>
          <w:insideH w:val="none"/>
          <w:insideV w:val="none"/>
        </w:tblBorders>
      </w:tblPr>
      <w:tblGrid>
        <w:gridCol w:w="533"/>
        <w:gridCol w:w="11177"/>
      </w:tblGrid>
      <w:tr>
        <w:trPr>
          <w:trHeight w:val="45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17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Annual Report on Form 20-F for the fiscal year ended December 31, 2025 filed on </w:t>
            </w:r>
            <w:r>
              <w:rPr>
                <w:rFonts w:ascii="Times New Roman" w:hAnsi="Times New Roman"/>
                <w:b/>
                <w:i w:val="false"/>
                <w:color w:val="000000"/>
                <w:sz w:val="20"/>
              </w:rPr>
              <w:t>March 20, 2026</w:t>
            </w:r>
            <w:r>
              <w:rPr>
                <w:rFonts w:ascii="Times New Roman" w:hAnsi="Times New Roman"/>
                <w:b w:val="false"/>
                <w:i w:val="false"/>
                <w:color w:val="000000"/>
                <w:sz w:val="20"/>
              </w:rPr>
              <w:t xml:space="preserv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90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our Forms 6-K filed on </w:t>
            </w:r>
            <w:r>
              <w:rPr>
                <w:rFonts w:ascii="Times New Roman" w:hAnsi="Times New Roman"/>
                <w:b/>
                <w:i w:val="false"/>
                <w:color w:val="000000"/>
                <w:sz w:val="20"/>
              </w:rPr>
              <w:t>January 8, 2026</w:t>
            </w:r>
            <w:r>
              <w:rPr>
                <w:rFonts w:ascii="Times New Roman" w:hAnsi="Times New Roman"/>
                <w:b w:val="false"/>
                <w:i w:val="false"/>
                <w:color w:val="000000"/>
                <w:sz w:val="20"/>
              </w:rPr>
              <w:t xml:space="preserve">; </w:t>
            </w:r>
            <w:r>
              <w:rPr>
                <w:rFonts w:ascii="Times New Roman" w:hAnsi="Times New Roman"/>
                <w:b/>
                <w:i w:val="false"/>
                <w:color w:val="000000"/>
                <w:sz w:val="20"/>
              </w:rPr>
              <w:t>March 16, 2026</w:t>
            </w:r>
            <w:r>
              <w:rPr>
                <w:rFonts w:ascii="Times New Roman" w:hAnsi="Times New Roman"/>
                <w:b w:val="false"/>
                <w:i w:val="false"/>
                <w:color w:val="000000"/>
                <w:sz w:val="20"/>
              </w:rPr>
              <w:t xml:space="preserve">; </w:t>
            </w:r>
            <w:r>
              <w:rPr>
                <w:rFonts w:ascii="Times New Roman" w:hAnsi="Times New Roman"/>
                <w:b/>
                <w:i w:val="false"/>
                <w:color w:val="000000"/>
                <w:sz w:val="20"/>
              </w:rPr>
              <w:t>April 2, 2026</w:t>
            </w:r>
            <w:r>
              <w:rPr>
                <w:rFonts w:ascii="Times New Roman" w:hAnsi="Times New Roman"/>
                <w:b w:val="false"/>
                <w:i w:val="false"/>
                <w:color w:val="000000"/>
                <w:sz w:val="20"/>
              </w:rPr>
              <w:t xml:space="preserve">; </w:t>
            </w:r>
            <w:r>
              <w:rPr>
                <w:rFonts w:ascii="Times New Roman" w:hAnsi="Times New Roman"/>
                <w:b/>
                <w:i w:val="false"/>
                <w:color w:val="000000"/>
                <w:sz w:val="20"/>
              </w:rPr>
              <w:t>April 9, 2026</w:t>
            </w:r>
            <w:r>
              <w:rPr>
                <w:rFonts w:ascii="Times New Roman" w:hAnsi="Times New Roman"/>
                <w:b w:val="false"/>
                <w:i w:val="false"/>
                <w:color w:val="000000"/>
                <w:sz w:val="20"/>
              </w:rPr>
              <w:t xml:space="preserve">; </w:t>
            </w:r>
            <w:r>
              <w:rPr>
                <w:rFonts w:ascii="Times New Roman" w:hAnsi="Times New Roman"/>
                <w:b/>
                <w:i w:val="false"/>
                <w:color w:val="000000"/>
                <w:sz w:val="20"/>
              </w:rPr>
              <w:t>April 23, 2026</w:t>
            </w:r>
            <w:r>
              <w:rPr>
                <w:rFonts w:ascii="Times New Roman" w:hAnsi="Times New Roman"/>
                <w:b w:val="false"/>
                <w:i w:val="false"/>
                <w:color w:val="000000"/>
                <w:sz w:val="20"/>
              </w:rPr>
              <w:t xml:space="preserve">; </w:t>
            </w:r>
            <w:r>
              <w:rPr>
                <w:rFonts w:ascii="Times New Roman" w:hAnsi="Times New Roman"/>
                <w:b/>
                <w:i w:val="false"/>
                <w:color w:val="000000"/>
                <w:sz w:val="20"/>
              </w:rPr>
              <w:t>April 28, 2026</w:t>
            </w:r>
            <w:r>
              <w:rPr>
                <w:rFonts w:ascii="Times New Roman" w:hAnsi="Times New Roman"/>
                <w:b w:val="false"/>
                <w:i w:val="false"/>
                <w:color w:val="000000"/>
                <w:sz w:val="20"/>
              </w:rPr>
              <w:t xml:space="preserve">; </w:t>
            </w:r>
            <w:r>
              <w:rPr>
                <w:rFonts w:ascii="Times New Roman" w:hAnsi="Times New Roman"/>
                <w:b/>
                <w:i w:val="false"/>
                <w:color w:val="000000"/>
                <w:sz w:val="20"/>
              </w:rPr>
              <w:t>May 4, 2026</w:t>
            </w:r>
            <w:r>
              <w:rPr>
                <w:rFonts w:ascii="Times New Roman" w:hAnsi="Times New Roman"/>
                <w:b w:val="false"/>
                <w:i w:val="false"/>
                <w:color w:val="000000"/>
                <w:sz w:val="20"/>
              </w:rPr>
              <w:t xml:space="preserve">; </w:t>
            </w:r>
            <w:r>
              <w:rPr>
                <w:rFonts w:ascii="Times New Roman" w:hAnsi="Times New Roman"/>
                <w:b/>
                <w:i w:val="false"/>
                <w:color w:val="000000"/>
                <w:sz w:val="20"/>
              </w:rPr>
              <w:t>May 6, 2026</w:t>
            </w:r>
            <w:r>
              <w:rPr>
                <w:rFonts w:ascii="Times New Roman" w:hAnsi="Times New Roman"/>
                <w:b w:val="false"/>
                <w:i w:val="false"/>
                <w:color w:val="000000"/>
                <w:sz w:val="20"/>
              </w:rPr>
              <w:t xml:space="preserve">; </w:t>
            </w:r>
            <w:r>
              <w:rPr>
                <w:rFonts w:ascii="Times New Roman" w:hAnsi="Times New Roman"/>
                <w:b/>
                <w:i w:val="false"/>
                <w:color w:val="000000"/>
                <w:sz w:val="20"/>
              </w:rPr>
              <w:t>May 7, 2026</w:t>
            </w:r>
            <w:r>
              <w:rPr>
                <w:rFonts w:ascii="Times New Roman" w:hAnsi="Times New Roman"/>
                <w:b w:val="false"/>
                <w:i w:val="false"/>
                <w:color w:val="000000"/>
                <w:sz w:val="20"/>
              </w:rPr>
              <w:t xml:space="preserve">; </w:t>
            </w:r>
            <w:r>
              <w:rPr>
                <w:rFonts w:ascii="Times New Roman" w:hAnsi="Times New Roman"/>
                <w:b/>
                <w:i w:val="false"/>
                <w:color w:val="000000"/>
                <w:sz w:val="20"/>
              </w:rPr>
              <w:t>June 30, 2026</w:t>
            </w:r>
            <w:r>
              <w:rPr>
                <w:rFonts w:ascii="Times New Roman" w:hAnsi="Times New Roman"/>
                <w:b w:val="false"/>
                <w:i w:val="false"/>
                <w:color w:val="000000"/>
                <w:sz w:val="20"/>
              </w:rPr>
              <w:t xml:space="preserve">; and </w:t>
            </w:r>
            <w:r>
              <w:rPr>
                <w:rFonts w:ascii="Times New Roman" w:hAnsi="Times New Roman"/>
                <w:b/>
                <w:i w:val="false"/>
                <w:color w:val="000000"/>
                <w:sz w:val="20"/>
              </w:rPr>
              <w:t>August 6, 2026</w:t>
            </w:r>
            <w:r>
              <w:rPr>
                <w:rFonts w:ascii="Times New Roman" w:hAnsi="Times New Roman"/>
                <w:b w:val="false"/>
                <w:i w:val="false"/>
                <w:color w:val="000000"/>
                <w:sz w:val="20"/>
              </w:rPr>
              <w:t xml:space="preserve"> (excluding exhibits and other disclosure in such Form 6-Ks that are explicitly deemed therein as not “filed” for purposes of Section 18 of the Exchange Act); and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7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the description of our ordinary shares contained in </w:t>
            </w:r>
            <w:r>
              <w:rPr>
                <w:rFonts w:ascii="Times New Roman" w:hAnsi="Times New Roman"/>
                <w:b/>
                <w:i w:val="false"/>
                <w:color w:val="000000"/>
                <w:sz w:val="20"/>
              </w:rPr>
              <w:t>Exhibit 2.4</w:t>
            </w:r>
            <w:r>
              <w:rPr>
                <w:rFonts w:ascii="Times New Roman" w:hAnsi="Times New Roman"/>
                <w:b w:val="false"/>
                <w:i w:val="false"/>
                <w:color w:val="000000"/>
                <w:sz w:val="20"/>
              </w:rPr>
              <w:t xml:space="preserve"> to our Annual Report on Form 20-F for the year ended December 31, 2025, including any amendments or reports filed for the purpose of updating such description. </w:t>
            </w:r>
          </w:p>
        </w:tc>
      </w:tr>
    </w:tbl>
    <w:p>
      <w:pPr>
        <w:spacing w:before="120" w:after="0"/>
        <w:ind w:left="120"/>
        <w:jc w:val="left"/>
      </w:pPr>
      <w:r>
        <w:rPr>
          <w:rFonts w:ascii="Times New Roman" w:hAnsi="Times New Roman"/>
          <w:b w:val="false"/>
          <w:i w:val="false"/>
          <w:color w:val="000000"/>
          <w:sz w:val="20"/>
        </w:rPr>
        <w:t xml:space="preserve"> All annual reports we file with the SEC pursuant to the Exchange Act on Form 20-F after the date of this prospectus and prior to termination or expiration of this registration statement shall be deemed incorporated by reference into this prospectus and to be part hereof from the date of filing of such documents. We may incorporate by reference any Form 6-K subsequently submitted to the SEC by identifying in such Form 6-K that it is being incorporated by reference into this prospectus. </w:t>
      </w:r>
    </w:p>
    <w:p>
      <w:pPr>
        <w:spacing w:before="120" w:after="0"/>
        <w:ind w:left="120"/>
        <w:jc w:val="left"/>
      </w:pPr>
      <w:r>
        <w:rPr>
          <w:rFonts w:ascii="Times New Roman" w:hAnsi="Times New Roman"/>
          <w:b w:val="false"/>
          <w:i w:val="false"/>
          <w:color w:val="000000"/>
          <w:sz w:val="20"/>
        </w:rPr>
        <w:t xml:space="preserve"> Documents incorporated by reference in this prospectus are available from us without charge upon written or oral request, excluding any exhibits to those documents that are not specifically incorporated by reference into those documents. You can obtain documents incorporated by reference in this document by requesting them from us in writing at Winzerlaer Str. 2, 07745 Jena, Germany or via telephone at (+49) 3641 508 180. The SEC maintains a website that contains reports, proxy and information statements, and other information filed by us electronically at </w:t>
      </w:r>
      <w:r>
        <w:rPr>
          <w:rFonts w:ascii="Times New Roman" w:hAnsi="Times New Roman"/>
          <w:b w:val="false"/>
          <w:i/>
          <w:color w:val="000000"/>
          <w:sz w:val="20"/>
        </w:rPr>
        <w:t>www.sec.gov</w:t>
      </w:r>
      <w:r>
        <w:rPr>
          <w:rFonts w:ascii="Times New Roman" w:hAnsi="Times New Roman"/>
          <w:b w:val="false"/>
          <w:i w:val="false"/>
          <w:color w:val="000000"/>
          <w:sz w:val="20"/>
        </w:rPr>
        <w:t xml:space="preserve">. </w:t>
      </w:r>
    </w:p>
    <w:p>
      <w:pPr>
        <w:spacing w:before="189" w:after="0"/>
        <w:ind w:left="120"/>
        <w:jc w:val="center"/>
      </w:pPr>
      <w:r>
        <w:rPr>
          <w:rFonts w:ascii="Times New Roman" w:hAnsi="Times New Roman"/>
          <w:b w:val="false"/>
          <w:i w:val="false"/>
          <w:color w:val="000000"/>
          <w:sz w:val="20"/>
        </w:rPr>
        <w:t xml:space="preserve"> 39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6" w:id="59"/>
      <w:r>
        <w:rPr>
          <w:rFonts w:ascii="Times New Roman" w:hAnsi="Times New Roman"/>
          <w:b w:val="false"/>
          <w:i w:val="false"/>
          <w:color w:val="0000ff"/>
          <w:sz w:val="22"/>
        </w:rPr>
        <w:t/>
      </w:r>
      <w:bookmarkEnd w:id="59"/>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ENF" w:id="60"/>
      <w:r>
        <w:rPr>
          <w:rFonts w:ascii="Times New Roman" w:hAnsi="Times New Roman"/>
          <w:b/>
          <w:i w:val="false"/>
          <w:color w:val="0000ff"/>
          <w:sz w:val="20"/>
        </w:rPr>
        <w:t/>
      </w:r>
      <w:bookmarkEnd w:id="60"/>
      <w:r>
        <w:rPr>
          <w:rFonts w:ascii="Times New Roman" w:hAnsi="Times New Roman"/>
          <w:b/>
          <w:i w:val="false"/>
          <w:color w:val="000000"/>
          <w:sz w:val="20"/>
        </w:rPr>
        <w:t xml:space="preserve">ENFORCEMENT OF CIVIL LIABILITIES </w:t>
      </w:r>
    </w:p>
    <w:p>
      <w:pPr>
        <w:spacing w:before="120" w:after="0"/>
        <w:ind w:left="120"/>
        <w:jc w:val="left"/>
      </w:pPr>
      <w:r>
        <w:rPr>
          <w:rFonts w:ascii="Times New Roman" w:hAnsi="Times New Roman"/>
          <w:b w:val="false"/>
          <w:i w:val="false"/>
          <w:color w:val="000000"/>
          <w:sz w:val="20"/>
        </w:rPr>
        <w:t xml:space="preserve"> We are a public company with limited liability (naamloze vennootschap) incorporated and existing under the laws of the Netherlands. As such, under Dutch private international law, the rights and obligations of our shareholders vis-à-vis the Company originating from Dutch corporate law and our Articles of Association, as well as the civil liability of our officers (functionarissen) (including our directors and executive officers) are governed in certain respects by the laws of the Netherlands. </w:t>
      </w:r>
    </w:p>
    <w:p>
      <w:pPr>
        <w:spacing w:before="120" w:after="0"/>
        <w:ind w:left="120"/>
        <w:jc w:val="left"/>
      </w:pPr>
      <w:r>
        <w:rPr>
          <w:rFonts w:ascii="Times New Roman" w:hAnsi="Times New Roman"/>
          <w:b w:val="false"/>
          <w:i w:val="false"/>
          <w:color w:val="000000"/>
          <w:sz w:val="20"/>
        </w:rPr>
        <w:t xml:space="preserve"> We are not a resident of the United States and our officers may also not all be residents of the United States. As a result, depending on the subject matter of the action brought against us and/or our officers, United States courts may not have jurisdiction. If a Dutch court has jurisdiction with respect to such action, that court will apply Dutch procedural law and Dutch private international law to determine the law applicable to that action. Depending on the subject matter of the relevant action, a competent Dutch court may apply another law than the laws of the United States. </w:t>
      </w:r>
    </w:p>
    <w:p>
      <w:pPr>
        <w:spacing w:before="120" w:after="0"/>
        <w:ind w:left="120"/>
        <w:jc w:val="left"/>
      </w:pPr>
      <w:r>
        <w:rPr>
          <w:rFonts w:ascii="Times New Roman" w:hAnsi="Times New Roman"/>
          <w:b w:val="false"/>
          <w:i w:val="false"/>
          <w:color w:val="000000"/>
          <w:sz w:val="20"/>
        </w:rPr>
        <w:t xml:space="preserve"> Also, service of process against non-residents of the United States can in principle (absent, for example, a valid choice of domicile) not be effected in the United States. </w:t>
      </w:r>
    </w:p>
    <w:p>
      <w:pPr>
        <w:spacing w:before="120" w:after="0"/>
        <w:ind w:left="120"/>
        <w:jc w:val="left"/>
      </w:pPr>
      <w:r>
        <w:rPr>
          <w:rFonts w:ascii="Times New Roman" w:hAnsi="Times New Roman"/>
          <w:b w:val="false"/>
          <w:i w:val="false"/>
          <w:color w:val="000000"/>
          <w:sz w:val="20"/>
        </w:rPr>
        <w:t xml:space="preserve"> Furthermore, substantially all of our assets are located outside the United States. The majority of our executive officers and directors reside outside the United States. The ability of our shareholders in certain countries other than the Netherlands to bring an action against us or our executive officers and directors may be limited under applicable law. As a result, it may not be possible for investors to effect service of process within the United States upon such persons or to enforce judgments against them or us in U.S. courts, including judgments predicated upon the civil liability provisions of the federal securities laws of the United States. </w:t>
      </w:r>
    </w:p>
    <w:p>
      <w:pPr>
        <w:spacing w:before="120" w:after="0"/>
        <w:ind w:left="120"/>
        <w:jc w:val="left"/>
      </w:pPr>
      <w:r>
        <w:rPr>
          <w:rFonts w:ascii="Times New Roman" w:hAnsi="Times New Roman"/>
          <w:b w:val="false"/>
          <w:i w:val="false"/>
          <w:color w:val="000000"/>
          <w:sz w:val="20"/>
        </w:rPr>
        <w:t xml:space="preserve"> On the date of this prospectus, (i) there is no treaty in force between the United States and the Netherlands for the reciprocal recognition and enforcement of judgments, other than arbitration awards, in civil and commercial matters and (ii) both the Hague Convention on Choice of Court Agreements (2005) and the Hague Judgments Convention (2019) have entered into force for the Netherlands, but have not entered into force for the United States. Consequently, a judgment rendered by a court in the United States will not automatically be recognized and enforced by the competent Dutch courts. However, if a person has obtained a judgment rendered by a court in the United States that is enforceable under the laws of the United States and files a claim with the competent Dutch court, the Dutch court will in principle give binding effect to that United States judgment if (i) the jurisdiction of the United States court was based on a ground of jurisdiction that is generally acceptable according to international standards, (ii) the judgment by the United States court was rendered in legal proceedings that comply with the Dutch standards of proper administration of justice including sufficient safeguards (behoorlijke rechtspleging), (iii) binding effect of </w:t>
      </w:r>
      <w:r>
        <w:rPr>
          <w:rFonts w:ascii="Times New Roman" w:hAnsi="Times New Roman"/>
          <w:b w:val="false"/>
          <w:i/>
          <w:color w:val="000000"/>
          <w:sz w:val="20"/>
        </w:rPr>
        <w:t xml:space="preserve">such United States judgment </w:t>
      </w:r>
      <w:r>
        <w:rPr>
          <w:rFonts w:ascii="Times New Roman" w:hAnsi="Times New Roman"/>
          <w:b w:val="false"/>
          <w:i w:val="false"/>
          <w:color w:val="000000"/>
          <w:sz w:val="20"/>
        </w:rPr>
        <w:t>is not contrary to Dutch public order (</w:t>
      </w:r>
      <w:r>
        <w:rPr>
          <w:rFonts w:ascii="Times New Roman" w:hAnsi="Times New Roman"/>
          <w:b w:val="false"/>
          <w:i/>
          <w:color w:val="000000"/>
          <w:sz w:val="20"/>
        </w:rPr>
        <w:t>openbare orde</w:t>
      </w:r>
      <w:r>
        <w:rPr>
          <w:rFonts w:ascii="Times New Roman" w:hAnsi="Times New Roman"/>
          <w:b w:val="false"/>
          <w:i w:val="false"/>
          <w:color w:val="000000"/>
          <w:sz w:val="20"/>
        </w:rPr>
        <w:t xml:space="preserve">) and (iv) the judgment by the United States court is not incompatible with a decision rendered between the same parties by a Dutch court, or with a previous decision rendered between the same parties by a foreign court in a dispute that concerns the same subject and is based on the same cause, provided that the previous decision qualifies for recognition in the Netherlands. Even if such a United States judgment is given binding effect, a claim based thereon may, however, still be rejected if the United States judgment is not or no longer formally enforceable. Moreover, if the United States judgment is not final (for instance when appeal is possible or pending) a competent Dutch court may postpone recognition until the United States judgment will have become final, refuse recognition under the understanding that recognition can be asked again once the United States judgment will have become final, or impose as a condition for recognition that security is posted. </w:t>
      </w:r>
    </w:p>
    <w:p>
      <w:pPr>
        <w:spacing w:before="120" w:after="0"/>
        <w:ind w:left="120"/>
        <w:jc w:val="left"/>
      </w:pPr>
      <w:r>
        <w:rPr>
          <w:rFonts w:ascii="Times New Roman" w:hAnsi="Times New Roman"/>
          <w:b w:val="false"/>
          <w:i w:val="false"/>
          <w:color w:val="000000"/>
          <w:sz w:val="20"/>
        </w:rPr>
        <w:t xml:space="preserve"> A competent Dutch court may deny the recognition and enforcement of punitive damages or other awards. Moreover, a competent Dutch court may reduce the amount of damages granted by a United States court and recognize damages only to the extent that they are necessary to compensate actual losses or damages. Finally, there may be specific other instances, including pursuant to anti-boycott rules and regulations, where Dutch law prohibits the recognition and enforcement of a United States judgment. </w:t>
      </w:r>
    </w:p>
    <w:p>
      <w:pPr>
        <w:spacing w:before="120" w:after="0"/>
        <w:ind w:left="120"/>
        <w:jc w:val="left"/>
      </w:pPr>
      <w:r>
        <w:rPr>
          <w:rFonts w:ascii="Times New Roman" w:hAnsi="Times New Roman"/>
          <w:b w:val="false"/>
          <w:i w:val="false"/>
          <w:color w:val="000000"/>
          <w:sz w:val="20"/>
        </w:rPr>
        <w:t xml:space="preserve"> The United States and Germany currently do not have a treaty providing for the reciprocal recognition and enforcement of judgments, in civil and commercial matters. Consequently, a final judgment for payment or declaratory judgments given by a court in the United States, whether or not predicated solely upon U.S. securities laws, would not automatically be recognized or enforceable in Germany. German courts may deny the recognition and enforcement of a judgment rendered by a U.S. court if they consider the U.S. court not to be </w:t>
      </w:r>
    </w:p>
    <w:p>
      <w:pPr>
        <w:spacing w:before="189" w:after="0"/>
        <w:ind w:left="120"/>
        <w:jc w:val="center"/>
      </w:pPr>
      <w:r>
        <w:rPr>
          <w:rFonts w:ascii="Times New Roman" w:hAnsi="Times New Roman"/>
          <w:b w:val="false"/>
          <w:i w:val="false"/>
          <w:color w:val="000000"/>
          <w:sz w:val="20"/>
        </w:rPr>
        <w:t xml:space="preserve"> 40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7" w:id="61"/>
      <w:r>
        <w:rPr>
          <w:rFonts w:ascii="Times New Roman" w:hAnsi="Times New Roman"/>
          <w:b w:val="false"/>
          <w:i w:val="false"/>
          <w:color w:val="0000ff"/>
          <w:sz w:val="22"/>
        </w:rPr>
        <w:t/>
      </w:r>
      <w:bookmarkEnd w:id="61"/>
    </w:p>
    <w:p>
      <w:pPr>
        <w:spacing w:before="269" w:after="269"/>
        <w:ind w:left="120"/>
        <w:jc w:val="left"/>
      </w:pPr>
      <w:r>
        <w:rPr>
          <w:rFonts w:ascii="Times New Roman" w:hAnsi="Times New Roman"/>
          <w:b/>
          <w:i w:val="false"/>
          <w:color w:val="000000"/>
          <w:sz w:val="16"/>
        </w:rPr>
        <w:t>TABLE OF CONTENTS</w:t>
      </w:r>
    </w:p>
    <w:p>
      <w:pPr>
        <w:spacing w:before="135" w:after="0"/>
        <w:ind w:left="120"/>
        <w:jc w:val="left"/>
      </w:pPr>
      <w:r>
        <w:rPr>
          <w:rFonts w:ascii="Times New Roman" w:hAnsi="Times New Roman"/>
          <w:b w:val="false"/>
          <w:i w:val="false"/>
          <w:color w:val="000000"/>
          <w:sz w:val="20"/>
        </w:rPr>
        <w:t xml:space="preserve"> competent or the decision to be in violation of German public policy principles. For example, judgments awarding punitive damages are generally not enforceable in Germany. A German court may reduce the amount of damages granted by a U.S. court and recognize damages only to the extent that they are necessary to compensate actual losses or damages. </w:t>
      </w:r>
    </w:p>
    <w:p>
      <w:pPr>
        <w:spacing w:before="120" w:after="0"/>
        <w:ind w:left="120"/>
        <w:jc w:val="left"/>
      </w:pPr>
      <w:r>
        <w:rPr>
          <w:rFonts w:ascii="Times New Roman" w:hAnsi="Times New Roman"/>
          <w:b w:val="false"/>
          <w:i w:val="false"/>
          <w:color w:val="000000"/>
          <w:sz w:val="20"/>
        </w:rPr>
        <w:t xml:space="preserve"> In addition, actions brought in a German court against us, our directors, our senior management and the experts named herein to enforce liabilities based on U.S. federal securities laws may be subject to certain restrictions. In particular, German courts generally do not award punitive damages. Litigation in Germany is also subject to rules of procedure that differ from the U.S. rules, including with respect to the taking and admissibility of evidence, the conduct of the proceedings and the allocation of costs. German procedural law does not provide for pre-trial discovery of documents, nor does Germany support pre-trial discovery of documents under the 1970 Hague Evidence Convention. Proceedings in Germany would have to be conducted in the German language and all documents submitted to the court would, in principle, have to be translated into German. For these reasons, it may be difficult for a U.S. investor to bring an original action in a German court predicated upon the civil liability provisions of the U.S. federal securities laws against us, our directors, our senior management and the experts named in this prospectus. </w:t>
      </w:r>
    </w:p>
    <w:p>
      <w:pPr>
        <w:spacing w:before="189" w:after="0"/>
        <w:ind w:left="120"/>
        <w:jc w:val="center"/>
      </w:pPr>
      <w:r>
        <w:rPr>
          <w:rFonts w:ascii="Times New Roman" w:hAnsi="Times New Roman"/>
          <w:b w:val="false"/>
          <w:i w:val="false"/>
          <w:color w:val="000000"/>
          <w:sz w:val="20"/>
        </w:rPr>
        <w:t xml:space="preserve"> 41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8" w:id="62"/>
      <w:r>
        <w:rPr>
          <w:rFonts w:ascii="Times New Roman" w:hAnsi="Times New Roman"/>
          <w:b w:val="false"/>
          <w:i w:val="false"/>
          <w:color w:val="0000ff"/>
          <w:sz w:val="22"/>
        </w:rPr>
        <w:t/>
      </w:r>
      <w:bookmarkEnd w:id="62"/>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EXP" w:id="63"/>
      <w:r>
        <w:rPr>
          <w:rFonts w:ascii="Times New Roman" w:hAnsi="Times New Roman"/>
          <w:b/>
          <w:i w:val="false"/>
          <w:color w:val="0000ff"/>
          <w:sz w:val="20"/>
        </w:rPr>
        <w:t/>
      </w:r>
      <w:bookmarkEnd w:id="63"/>
      <w:r>
        <w:rPr>
          <w:rFonts w:ascii="Times New Roman" w:hAnsi="Times New Roman"/>
          <w:b/>
          <w:i w:val="false"/>
          <w:color w:val="000000"/>
          <w:sz w:val="20"/>
        </w:rPr>
        <w:t xml:space="preserve">EXPENSES </w:t>
      </w:r>
    </w:p>
    <w:p>
      <w:pPr>
        <w:spacing w:before="120" w:after="0"/>
        <w:ind w:left="120"/>
        <w:jc w:val="left"/>
      </w:pPr>
      <w:r>
        <w:rPr>
          <w:rFonts w:ascii="Times New Roman" w:hAnsi="Times New Roman"/>
          <w:b w:val="false"/>
          <w:i w:val="false"/>
          <w:color w:val="000000"/>
          <w:sz w:val="20"/>
        </w:rPr>
        <w:t xml:space="preserve"> The following table sets forth the expenses (all of which are to be paid by the registrant) that may be incurred in connection with the securities being registered hereby. </w:t>
      </w:r>
    </w:p>
    <w:tbl>
      <w:tblPr>
        <w:tblW w:w="0" w:type="auto"/>
        <w:tblCellSpacing w:w="0" w:type="dxa"/>
        <w:tblBorders>
          <w:top w:val="none"/>
          <w:left w:val="none"/>
          <w:bottom w:val="none"/>
          <w:right w:val="none"/>
          <w:insideH w:val="none"/>
          <w:insideV w:val="none"/>
        </w:tblBorders>
      </w:tblPr>
      <w:tblGrid>
        <w:gridCol w:w="10669"/>
        <w:gridCol w:w="218"/>
        <w:gridCol w:w="218"/>
        <w:gridCol w:w="1375"/>
      </w:tblGrid>
      <w:tr>
        <w:trPr>
          <w:trHeight w:val="120" w:hRule="atLeast"/>
        </w:trPr>
        <w:tc>
          <w:tcPr>
            <w:tcW w:w="1066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615" w:hRule="atLeast"/>
        </w:trPr>
        <w:tc>
          <w:tcPr>
            <w:tcW w:w="10669" w:type="dxa"/>
            <w:tcBorders/>
            <w:tcMar>
              <w:top w:w="15" w:type="dxa"/>
              <w:left w:w="15" w:type="dxa"/>
              <w:bottom w:w="36" w:type="dxa"/>
              <w:right w:w="15" w:type="dxa"/>
            </w:tcMar>
            <w:vAlign w:val="bottom"/>
          </w:tcPr>
          <w:p>
            <w:pPr>
              <w:spacing w:before="0" w:after="0"/>
              <w:ind w:left="120"/>
              <w:jc w:val="left"/>
            </w:pPr>
            <w:r>
              <w:rPr>
                <w:rFonts w:ascii="Times New Roman" w:hAnsi="Times New Roman"/>
                <w:b/>
                <w:i w:val="false"/>
                <w:color w:val="000000"/>
                <w:sz w:val="16"/>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bottom w:val="single" w:color="000000" w:sz="11"/>
            </w:tcBorders>
            <w:tcMar>
              <w:top w:w="15" w:type="dxa"/>
              <w:left w:w="15" w:type="dxa"/>
              <w:bottom w:w="36" w:type="dxa"/>
              <w:right w:w="15" w:type="dxa"/>
            </w:tcMar>
            <w:vAlign w:val="bottom"/>
          </w:tcPr>
          <w:p>
            <w:pPr>
              <w:spacing w:before="0" w:after="0"/>
              <w:ind w:left="120"/>
              <w:jc w:val="center"/>
            </w:pPr>
            <w:r>
              <w:rPr>
                <w:rFonts w:ascii="Times New Roman" w:hAnsi="Times New Roman"/>
                <w:b/>
                <w:i w:val="false"/>
                <w:color w:val="000000"/>
                <w:sz w:val="16"/>
              </w:rPr>
              <w:t xml:space="preserve"> Amount To Be </w:t>
            </w:r>
            <w:r>
              <w:br/>
            </w:r>
            <w:r>
              <w:rPr>
                <w:rFonts w:ascii="Times New Roman" w:hAnsi="Times New Roman"/>
                <w:b/>
                <w:i w:val="false"/>
                <w:color w:val="000000"/>
                <w:sz w:val="16"/>
              </w:rPr>
              <w:t xml:space="preserve"> </w:t>
            </w:r>
          </w:p>
          <w:p>
            <w:pPr>
              <w:spacing w:before="0" w:after="0"/>
              <w:ind w:left="120"/>
              <w:jc w:val="center"/>
            </w:pPr>
            <w:r>
              <w:rPr>
                <w:rFonts w:ascii="Times New Roman" w:hAnsi="Times New Roman"/>
                <w:b/>
                <w:i w:val="false"/>
                <w:color w:val="000000"/>
                <w:sz w:val="16"/>
              </w:rPr>
              <w:t xml:space="preserve"> Paid </w:t>
            </w:r>
          </w:p>
        </w:tc>
      </w:tr>
      <w:tr>
        <w:trPr>
          <w:trHeight w:val="285" w:hRule="atLeast"/>
        </w:trPr>
        <w:tc>
          <w:tcPr>
            <w:tcW w:w="10669" w:type="dxa"/>
            <w:tcBorders/>
            <w:shd w:fill="cceeff"/>
            <w:tcMar>
              <w:top w:w="30"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SEC registration fee</w:t>
            </w:r>
            <w:r>
              <w:rPr>
                <w:rFonts w:ascii="Times New Roman" w:hAnsi="Times New Roman"/>
                <w:b w:val="false"/>
                <w:i w:val="false"/>
                <w:color w:val="000000"/>
                <w:sz w:val="20"/>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30"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20"/>
              </w:rPr>
              <w:t xml:space="preserve"> $27,839.79 </w:t>
            </w:r>
          </w:p>
        </w:tc>
      </w:tr>
      <w:tr>
        <w:trPr>
          <w:trHeight w:val="270" w:hRule="atLeast"/>
        </w:trPr>
        <w:tc>
          <w:tcPr>
            <w:tcW w:w="106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Transfer agent and trustee fees</w:t>
            </w:r>
            <w:r>
              <w:rPr>
                <w:rFonts w:ascii="Times New Roman" w:hAnsi="Times New Roman"/>
                <w:b w:val="false"/>
                <w:i w:val="false"/>
                <w:color w:val="000000"/>
                <w:sz w:val="20"/>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tcMar>
              <w:top w:w="17"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70" w:hRule="atLeast"/>
        </w:trPr>
        <w:tc>
          <w:tcPr>
            <w:tcW w:w="106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Legal fees and expenses</w:t>
            </w:r>
            <w:r>
              <w:rPr>
                <w:rFonts w:ascii="Times New Roman" w:hAnsi="Times New Roman"/>
                <w:b w:val="false"/>
                <w:i w:val="false"/>
                <w:color w:val="000000"/>
                <w:sz w:val="20"/>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17"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70" w:hRule="atLeast"/>
        </w:trPr>
        <w:tc>
          <w:tcPr>
            <w:tcW w:w="10669"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Accounting fees and expenses</w:t>
            </w:r>
            <w:r>
              <w:rPr>
                <w:rFonts w:ascii="Times New Roman" w:hAnsi="Times New Roman"/>
                <w:b w:val="false"/>
                <w:i w:val="false"/>
                <w:color w:val="000000"/>
                <w:sz w:val="20"/>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tcMar>
              <w:top w:w="17"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70" w:hRule="atLeast"/>
        </w:trPr>
        <w:tc>
          <w:tcPr>
            <w:tcW w:w="10669" w:type="dxa"/>
            <w:tcBorders/>
            <w:shd w:fill="cceeff"/>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Printing expenses</w:t>
            </w:r>
            <w:r>
              <w:rPr>
                <w:rFonts w:ascii="Times New Roman" w:hAnsi="Times New Roman"/>
                <w:b w:val="false"/>
                <w:i w:val="false"/>
                <w:color w:val="000000"/>
                <w:sz w:val="20"/>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17" w:type="dxa"/>
              <w:left w:w="15" w:type="dxa"/>
              <w:bottom w:w="21"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85" w:hRule="atLeast"/>
        </w:trPr>
        <w:tc>
          <w:tcPr>
            <w:tcW w:w="10669" w:type="dxa"/>
            <w:tcBorders/>
            <w:tcMar>
              <w:top w:w="15" w:type="dxa"/>
              <w:left w:w="15" w:type="dxa"/>
              <w:bottom w:w="39" w:type="dxa"/>
              <w:right w:w="15" w:type="dxa"/>
            </w:tcMar>
            <w:vAlign w:val="bottom"/>
          </w:tcPr>
          <w:p>
            <w:pPr>
              <w:spacing w:before="0" w:after="0"/>
              <w:ind w:left="120"/>
              <w:jc w:val="left"/>
            </w:pPr>
            <w:r>
              <w:rPr>
                <w:rFonts w:ascii="Times New Roman" w:hAnsi="Times New Roman"/>
                <w:b w:val="false"/>
                <w:i w:val="false"/>
                <w:color w:val="000000"/>
                <w:sz w:val="20"/>
              </w:rPr>
              <w:t xml:space="preserve"> Miscellaneous</w:t>
            </w:r>
            <w:r>
              <w:rPr>
                <w:rFonts w:ascii="Times New Roman" w:hAnsi="Times New Roman"/>
                <w:b w:val="false"/>
                <w:i w:val="false"/>
                <w:color w:val="000000"/>
                <w:sz w:val="20"/>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tcMar>
              <w:top w:w="17" w:type="dxa"/>
              <w:left w:w="15" w:type="dxa"/>
              <w:bottom w:w="39" w:type="dxa"/>
              <w:right w:w="15" w:type="dxa"/>
            </w:tcMar>
            <w:vAlign w:val="bottom"/>
          </w:tcPr>
          <w:p>
            <w:pPr>
              <w:spacing w:before="0" w:after="0"/>
              <w:ind w:left="177"/>
              <w:jc w:val="left"/>
            </w:pPr>
            <w:r>
              <w:rPr>
                <w:rFonts w:ascii="Times New Roman" w:hAnsi="Times New Roman"/>
                <w:b w:val="false"/>
                <w:i w:val="false"/>
                <w:color w:val="000000"/>
                <w:sz w:val="15"/>
              </w:rPr>
              <w:t xml:space="preserve"> </w:t>
            </w:r>
            <w:r>
              <w:rPr>
                <w:rFonts w:ascii="Times New Roman" w:hAnsi="Times New Roman"/>
                <w:b w:val="false"/>
                <w:i w:val="false"/>
                <w:color w:val="000000"/>
                <w:sz w:val="15"/>
              </w:rPr>
              <w:t>*</w:t>
            </w:r>
            <w:r>
              <w:rPr>
                <w:rFonts w:ascii="Times New Roman" w:hAnsi="Times New Roman"/>
                <w:b w:val="false"/>
                <w:i w:val="false"/>
                <w:color w:val="000000"/>
                <w:sz w:val="20"/>
              </w:rPr>
              <w:t xml:space="preserve"> </w:t>
            </w:r>
          </w:p>
        </w:tc>
      </w:tr>
      <w:tr>
        <w:trPr>
          <w:trHeight w:val="270" w:hRule="atLeast"/>
        </w:trPr>
        <w:tc>
          <w:tcPr>
            <w:tcW w:w="10669" w:type="dxa"/>
            <w:tcBorders/>
            <w:shd w:fill="cceeff"/>
            <w:tcMar>
              <w:top w:w="34" w:type="dxa"/>
              <w:left w:w="15" w:type="dxa"/>
              <w:bottom w:w="15" w:type="dxa"/>
              <w:right w:w="15" w:type="dxa"/>
            </w:tcMar>
            <w:vAlign w:val="bottom"/>
          </w:tcPr>
          <w:p>
            <w:pPr>
              <w:spacing w:before="0" w:after="0"/>
              <w:ind w:left="120"/>
              <w:jc w:val="left"/>
            </w:pPr>
            <w:r>
              <w:rPr>
                <w:rFonts w:ascii="Times New Roman" w:hAnsi="Times New Roman"/>
                <w:b/>
                <w:i w:val="false"/>
                <w:color w:val="000000"/>
                <w:sz w:val="20"/>
              </w:rPr>
              <w:t xml:space="preserve"> Total</w:t>
            </w:r>
            <w:r>
              <w:rPr>
                <w:rFonts w:ascii="Times New Roman" w:hAnsi="Times New Roman"/>
                <w:b/>
                <w:i w:val="false"/>
                <w:color w:val="000000"/>
                <w:sz w:val="20"/>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34" w:type="dxa"/>
              <w:left w:w="15" w:type="dxa"/>
              <w:bottom w:w="15" w:type="dxa"/>
              <w:right w:w="15" w:type="dxa"/>
            </w:tcMar>
            <w:vAlign w:val="bottom"/>
          </w:tcPr>
          <w:p>
            <w:pPr>
              <w:spacing w:before="0" w:after="0"/>
              <w:ind w:left="177"/>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w:t>
            </w:r>
            <w:r>
              <w:rPr>
                <w:rFonts w:ascii="Times New Roman" w:hAnsi="Times New Roman"/>
                <w:b w:val="false"/>
                <w:i w:val="false"/>
                <w:color w:val="000000"/>
                <w:sz w:val="20"/>
              </w:rPr>
              <w:t> </w:t>
            </w:r>
            <w:r>
              <w:rPr>
                <w:rFonts w:ascii="Times New Roman" w:hAnsi="Times New Roman"/>
                <w:b w:val="false"/>
                <w:i w:val="false"/>
                <w:color w:val="000000"/>
                <w:sz w:val="22"/>
              </w:rPr>
              <w:t>*</w:t>
            </w:r>
            <w:r>
              <w:rPr>
                <w:rFonts w:ascii="Times New Roman" w:hAnsi="Times New Roman"/>
                <w:b w:val="false"/>
                <w:i w:val="false"/>
                <w:color w:val="000000"/>
                <w:sz w:val="20"/>
              </w:rPr>
              <w:t xml:space="preserve"> </w:t>
            </w:r>
          </w:p>
        </w:tc>
      </w:tr>
      <w:tr>
        <w:trPr>
          <w:trHeight w:val="45" w:hRule="atLeast"/>
        </w:trPr>
        <w:tc>
          <w:tcPr>
            <w:tcW w:w="10669"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218"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375"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pBdr>
          <w:bottom w:val="single" w:color="000000" w:sz="11"/>
        </w:pBdr>
        <w:spacing w:before="265" w:after="20"/>
        <w:ind w:left="120"/>
        <w:jc w:val="left"/>
      </w:pPr>
    </w:p>
    <w:tbl>
      <w:tblPr>
        <w:tblW w:w="0" w:type="auto"/>
        <w:tblCellSpacing w:w="0" w:type="dxa"/>
        <w:tblBorders>
          <w:top w:val="none"/>
          <w:left w:val="none"/>
          <w:bottom w:val="none"/>
          <w:right w:val="none"/>
          <w:insideH w:val="none"/>
          <w:insideV w:val="none"/>
        </w:tblBorders>
      </w:tblPr>
      <w:tblGrid>
        <w:gridCol w:w="533"/>
        <w:gridCol w:w="11947"/>
      </w:tblGrid>
      <w:tr>
        <w:trPr>
          <w:trHeight w:val="345" w:hRule="atLeast"/>
        </w:trPr>
        <w:tc>
          <w:tcPr>
            <w:tcW w:w="53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16"/>
              </w:rPr>
              <w:t xml:space="preserve"> * </w:t>
            </w:r>
            <w:r>
              <w:br/>
            </w:r>
            <w:r>
              <w:rPr>
                <w:rFonts w:ascii="Times New Roman" w:hAnsi="Times New Roman"/>
                <w:b w:val="false"/>
                <w:i w:val="false"/>
                <w:color w:val="000000"/>
                <w:sz w:val="16"/>
              </w:rPr>
              <w:t xml:space="preserve"> </w:t>
            </w:r>
          </w:p>
        </w:tc>
        <w:tc>
          <w:tcPr>
            <w:tcW w:w="1194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16"/>
              </w:rPr>
              <w:t xml:space="preserve"> To be provided in a prospectus supplement describing an offering of securities or a report on Form 6-K that is incorporated by reference herein. </w:t>
            </w:r>
          </w:p>
        </w:tc>
      </w:tr>
    </w:tbl>
    <w:p>
      <w:pPr>
        <w:spacing w:before="189" w:after="0"/>
        <w:ind w:left="120"/>
        <w:jc w:val="center"/>
      </w:pPr>
      <w:r>
        <w:rPr>
          <w:rFonts w:ascii="Times New Roman" w:hAnsi="Times New Roman"/>
          <w:b w:val="false"/>
          <w:i w:val="false"/>
          <w:color w:val="000000"/>
          <w:sz w:val="20"/>
        </w:rPr>
        <w:t xml:space="preserve"> 42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8-securities_pg9" w:id="64"/>
      <w:r>
        <w:rPr>
          <w:rFonts w:ascii="Times New Roman" w:hAnsi="Times New Roman"/>
          <w:b w:val="false"/>
          <w:i w:val="false"/>
          <w:color w:val="0000ff"/>
          <w:sz w:val="22"/>
        </w:rPr>
        <w:t/>
      </w:r>
      <w:bookmarkEnd w:id="64"/>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LM" w:id="65"/>
      <w:r>
        <w:rPr>
          <w:rFonts w:ascii="Times New Roman" w:hAnsi="Times New Roman"/>
          <w:b/>
          <w:i w:val="false"/>
          <w:color w:val="0000ff"/>
          <w:sz w:val="20"/>
        </w:rPr>
        <w:t/>
      </w:r>
      <w:bookmarkEnd w:id="65"/>
      <w:r>
        <w:rPr>
          <w:rFonts w:ascii="Times New Roman" w:hAnsi="Times New Roman"/>
          <w:b/>
          <w:i w:val="false"/>
          <w:color w:val="000000"/>
          <w:sz w:val="20"/>
        </w:rPr>
        <w:t xml:space="preserve">LEGAL MATTERS </w:t>
      </w:r>
    </w:p>
    <w:p>
      <w:pPr>
        <w:spacing w:before="120" w:after="0"/>
        <w:ind w:left="120"/>
        <w:jc w:val="left"/>
      </w:pPr>
      <w:r>
        <w:rPr>
          <w:rFonts w:ascii="Times New Roman" w:hAnsi="Times New Roman"/>
          <w:b w:val="false"/>
          <w:i w:val="false"/>
          <w:color w:val="000000"/>
          <w:sz w:val="20"/>
        </w:rPr>
        <w:t xml:space="preserve"> The validity of the ordinary shares and certain other matters of Dutch law will be passed upon for us by NautaDutilh N.V. Certain matters of U.S. federal and New York State law will be passed upon for us by Kirkland &amp; Ellis LLP, New York, New York. </w:t>
      </w:r>
    </w:p>
    <w:p>
      <w:pPr>
        <w:spacing w:before="410" w:after="0"/>
        <w:ind w:left="120"/>
        <w:jc w:val="center"/>
      </w:pPr>
      <w:r>
        <w:rPr>
          <w:rFonts w:ascii="Times New Roman" w:hAnsi="Times New Roman"/>
          <w:b/>
          <w:i w:val="false"/>
          <w:color w:val="000000"/>
          <w:sz w:val="20"/>
        </w:rPr>
        <w:t xml:space="preserve"> </w:t>
      </w:r>
      <w:bookmarkStart w:name="tEXPR" w:id="66"/>
      <w:r>
        <w:rPr>
          <w:rFonts w:ascii="Times New Roman" w:hAnsi="Times New Roman"/>
          <w:b/>
          <w:i w:val="false"/>
          <w:color w:val="0000ff"/>
          <w:sz w:val="20"/>
        </w:rPr>
        <w:t/>
      </w:r>
      <w:bookmarkEnd w:id="66"/>
      <w:r>
        <w:rPr>
          <w:rFonts w:ascii="Times New Roman" w:hAnsi="Times New Roman"/>
          <w:b/>
          <w:i w:val="false"/>
          <w:color w:val="000000"/>
          <w:sz w:val="20"/>
        </w:rPr>
        <w:t xml:space="preserve">EXPERTS </w:t>
      </w:r>
    </w:p>
    <w:p>
      <w:pPr>
        <w:spacing w:before="120" w:after="0"/>
        <w:ind w:left="120"/>
        <w:jc w:val="left"/>
      </w:pPr>
      <w:r>
        <w:rPr>
          <w:rFonts w:ascii="Times New Roman" w:hAnsi="Times New Roman"/>
          <w:b w:val="false"/>
          <w:i w:val="false"/>
          <w:color w:val="000000"/>
          <w:sz w:val="20"/>
        </w:rPr>
        <w:t xml:space="preserve"> The consolidated financial statements of InflaRx N.V. as of and for the year ended December 31, 2025 have been incorporated by reference herein in reliance upon the report of KPMG AG Wirtschaftsprüfungsgesellschaft, independent registered public accounting firm, incorporated by reference herein, and upon the authority of said firm as experts in accounting and auditing. </w:t>
      </w:r>
    </w:p>
    <w:p>
      <w:pPr>
        <w:spacing w:before="120" w:after="0"/>
        <w:ind w:left="120"/>
        <w:jc w:val="left"/>
      </w:pPr>
      <w:r>
        <w:rPr>
          <w:rFonts w:ascii="Times New Roman" w:hAnsi="Times New Roman"/>
          <w:b w:val="false"/>
          <w:i w:val="false"/>
          <w:color w:val="000000"/>
          <w:sz w:val="20"/>
        </w:rPr>
        <w:t xml:space="preserve"> The consolidated financial statements of InflaRx N.V. at December 31, 2024, and for each of the two years in the period ended December 31, 2024, appearing in InflaRx N.V.’s Annual Report (Form 20-F) for the year ended December 31, 2025, have been audited by EY GmbH &amp; Co. KG Wirtschaftsprüfungsgesellschaft, independent registered public accounting firm, as set forth in its report thereon, included therein, and incorporated herein by reference. Such consolidated financial statements are incorporated herein by reference in reliance upon such report given on the authority of such firm as experts in accounting and auditing. </w:t>
      </w:r>
    </w:p>
    <w:p>
      <w:pPr>
        <w:spacing w:before="189" w:after="0"/>
        <w:ind w:left="120"/>
        <w:jc w:val="center"/>
      </w:pPr>
      <w:r>
        <w:rPr>
          <w:rFonts w:ascii="Times New Roman" w:hAnsi="Times New Roman"/>
          <w:b w:val="false"/>
          <w:i w:val="false"/>
          <w:color w:val="000000"/>
          <w:sz w:val="20"/>
        </w:rPr>
        <w:t xml:space="preserve"> 43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109-part2_pg1" w:id="67"/>
      <w:r>
        <w:rPr>
          <w:rFonts w:ascii="Times New Roman" w:hAnsi="Times New Roman"/>
          <w:b w:val="false"/>
          <w:i w:val="false"/>
          <w:color w:val="0000ff"/>
          <w:sz w:val="22"/>
        </w:rPr>
        <w:t/>
      </w:r>
      <w:bookmarkEnd w:id="67"/>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PART II OF FORM F-3 </w:t>
      </w:r>
    </w:p>
    <w:p>
      <w:pPr>
        <w:spacing w:before="390" w:after="0"/>
        <w:ind w:left="120"/>
        <w:jc w:val="center"/>
      </w:pPr>
      <w:r>
        <w:rPr>
          <w:rFonts w:ascii="Times New Roman" w:hAnsi="Times New Roman"/>
          <w:b/>
          <w:i w:val="false"/>
          <w:color w:val="000000"/>
          <w:sz w:val="20"/>
        </w:rPr>
        <w:t xml:space="preserve"> INFORMATION NOT REQUIRED IN PROSPECTUS </w:t>
      </w:r>
    </w:p>
    <w:tbl>
      <w:tblPr>
        <w:tblW w:w="0" w:type="auto"/>
        <w:tblCellSpacing w:w="0" w:type="dxa"/>
        <w:tblBorders>
          <w:top w:val="none"/>
          <w:left w:val="none"/>
          <w:bottom w:val="none"/>
          <w:right w:val="none"/>
          <w:insideH w:val="none"/>
          <w:insideV w:val="none"/>
        </w:tblBorders>
      </w:tblPr>
      <w:tblGrid>
        <w:gridCol w:w="1333"/>
        <w:gridCol w:w="4735"/>
      </w:tblGrid>
      <w:tr>
        <w:trPr>
          <w:trHeight w:val="450" w:hRule="atLeast"/>
        </w:trPr>
        <w:tc>
          <w:tcPr>
            <w:tcW w:w="1333" w:type="dxa"/>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Item 8. </w:t>
            </w:r>
            <w:r>
              <w:br/>
            </w:r>
            <w:r>
              <w:rPr>
                <w:rFonts w:ascii="Times New Roman" w:hAnsi="Times New Roman"/>
                <w:b/>
                <w:i w:val="false"/>
                <w:color w:val="000000"/>
                <w:sz w:val="20"/>
              </w:rPr>
              <w:t xml:space="preserve"> </w:t>
            </w:r>
          </w:p>
        </w:tc>
        <w:tc>
          <w:tcPr>
            <w:tcW w:w="4735" w:type="dxa"/>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Indemnification of Officers and Directors </w:t>
            </w:r>
          </w:p>
        </w:tc>
      </w:tr>
    </w:tbl>
    <w:p>
      <w:pPr>
        <w:spacing w:before="120" w:after="0"/>
        <w:ind w:left="120"/>
        <w:jc w:val="left"/>
      </w:pPr>
      <w:r>
        <w:rPr>
          <w:rFonts w:ascii="Times New Roman" w:hAnsi="Times New Roman"/>
          <w:b w:val="false"/>
          <w:i w:val="false"/>
          <w:color w:val="000000"/>
          <w:sz w:val="20"/>
        </w:rPr>
        <w:t xml:space="preserve"> Our current and former directors (and such other current or former employee as designated by the board of directors) have the benefit of the following indemnification provisions in our Articles of Association: </w:t>
      </w:r>
    </w:p>
    <w:p>
      <w:pPr>
        <w:spacing w:before="170" w:after="0"/>
        <w:ind w:left="120"/>
        <w:jc w:val="left"/>
      </w:pPr>
      <w:r>
        <w:rPr>
          <w:rFonts w:ascii="Times New Roman" w:hAnsi="Times New Roman"/>
          <w:b w:val="false"/>
          <w:i w:val="false"/>
          <w:color w:val="000000"/>
          <w:sz w:val="20"/>
        </w:rPr>
        <w:t xml:space="preserve"> Indemnified persons shall be reimbursed for: </w:t>
      </w:r>
    </w:p>
    <w:tbl>
      <w:tblPr>
        <w:tblW w:w="0" w:type="auto"/>
        <w:tblCellSpacing w:w="0" w:type="dxa"/>
        <w:tblInd w:w="533" w:type="dxa"/>
        <w:tblBorders>
          <w:top w:val="none"/>
          <w:left w:val="none"/>
          <w:bottom w:val="none"/>
          <w:right w:val="none"/>
          <w:insideH w:val="none"/>
          <w:insideV w:val="none"/>
        </w:tblBorders>
      </w:tblPr>
      <w:tblGrid>
        <w:gridCol w:w="533"/>
        <w:gridCol w:w="7442"/>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w:t>
            </w:r>
            <w:r>
              <w:br/>
            </w:r>
            <w:r>
              <w:rPr>
                <w:rFonts w:ascii="Times New Roman" w:hAnsi="Times New Roman"/>
                <w:b w:val="false"/>
                <w:i w:val="false"/>
                <w:color w:val="000000"/>
                <w:sz w:val="20"/>
              </w:rPr>
              <w:t xml:space="preserve"> </w:t>
            </w:r>
          </w:p>
        </w:tc>
        <w:tc>
          <w:tcPr>
            <w:tcW w:w="7442"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financial losses or damages incurred by such indemnified person;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(b)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any expense reasonably paid or incurred by such indemnified person in connection with any threatened, pending or completed suit, claim, action or legal proceedings of a civil, criminal, administrative or other nature, formal or informal, in which he becomes involved: </w:t>
            </w:r>
          </w:p>
        </w:tc>
      </w:tr>
    </w:tbl>
    <w:p>
      <w:pPr>
        <w:spacing w:before="120" w:after="0"/>
        <w:ind w:left="120"/>
        <w:jc w:val="left"/>
      </w:pPr>
      <w:r>
        <w:rPr>
          <w:rFonts w:ascii="Times New Roman" w:hAnsi="Times New Roman"/>
          <w:b w:val="false"/>
          <w:i w:val="false"/>
          <w:color w:val="000000"/>
          <w:sz w:val="20"/>
        </w:rPr>
        <w:t xml:space="preserve"> in each case to the extent this relates to his current or former position with the company and/or a group company and in each case to the extent permitted by applicable law. </w:t>
      </w:r>
    </w:p>
    <w:p>
      <w:pPr>
        <w:spacing w:before="170" w:after="0"/>
        <w:ind w:left="120"/>
        <w:jc w:val="left"/>
      </w:pPr>
      <w:r>
        <w:rPr>
          <w:rFonts w:ascii="Times New Roman" w:hAnsi="Times New Roman"/>
          <w:b w:val="false"/>
          <w:i w:val="false"/>
          <w:color w:val="000000"/>
          <w:sz w:val="20"/>
        </w:rPr>
        <w:t xml:space="preserve"> There shall be no entitlement to reimbursement as referred to above: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(a)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if a competent court or arbitral tribunal has established that the acts or omissions of such indemnified person that led to the financial losses, damages, expenses, suit, claim, action or legal proceedings as described above are of an unlawful nature (including acts or omissions that are considered to constitute malice, gross negligence, intentional recklessness and/or serious culpability attributable to such indemnified person);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(b)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the extent that his financial losses, damages and expenses are covered under an insurance and the relevant insurer has settled, or has provided reimbursement for, these financial losses, damages and expenses (or has irrevocably undertaken to do so); or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11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(c)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in relation to proceedings brought by such indemnified person against the company, except for proceedings brought to enforce indemnification to which he is entitled pursuant to the Articles of Association, pursuant to an agreement between such indemnified person and the company that has been approved by the board of directors or pursuant to an insurance taken out by the company for the benefit of such indemnified person. </w:t>
            </w:r>
          </w:p>
        </w:tc>
      </w:tr>
    </w:tbl>
    <w:p>
      <w:pPr>
        <w:spacing w:before="120" w:after="0"/>
        <w:ind w:left="120"/>
        <w:jc w:val="left"/>
      </w:pPr>
      <w:r>
        <w:rPr>
          <w:rFonts w:ascii="Times New Roman" w:hAnsi="Times New Roman"/>
          <w:b w:val="false"/>
          <w:i w:val="false"/>
          <w:color w:val="000000"/>
          <w:sz w:val="20"/>
        </w:rPr>
        <w:t xml:space="preserve"> The board of directors may stipulate additional terms, conditions and restrictions in relation to the indemnification referred to above. We also entered into indemnification agreements with each of our directors and executive officers. </w:t>
      </w:r>
    </w:p>
    <w:p>
      <w:pPr>
        <w:spacing w:before="189" w:after="0"/>
        <w:ind w:left="120"/>
        <w:jc w:val="center"/>
      </w:pPr>
      <w:r>
        <w:rPr>
          <w:rFonts w:ascii="Times New Roman" w:hAnsi="Times New Roman"/>
          <w:b w:val="false"/>
          <w:i w:val="false"/>
          <w:color w:val="000000"/>
          <w:sz w:val="20"/>
        </w:rPr>
        <w:t xml:space="preserve"> II-1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200-exhibits_pg1" w:id="68"/>
      <w:r>
        <w:rPr>
          <w:rFonts w:ascii="Times New Roman" w:hAnsi="Times New Roman"/>
          <w:b w:val="false"/>
          <w:i w:val="false"/>
          <w:color w:val="0000ff"/>
          <w:sz w:val="22"/>
        </w:rPr>
        <w:t/>
      </w:r>
      <w:bookmarkEnd w:id="68"/>
    </w:p>
    <w:p>
      <w:pPr>
        <w:spacing w:before="269" w:after="269"/>
        <w:ind w:left="120"/>
        <w:jc w:val="left"/>
      </w:pPr>
      <w:r>
        <w:rPr>
          <w:rFonts w:ascii="Times New Roman" w:hAnsi="Times New Roman"/>
          <w:b/>
          <w:i w:val="false"/>
          <w:color w:val="000000"/>
          <w:sz w:val="16"/>
        </w:rPr>
        <w:t>TABLE OF CONTENTS</w:t>
      </w:r>
    </w:p>
    <w:tbl>
      <w:tblPr>
        <w:tblW w:w="0" w:type="auto"/>
        <w:tblCellSpacing w:w="0" w:type="dxa"/>
        <w:tblBorders>
          <w:top w:val="none"/>
          <w:left w:val="none"/>
          <w:bottom w:val="none"/>
          <w:right w:val="none"/>
          <w:insideH w:val="none"/>
          <w:insideV w:val="none"/>
        </w:tblBorders>
      </w:tblPr>
      <w:tblGrid>
        <w:gridCol w:w="1333"/>
        <w:gridCol w:w="1017"/>
      </w:tblGrid>
      <w:tr>
        <w:trPr>
          <w:trHeight w:val="225" w:hRule="atLeast"/>
        </w:trPr>
        <w:tc>
          <w:tcPr>
            <w:tcW w:w="1333" w:type="dxa"/>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Item 9. </w:t>
            </w:r>
            <w:r>
              <w:br/>
            </w:r>
            <w:r>
              <w:rPr>
                <w:rFonts w:ascii="Times New Roman" w:hAnsi="Times New Roman"/>
                <w:b/>
                <w:i w:val="false"/>
                <w:color w:val="000000"/>
                <w:sz w:val="20"/>
              </w:rPr>
              <w:t xml:space="preserve"> </w:t>
            </w:r>
          </w:p>
        </w:tc>
        <w:tc>
          <w:tcPr>
            <w:tcW w:w="1017" w:type="dxa"/>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Exhibits </w:t>
            </w:r>
          </w:p>
        </w:tc>
      </w:tr>
    </w:tbl>
    <w:p>
      <w:pPr>
        <w:spacing w:before="150" w:after="0"/>
        <w:ind w:left="120"/>
        <w:jc w:val="left"/>
      </w:pPr>
      <w:r>
        <w:rPr>
          <w:rFonts w:ascii="Times New Roman" w:hAnsi="Times New Roman"/>
          <w:b w:val="false"/>
          <w:i w:val="false"/>
          <w:color w:val="000000"/>
          <w:sz w:val="20"/>
        </w:rPr>
        <w:t xml:space="preserve"> The following documents are filed as part of this registration statement: </w:t>
      </w:r>
    </w:p>
    <w:p>
      <w:pPr>
        <w:spacing w:before="160" w:after="0"/>
        <w:ind w:left="120"/>
        <w:jc w:val="left"/>
      </w:pPr>
    </w:p>
    <w:tbl>
      <w:tblPr>
        <w:tblW w:w="0" w:type="auto"/>
        <w:tblCellSpacing w:w="0" w:type="dxa"/>
        <w:tblBorders>
          <w:top w:val="none"/>
          <w:left w:val="none"/>
          <w:bottom w:val="none"/>
          <w:right w:val="none"/>
          <w:insideH w:val="none"/>
          <w:insideV w:val="none"/>
        </w:tblBorders>
      </w:tblPr>
      <w:tblGrid>
        <w:gridCol w:w="1280"/>
        <w:gridCol w:w="80"/>
        <w:gridCol w:w="80"/>
        <w:gridCol w:w="11040"/>
      </w:tblGrid>
      <w:tr>
        <w:trPr>
          <w:trHeight w:val="120" w:hRule="atLeast"/>
        </w:trPr>
        <w:tc>
          <w:tcPr>
            <w:tcW w:w="12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40" w:hRule="atLeast"/>
        </w:trPr>
        <w:tc>
          <w:tcPr>
            <w:tcW w:w="1280" w:type="dxa"/>
            <w:tcBorders>
              <w:bottom w:val="single" w:color="000000" w:sz="11"/>
            </w:tcBorders>
            <w:tcMar>
              <w:top w:w="15" w:type="dxa"/>
              <w:left w:w="15" w:type="dxa"/>
              <w:bottom w:w="36" w:type="dxa"/>
              <w:right w:w="15" w:type="dxa"/>
            </w:tcMar>
            <w:vAlign w:val="bottom"/>
          </w:tcPr>
          <w:p>
            <w:pPr>
              <w:spacing w:before="0" w:after="0"/>
              <w:ind w:left="120"/>
              <w:jc w:val="left"/>
            </w:pPr>
            <w:r>
              <w:rPr>
                <w:rFonts w:ascii="Times New Roman" w:hAnsi="Times New Roman"/>
                <w:b/>
                <w:i w:val="false"/>
                <w:color w:val="000000"/>
                <w:sz w:val="16"/>
              </w:rPr>
              <w:t xml:space="preserve"> Exhibit No.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bottom w:val="single" w:color="000000" w:sz="11"/>
            </w:tcBorders>
            <w:tcMar>
              <w:top w:w="15" w:type="dxa"/>
              <w:left w:w="15" w:type="dxa"/>
              <w:bottom w:w="36" w:type="dxa"/>
              <w:right w:w="15" w:type="dxa"/>
            </w:tcMar>
            <w:vAlign w:val="bottom"/>
          </w:tcPr>
          <w:p>
            <w:pPr>
              <w:spacing w:before="0" w:after="0"/>
              <w:ind w:left="120"/>
              <w:jc w:val="left"/>
            </w:pPr>
            <w:r>
              <w:rPr>
                <w:rFonts w:ascii="Times New Roman" w:hAnsi="Times New Roman"/>
                <w:b/>
                <w:i w:val="false"/>
                <w:color w:val="000000"/>
                <w:sz w:val="16"/>
              </w:rPr>
              <w:t xml:space="preserve"> Description of Document </w:t>
            </w:r>
          </w:p>
        </w:tc>
      </w:tr>
      <w:tr>
        <w:trPr>
          <w:trHeight w:val="285" w:hRule="atLeast"/>
        </w:trPr>
        <w:tc>
          <w:tcPr>
            <w:tcW w:w="1280" w:type="dxa"/>
            <w:tcBorders/>
            <w:shd w:fill="cceeff"/>
            <w:tcMar>
              <w:top w:w="30"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1.1*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30"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Form of Underwriting Agreement </w:t>
            </w:r>
          </w:p>
        </w:tc>
      </w:tr>
      <w:tr>
        <w:trPr>
          <w:trHeight w:val="705"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4.1</w:t>
            </w:r>
            <w:r>
              <w:rPr>
                <w:rFonts w:ascii="Times New Roman" w:hAnsi="Times New Roman"/>
                <w:b w:val="false"/>
                <w:i w:val="false"/>
                <w:color w:val="000000"/>
                <w:sz w:val="20"/>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Articles of Association of InflaRx N.V., dated August 25, 2021 (English language translation) (incorporated herein by reference to Exhibit 1.1 to the Annual Report on Form 20-F for the year ended December 31, 2025 filed with the SEC on March 20, 2026) </w:t>
            </w:r>
          </w:p>
        </w:tc>
      </w:tr>
      <w:tr>
        <w:trPr>
          <w:trHeight w:val="495"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4.2</w:t>
            </w:r>
            <w:r>
              <w:rPr>
                <w:rFonts w:ascii="Times New Roman" w:hAnsi="Times New Roman"/>
                <w:b w:val="false"/>
                <w:i w:val="false"/>
                <w:color w:val="000000"/>
                <w:sz w:val="20"/>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Deed of Amendment to the Articles of Association, dated April 25, 2024 (incorporated herein by reference to Exhibit 99.1 to the Form 6-K Report filed with the SEC on April 25, 2024) </w:t>
            </w:r>
          </w:p>
        </w:tc>
      </w:tr>
      <w:tr>
        <w:trPr>
          <w:trHeight w:val="495"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4.3</w:t>
            </w:r>
            <w:r>
              <w:rPr>
                <w:rFonts w:ascii="Times New Roman" w:hAnsi="Times New Roman"/>
                <w:b w:val="false"/>
                <w:i w:val="false"/>
                <w:color w:val="000000"/>
                <w:sz w:val="20"/>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Deed of Amendment to the Articles of Association, dated April 25, 2025 (incorporated herein by reference to Exhibit 99.1 to the Form 6-K Report filed with the SEC on April 24, 2025) </w:t>
            </w:r>
          </w:p>
        </w:tc>
      </w:tr>
      <w:tr>
        <w:trPr>
          <w:trHeight w:val="495"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4.4</w:t>
            </w:r>
            <w:r>
              <w:rPr>
                <w:rFonts w:ascii="Times New Roman" w:hAnsi="Times New Roman"/>
                <w:b w:val="false"/>
                <w:i w:val="false"/>
                <w:color w:val="000000"/>
                <w:sz w:val="20"/>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Deed of Amendment to the Articles of Association, dated April 23, 2026 (incorporated herein by reference to Exhibit 99.1 to the Form 6-K Report filed with the SEC on April 23, 2026) </w:t>
            </w:r>
          </w:p>
        </w:tc>
      </w:tr>
      <w:tr>
        <w:trPr>
          <w:trHeight w:val="270"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4.5</w:t>
            </w:r>
            <w:r>
              <w:rPr>
                <w:rFonts w:ascii="Times New Roman" w:hAnsi="Times New Roman"/>
                <w:b w:val="false"/>
                <w:i w:val="false"/>
                <w:color w:val="000000"/>
                <w:sz w:val="20"/>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Form of Senior Indenture </w:t>
            </w:r>
          </w:p>
        </w:tc>
      </w:tr>
      <w:tr>
        <w:trPr>
          <w:trHeight w:val="270"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4.6</w:t>
            </w:r>
            <w:r>
              <w:rPr>
                <w:rFonts w:ascii="Times New Roman" w:hAnsi="Times New Roman"/>
                <w:b w:val="false"/>
                <w:i w:val="false"/>
                <w:color w:val="000000"/>
                <w:sz w:val="20"/>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Form of Subordinated Indenture </w:t>
            </w:r>
          </w:p>
        </w:tc>
      </w:tr>
      <w:tr>
        <w:trPr>
          <w:trHeight w:val="270"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4.7*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Form of Senior Note </w:t>
            </w:r>
          </w:p>
        </w:tc>
      </w:tr>
      <w:tr>
        <w:trPr>
          <w:trHeight w:val="270"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4.8*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Form of Subordinated Note </w:t>
            </w:r>
          </w:p>
        </w:tc>
      </w:tr>
      <w:tr>
        <w:trPr>
          <w:trHeight w:val="270"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4.9*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Form of Warrant Agreement </w:t>
            </w:r>
          </w:p>
        </w:tc>
      </w:tr>
      <w:tr>
        <w:trPr>
          <w:trHeight w:val="270"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4.10*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Form of Purchase Contract </w:t>
            </w:r>
          </w:p>
        </w:tc>
      </w:tr>
      <w:tr>
        <w:trPr>
          <w:trHeight w:val="270"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4.11*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Form of Unit Agreement </w:t>
            </w:r>
          </w:p>
        </w:tc>
      </w:tr>
      <w:tr>
        <w:trPr>
          <w:trHeight w:val="270"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5.1</w:t>
            </w:r>
            <w:r>
              <w:rPr>
                <w:rFonts w:ascii="Times New Roman" w:hAnsi="Times New Roman"/>
                <w:b w:val="false"/>
                <w:i w:val="false"/>
                <w:color w:val="000000"/>
                <w:sz w:val="20"/>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Opinion of NautaDutilh N.V. </w:t>
            </w:r>
          </w:p>
        </w:tc>
      </w:tr>
      <w:tr>
        <w:trPr>
          <w:trHeight w:val="270"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5.2</w:t>
            </w:r>
            <w:r>
              <w:rPr>
                <w:rFonts w:ascii="Times New Roman" w:hAnsi="Times New Roman"/>
                <w:b w:val="false"/>
                <w:i w:val="false"/>
                <w:color w:val="000000"/>
                <w:sz w:val="20"/>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Opinion of Kirkland &amp; Ellis LLP </w:t>
            </w:r>
          </w:p>
        </w:tc>
      </w:tr>
      <w:tr>
        <w:trPr>
          <w:trHeight w:val="495"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23.1</w:t>
            </w:r>
            <w:r>
              <w:rPr>
                <w:rFonts w:ascii="Times New Roman" w:hAnsi="Times New Roman"/>
                <w:b w:val="false"/>
                <w:i w:val="false"/>
                <w:color w:val="000000"/>
                <w:sz w:val="20"/>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Consent of KPMG AG Wirtschaftsprüfungsgesellschaft, independent registered public accounting firm </w:t>
            </w:r>
          </w:p>
        </w:tc>
      </w:tr>
      <w:tr>
        <w:trPr>
          <w:trHeight w:val="495"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23.2</w:t>
            </w:r>
            <w:r>
              <w:rPr>
                <w:rFonts w:ascii="Times New Roman" w:hAnsi="Times New Roman"/>
                <w:b w:val="false"/>
                <w:i w:val="false"/>
                <w:color w:val="000000"/>
                <w:sz w:val="20"/>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Consent of EY GmbH &amp; Co. KG Wirtschaftsprüfungsgesellschaft, independent registered public accounting firm </w:t>
            </w:r>
          </w:p>
        </w:tc>
      </w:tr>
      <w:tr>
        <w:trPr>
          <w:trHeight w:val="270"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23.3</w:t>
            </w:r>
            <w:r>
              <w:rPr>
                <w:rFonts w:ascii="Times New Roman" w:hAnsi="Times New Roman"/>
                <w:b w:val="false"/>
                <w:i w:val="false"/>
                <w:color w:val="000000"/>
                <w:sz w:val="20"/>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Consent of NautaDutilh N.V. (included in Exhibit 5.1) </w:t>
            </w:r>
          </w:p>
        </w:tc>
      </w:tr>
      <w:tr>
        <w:trPr>
          <w:trHeight w:val="270"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23.4</w:t>
            </w:r>
            <w:r>
              <w:rPr>
                <w:rFonts w:ascii="Times New Roman" w:hAnsi="Times New Roman"/>
                <w:b w:val="false"/>
                <w:i w:val="false"/>
                <w:color w:val="000000"/>
                <w:sz w:val="20"/>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Consent of Kirkland &amp; Ellis LLP (included in Exhibit 5.2) </w:t>
            </w:r>
          </w:p>
        </w:tc>
      </w:tr>
      <w:tr>
        <w:trPr>
          <w:trHeight w:val="270"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24.1</w:t>
            </w:r>
            <w:r>
              <w:rPr>
                <w:rFonts w:ascii="Times New Roman" w:hAnsi="Times New Roman"/>
                <w:b w:val="false"/>
                <w:i w:val="false"/>
                <w:color w:val="000000"/>
                <w:sz w:val="20"/>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Powers of Attorney (included on signature page to the registration statement) </w:t>
            </w:r>
          </w:p>
        </w:tc>
      </w:tr>
      <w:tr>
        <w:trPr>
          <w:trHeight w:val="270" w:hRule="atLeast"/>
        </w:trPr>
        <w:tc>
          <w:tcPr>
            <w:tcW w:w="128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25.1*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Statement of Eligibility on Form T-1 for Senior Indenture </w:t>
            </w:r>
          </w:p>
        </w:tc>
      </w:tr>
      <w:tr>
        <w:trPr>
          <w:trHeight w:val="270" w:hRule="atLeast"/>
        </w:trPr>
        <w:tc>
          <w:tcPr>
            <w:tcW w:w="128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25.2*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shd w:fill="cceeff"/>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shd w:fill="cceeff"/>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Statement of Eligibility on Form T-1 for Subordinated Indenture </w:t>
            </w:r>
          </w:p>
        </w:tc>
      </w:tr>
      <w:tr>
        <w:trPr>
          <w:trHeight w:val="240" w:hRule="atLeast"/>
        </w:trPr>
        <w:tc>
          <w:tcPr>
            <w:tcW w:w="128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107</w:t>
            </w:r>
            <w:r>
              <w:rPr>
                <w:rFonts w:ascii="Times New Roman" w:hAnsi="Times New Roman"/>
                <w:b w:val="false"/>
                <w:i w:val="false"/>
                <w:color w:val="000000"/>
                <w:sz w:val="20"/>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Calculation Fee Table </w:t>
            </w:r>
          </w:p>
        </w:tc>
      </w:tr>
      <w:tr>
        <w:trPr>
          <w:trHeight w:val="45" w:hRule="atLeast"/>
        </w:trPr>
        <w:tc>
          <w:tcPr>
            <w:tcW w:w="12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104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pBdr>
          <w:bottom w:val="single" w:color="000000" w:sz="11"/>
        </w:pBdr>
        <w:spacing w:before="265" w:after="20"/>
        <w:ind w:left="120"/>
        <w:jc w:val="left"/>
      </w:pPr>
    </w:p>
    <w:tbl>
      <w:tblPr>
        <w:tblW w:w="0" w:type="auto"/>
        <w:tblCellSpacing w:w="0" w:type="dxa"/>
        <w:tblBorders>
          <w:top w:val="none"/>
          <w:left w:val="none"/>
          <w:bottom w:val="none"/>
          <w:right w:val="none"/>
          <w:insideH w:val="none"/>
          <w:insideV w:val="none"/>
        </w:tblBorders>
      </w:tblPr>
      <w:tblGrid>
        <w:gridCol w:w="533"/>
        <w:gridCol w:w="3475"/>
      </w:tblGrid>
      <w:tr>
        <w:trPr>
          <w:trHeight w:val="345" w:hRule="atLeast"/>
        </w:trPr>
        <w:tc>
          <w:tcPr>
            <w:tcW w:w="53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16"/>
              </w:rPr>
              <w:t xml:space="preserve"> * </w:t>
            </w:r>
            <w:r>
              <w:br/>
            </w:r>
            <w:r>
              <w:rPr>
                <w:rFonts w:ascii="Times New Roman" w:hAnsi="Times New Roman"/>
                <w:b w:val="false"/>
                <w:i w:val="false"/>
                <w:color w:val="000000"/>
                <w:sz w:val="16"/>
              </w:rPr>
              <w:t xml:space="preserve"> </w:t>
            </w:r>
          </w:p>
        </w:tc>
        <w:tc>
          <w:tcPr>
            <w:tcW w:w="347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16"/>
              </w:rPr>
              <w:t xml:space="preserve"> To be filed, if necessary, by amendment. </w:t>
            </w:r>
          </w:p>
        </w:tc>
      </w:tr>
    </w:tbl>
    <w:p>
      <w:pPr>
        <w:spacing w:before="189" w:after="0"/>
        <w:ind w:left="120"/>
        <w:jc w:val="center"/>
      </w:pPr>
      <w:r>
        <w:rPr>
          <w:rFonts w:ascii="Times New Roman" w:hAnsi="Times New Roman"/>
          <w:b w:val="false"/>
          <w:i w:val="false"/>
          <w:color w:val="000000"/>
          <w:sz w:val="20"/>
        </w:rPr>
        <w:t xml:space="preserve"> II-2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200-exhibits_pg2" w:id="69"/>
      <w:r>
        <w:rPr>
          <w:rFonts w:ascii="Times New Roman" w:hAnsi="Times New Roman"/>
          <w:b w:val="false"/>
          <w:i w:val="false"/>
          <w:color w:val="0000ff"/>
          <w:sz w:val="22"/>
        </w:rPr>
        <w:t/>
      </w:r>
      <w:bookmarkEnd w:id="69"/>
    </w:p>
    <w:p>
      <w:pPr>
        <w:spacing w:before="269" w:after="269"/>
        <w:ind w:left="120"/>
        <w:jc w:val="left"/>
      </w:pPr>
      <w:r>
        <w:rPr>
          <w:rFonts w:ascii="Times New Roman" w:hAnsi="Times New Roman"/>
          <w:b/>
          <w:i w:val="false"/>
          <w:color w:val="000000"/>
          <w:sz w:val="16"/>
        </w:rPr>
        <w:t>TABLE OF CONTENTS</w:t>
      </w:r>
    </w:p>
    <w:tbl>
      <w:tblPr>
        <w:tblW w:w="0" w:type="auto"/>
        <w:tblCellSpacing w:w="0" w:type="dxa"/>
        <w:tblBorders>
          <w:top w:val="none"/>
          <w:left w:val="none"/>
          <w:bottom w:val="none"/>
          <w:right w:val="none"/>
          <w:insideH w:val="none"/>
          <w:insideV w:val="none"/>
        </w:tblBorders>
      </w:tblPr>
      <w:tblGrid>
        <w:gridCol w:w="1333"/>
        <w:gridCol w:w="1625"/>
      </w:tblGrid>
      <w:tr>
        <w:trPr>
          <w:trHeight w:val="225" w:hRule="atLeast"/>
        </w:trPr>
        <w:tc>
          <w:tcPr>
            <w:tcW w:w="1333" w:type="dxa"/>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Item 10. </w:t>
            </w:r>
            <w:r>
              <w:br/>
            </w:r>
            <w:r>
              <w:rPr>
                <w:rFonts w:ascii="Times New Roman" w:hAnsi="Times New Roman"/>
                <w:b/>
                <w:i w:val="false"/>
                <w:color w:val="000000"/>
                <w:sz w:val="20"/>
              </w:rPr>
              <w:t xml:space="preserve"> </w:t>
            </w:r>
          </w:p>
        </w:tc>
        <w:tc>
          <w:tcPr>
            <w:tcW w:w="1625" w:type="dxa"/>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 xml:space="preserve"> Undertakings </w:t>
            </w:r>
          </w:p>
        </w:tc>
      </w:tr>
    </w:tbl>
    <w:tbl>
      <w:tblPr>
        <w:tblW w:w="0" w:type="auto"/>
        <w:tblCellSpacing w:w="0" w:type="dxa"/>
        <w:tblBorders>
          <w:top w:val="none"/>
          <w:left w:val="none"/>
          <w:bottom w:val="none"/>
          <w:right w:val="none"/>
          <w:insideH w:val="none"/>
          <w:insideV w:val="none"/>
        </w:tblBorders>
      </w:tblPr>
      <w:tblGrid>
        <w:gridCol w:w="533"/>
        <w:gridCol w:w="4955"/>
      </w:tblGrid>
      <w:tr>
        <w:trPr>
          <w:trHeight w:val="435" w:hRule="atLeast"/>
        </w:trPr>
        <w:tc>
          <w:tcPr>
            <w:tcW w:w="53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 </w:t>
            </w:r>
            <w:r>
              <w:br/>
            </w:r>
            <w:r>
              <w:rPr>
                <w:rFonts w:ascii="Times New Roman" w:hAnsi="Times New Roman"/>
                <w:b w:val="false"/>
                <w:i w:val="false"/>
                <w:color w:val="000000"/>
                <w:sz w:val="20"/>
              </w:rPr>
              <w:t xml:space="preserve"> </w:t>
            </w:r>
          </w:p>
        </w:tc>
        <w:tc>
          <w:tcPr>
            <w:tcW w:w="495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undersigned registrant hereby undertakes: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(1)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file, during any period in which offers or sales are being made, a post-effective amendment to this registration statement: </w:t>
            </w:r>
          </w:p>
        </w:tc>
      </w:tr>
    </w:tbl>
    <w:tbl>
      <w:tblPr>
        <w:tblW w:w="0" w:type="auto"/>
        <w:tblCellSpacing w:w="0" w:type="dxa"/>
        <w:tblInd w:w="1067" w:type="dxa"/>
        <w:tblBorders>
          <w:top w:val="none"/>
          <w:left w:val="none"/>
          <w:bottom w:val="none"/>
          <w:right w:val="none"/>
          <w:insideH w:val="none"/>
          <w:insideV w:val="none"/>
        </w:tblBorders>
      </w:tblPr>
      <w:tblGrid>
        <w:gridCol w:w="533"/>
        <w:gridCol w:w="8304"/>
      </w:tblGrid>
      <w:tr>
        <w:trPr>
          <w:trHeight w:val="43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(i) </w:t>
            </w:r>
            <w:r>
              <w:br/>
            </w:r>
            <w:r>
              <w:rPr>
                <w:rFonts w:ascii="Times New Roman" w:hAnsi="Times New Roman"/>
                <w:b w:val="false"/>
                <w:i w:val="false"/>
                <w:color w:val="000000"/>
                <w:sz w:val="20"/>
              </w:rPr>
              <w:t xml:space="preserve"> </w:t>
            </w:r>
          </w:p>
        </w:tc>
        <w:tc>
          <w:tcPr>
            <w:tcW w:w="8304"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To include any prospectus required by Section 10(a)(3) of the Securities Act;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2010"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(ii)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To reflect in the prospectus any facts or events arising after the effective date of the registration statement (or the most recent post-effective amendment thereof) that, individually or in the aggregate, represent a fundamental change in the information set forth in the registration statement. Notwithstanding the foregoing, any increase or decrease in volume of securities offered (if the total dollar value of securities offered would not exceed that which was registered) and any deviation from the low or high end of the estimated maximum offering range may be reflected in the form of prospectus filed with the SEC pursuant to Rule 424(b) if, in the aggregate, the changes in volume and price represent no more than 20% change in the maximum aggregate offering price set forth in the “Calculation of Registration Fee” table in the effective registration statement; and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660"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(iii)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To include any material information with respect to the plan of distribution not previously disclosed in the registration statement or any material change to such information in the registration statement; </w:t>
            </w:r>
          </w:p>
        </w:tc>
      </w:tr>
    </w:tbl>
    <w:p>
      <w:pPr>
        <w:spacing w:before="160" w:after="0"/>
        <w:ind w:left="120"/>
        <w:jc w:val="left"/>
      </w:pPr>
      <w:r>
        <w:rPr>
          <w:rFonts w:ascii="Times New Roman" w:hAnsi="Times New Roman"/>
          <w:b w:val="false"/>
          <w:i/>
          <w:color w:val="000000"/>
          <w:sz w:val="20"/>
        </w:rPr>
        <w:t xml:space="preserve"> Provided</w:t>
      </w:r>
      <w:r>
        <w:rPr>
          <w:rFonts w:ascii="Times New Roman" w:hAnsi="Times New Roman"/>
          <w:b w:val="false"/>
          <w:i w:val="false"/>
          <w:color w:val="000000"/>
          <w:sz w:val="20"/>
        </w:rPr>
        <w:t xml:space="preserve">, however, that: </w:t>
      </w:r>
    </w:p>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133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Paragraphs (a)(1)(i), (a)(1)(ii) and (a)(1)(iii) above do not apply if the registration statement is on Form S-1, Form S-3, Form SF-3 or Form F-3 and the information required to be included in a post-effective amendment by those paragraphs is contained in reports filed with or furnished to the SEC by the registrant pursuant to Section 13 or Section 15(d) of the Exchange Act that are incorporated by reference in the registration statement, or is contained in a form of prospectus filed pursuant to Rule 424(b) that is part of the registration statement.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66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(2)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That, for the purpose of determining any liability under the Securities Act, each such post-effective amendment shall be deemed to be a new registration statement relating to the securities offered therein, and the offering of such securities at that time shall be deemed to be the initial bona fide offering thereof.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(3)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remove from registration by means of a post-effective amendment any of the securities being registered that remain unsold at the termination of the offering.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2670"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(4)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To file a post-effective amendment to the registration statement to include any financial statements required by Item 8.A of Form 20-F at the start of any delayed offering or throughout a continuous offering. Financial statements and information otherwise required by Section 10(a)(3) of the Securities Act need not be furnished, provided that the registrant includes in the prospectus, by means of a post-effective amendment, financial statements required pursuant to this paragraph (a)(4) and other information necessary to ensure that all other information in the prospectus is at least as current as the date of those financial statements. Notwithstanding the foregoing, with respect to registration statements on Form F-3, a post-effective amendment need not be filed to include financial statements and information required by Section 10(a)(3) of the Securities Act or Item 8.A of Form 20-F if such financial statements and information are contained in periodic reports filed with or furnished to the SEC by the registrant pursuant to Section 13 or Section 15(d) of the Exchange Act that are incorporated by reference in the Form F-3. </w:t>
            </w:r>
          </w:p>
        </w:tc>
      </w:tr>
    </w:tbl>
    <w:tbl>
      <w:tblPr>
        <w:tblW w:w="0" w:type="auto"/>
        <w:tblCellSpacing w:w="0" w:type="dxa"/>
        <w:tblInd w:w="533" w:type="dxa"/>
        <w:tblBorders>
          <w:top w:val="none"/>
          <w:left w:val="none"/>
          <w:bottom w:val="none"/>
          <w:right w:val="none"/>
          <w:insideH w:val="none"/>
          <w:insideV w:val="none"/>
        </w:tblBorders>
      </w:tblPr>
      <w:tblGrid>
        <w:gridCol w:w="533"/>
        <w:gridCol w:w="9337"/>
      </w:tblGrid>
      <w:tr>
        <w:trPr>
          <w:trHeight w:val="4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(5) </w:t>
            </w:r>
            <w:r>
              <w:br/>
            </w:r>
            <w:r>
              <w:rPr>
                <w:rFonts w:ascii="Times New Roman" w:hAnsi="Times New Roman"/>
                <w:b w:val="false"/>
                <w:i w:val="false"/>
                <w:color w:val="000000"/>
                <w:sz w:val="20"/>
              </w:rPr>
              <w:t xml:space="preserve"> </w:t>
            </w:r>
          </w:p>
        </w:tc>
        <w:tc>
          <w:tcPr>
            <w:tcW w:w="9337"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That, for the purpose of determining liability under the Securities Act to any purchaser: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660"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Each prospectus filed by the registrant pursuant to Rule 424(b)(3) shall be deemed to be part of the registration statement as of the date the filed prospectus was deemed part of and included in the registration statement; and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43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(B)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Each prospectus required to be filed pursuant to Rule 424(b)(2), (b)(5) or (b)(7) as part of a registration statement in reliance on Rule 430B relating to an offering made pursuant to </w:t>
            </w:r>
          </w:p>
        </w:tc>
      </w:tr>
    </w:tbl>
    <w:p>
      <w:pPr>
        <w:spacing w:before="189" w:after="0"/>
        <w:ind w:left="120"/>
        <w:jc w:val="center"/>
      </w:pPr>
      <w:r>
        <w:rPr>
          <w:rFonts w:ascii="Times New Roman" w:hAnsi="Times New Roman"/>
          <w:b w:val="false"/>
          <w:i w:val="false"/>
          <w:color w:val="000000"/>
          <w:sz w:val="20"/>
        </w:rPr>
        <w:t xml:space="preserve"> II-3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200-exhibits_pg3" w:id="70"/>
      <w:r>
        <w:rPr>
          <w:rFonts w:ascii="Times New Roman" w:hAnsi="Times New Roman"/>
          <w:b w:val="false"/>
          <w:i w:val="false"/>
          <w:color w:val="0000ff"/>
          <w:sz w:val="22"/>
        </w:rPr>
        <w:t/>
      </w:r>
      <w:bookmarkEnd w:id="70"/>
    </w:p>
    <w:p>
      <w:pPr>
        <w:spacing w:before="269" w:after="269"/>
        <w:ind w:left="120"/>
        <w:jc w:val="left"/>
      </w:pPr>
      <w:r>
        <w:rPr>
          <w:rFonts w:ascii="Times New Roman" w:hAnsi="Times New Roman"/>
          <w:b/>
          <w:i w:val="false"/>
          <w:color w:val="000000"/>
          <w:sz w:val="16"/>
        </w:rPr>
        <w:t>TABLE OF CONTENTS</w:t>
      </w:r>
    </w:p>
    <w:p>
      <w:pPr>
        <w:spacing w:before="135" w:after="0"/>
        <w:ind w:left="1320"/>
        <w:jc w:val="left"/>
      </w:pPr>
      <w:r>
        <w:rPr>
          <w:rFonts w:ascii="Times New Roman" w:hAnsi="Times New Roman"/>
          <w:b w:val="false"/>
          <w:i w:val="false"/>
          <w:color w:val="000000"/>
          <w:sz w:val="20"/>
        </w:rPr>
        <w:t xml:space="preserve"> Rule 415(a)(1)(i), (vii) or (x) for the purpose of providing the information required by Section 10(a) of the Securities Act shall be deemed to be part of and included in the registration statement as of the earlier of the date such form of prospectus is first used after effectiveness or the date of the first contract of sale of securities in the offering described in the prospectus. As provided in Rule 430B, for liability purposes of the issuer and any person that is at that date an underwriter, such date shall be deemed to be a new effective date of the registration statement relating to the securities in the registration statement to which that prospectus relates, and the offering of such securities at that time shall be deemed to be the initial bona fide offering thereof. </w:t>
      </w:r>
      <w:r>
        <w:rPr>
          <w:rFonts w:ascii="Times New Roman" w:hAnsi="Times New Roman"/>
          <w:b w:val="false"/>
          <w:i/>
          <w:color w:val="000000"/>
          <w:sz w:val="20"/>
        </w:rPr>
        <w:t>Provided</w:t>
      </w:r>
      <w:r>
        <w:rPr>
          <w:rFonts w:ascii="Times New Roman" w:hAnsi="Times New Roman"/>
          <w:b w:val="false"/>
          <w:i w:val="false"/>
          <w:color w:val="000000"/>
          <w:sz w:val="20"/>
        </w:rPr>
        <w:t xml:space="preserve">, </w:t>
      </w:r>
      <w:r>
        <w:rPr>
          <w:rFonts w:ascii="Times New Roman" w:hAnsi="Times New Roman"/>
          <w:b w:val="false"/>
          <w:i/>
          <w:color w:val="000000"/>
          <w:sz w:val="20"/>
        </w:rPr>
        <w:t>however</w:t>
      </w:r>
      <w:r>
        <w:rPr>
          <w:rFonts w:ascii="Times New Roman" w:hAnsi="Times New Roman"/>
          <w:b w:val="false"/>
          <w:i w:val="false"/>
          <w:color w:val="000000"/>
          <w:sz w:val="20"/>
        </w:rPr>
        <w:t xml:space="preserve">, that no statement made in a registration statement or prospectus that is part of the registration statement or made in a document incorporated or deemed incorporated by reference into the registration statement or prospectus that is part of the registration statement will, as to a purchaser with a time of contract of sale prior to such effective date, supersede or modify any statement that was made in the registration statement or prospectus that was part of the registration statement or made in any such document immediately prior to such effective date; or </w:t>
      </w:r>
    </w:p>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133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(6)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That, for the purpose of determining liability of the registrant under the Securities Act to any purchaser in the initial distribution of the securities, the undersigned registrant undertakes that in a primary offering of securities of the undersigned registrant pursuant to this registration statement, regardless of the underwriting method used to sell the securities to the purchaser, if the securities are offered or sold to such purchaser by means of any of the following communications, the undersigned registrant will be a seller to the purchaser and will be considered to offer or sell such securities to such purchaser: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43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(i)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Any preliminary prospectus or prospectus of the undersigned registrant relating to the offering required to be filed pursuant to Rule 424;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43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(ii)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Any free writing prospectus relating to the offering prepared by or on behalf of the undersigned registrant or used or referred to by the undersigned registrant;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660"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(iii)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The portion of any other free writing prospectus relating to the offering containing material information about the undersigned registrant or its securities provided by or on behalf of the undersigned registrant; and </w:t>
            </w:r>
          </w:p>
        </w:tc>
      </w:tr>
    </w:tbl>
    <w:tbl>
      <w:tblPr>
        <w:tblW w:w="0" w:type="auto"/>
        <w:tblCellSpacing w:w="0" w:type="dxa"/>
        <w:tblInd w:w="1067" w:type="dxa"/>
        <w:tblBorders>
          <w:top w:val="none"/>
          <w:left w:val="none"/>
          <w:bottom w:val="none"/>
          <w:right w:val="none"/>
          <w:insideH w:val="none"/>
          <w:insideV w:val="none"/>
        </w:tblBorders>
      </w:tblPr>
      <w:tblGrid>
        <w:gridCol w:w="533"/>
        <w:gridCol w:w="10880"/>
      </w:tblGrid>
      <w:tr>
        <w:trPr>
          <w:trHeight w:val="435" w:hRule="atLeast"/>
        </w:trPr>
        <w:tc>
          <w:tcPr>
            <w:tcW w:w="533"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(iv) </w:t>
            </w:r>
            <w:r>
              <w:br/>
            </w:r>
            <w:r>
              <w:rPr>
                <w:rFonts w:ascii="Times New Roman" w:hAnsi="Times New Roman"/>
                <w:b w:val="false"/>
                <w:i w:val="false"/>
                <w:color w:val="000000"/>
                <w:sz w:val="20"/>
              </w:rPr>
              <w:t xml:space="preserve"> </w:t>
            </w:r>
          </w:p>
        </w:tc>
        <w:tc>
          <w:tcPr>
            <w:tcW w:w="10880" w:type="dxa"/>
            <w:tcBorders/>
            <w:tcMar>
              <w:top w:w="15" w:type="dxa"/>
              <w:left w:w="15" w:type="dxa"/>
              <w:bottom w:w="15" w:type="dxa"/>
              <w:right w:w="15" w:type="dxa"/>
            </w:tcMar>
            <w:vAlign w:val="top"/>
          </w:tcPr>
          <w:p>
            <w:pPr>
              <w:spacing w:before="0" w:after="0"/>
              <w:ind w:left="920"/>
              <w:jc w:val="left"/>
            </w:pPr>
            <w:r>
              <w:rPr>
                <w:rFonts w:ascii="Times New Roman" w:hAnsi="Times New Roman"/>
                <w:b w:val="false"/>
                <w:i w:val="false"/>
                <w:color w:val="000000"/>
                <w:sz w:val="20"/>
              </w:rPr>
              <w:t xml:space="preserve"> Any other communication that is an offer in the offering made by the undersigned registrant to the purchaser. </w:t>
            </w:r>
          </w:p>
        </w:tc>
      </w:tr>
    </w:tbl>
    <w:tbl>
      <w:tblPr>
        <w:tblW w:w="0" w:type="auto"/>
        <w:tblCellSpacing w:w="0" w:type="dxa"/>
        <w:tblBorders>
          <w:top w:val="none"/>
          <w:left w:val="none"/>
          <w:bottom w:val="none"/>
          <w:right w:val="none"/>
          <w:insideH w:val="none"/>
          <w:insideV w:val="none"/>
        </w:tblBorders>
      </w:tblPr>
      <w:tblGrid>
        <w:gridCol w:w="533"/>
        <w:gridCol w:w="11947"/>
      </w:tblGrid>
      <w:tr>
        <w:trPr>
          <w:trHeight w:val="1335" w:hRule="atLeast"/>
        </w:trPr>
        <w:tc>
          <w:tcPr>
            <w:tcW w:w="53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(b) </w:t>
            </w:r>
            <w:r>
              <w:br/>
            </w:r>
            <w:r>
              <w:rPr>
                <w:rFonts w:ascii="Times New Roman" w:hAnsi="Times New Roman"/>
                <w:b w:val="false"/>
                <w:i w:val="false"/>
                <w:color w:val="000000"/>
                <w:sz w:val="20"/>
              </w:rPr>
              <w:t xml:space="preserve"> </w:t>
            </w:r>
          </w:p>
        </w:tc>
        <w:tc>
          <w:tcPr>
            <w:tcW w:w="1194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undersigned registrant hereby undertakes that, for purposes of determining any liability under the Securities Act, each filing of the registrant’s annual report pursuant to Section 13(a) or Section 15(d) of the Exchange Act (and, where applicable, each filing of an employee benefit plan’s annual report pursuant to Section 15(d) of the Exchange Act) that is incorporated by reference in the registration statement shall be deemed to be a new registration statement relating to the securities offered therein, and the offering of such securities at that time shall be deemed to be the initial bona fide offering thereof. </w:t>
            </w:r>
          </w:p>
        </w:tc>
      </w:tr>
    </w:tbl>
    <w:tbl>
      <w:tblPr>
        <w:tblW w:w="0" w:type="auto"/>
        <w:tblCellSpacing w:w="0" w:type="dxa"/>
        <w:tblBorders>
          <w:top w:val="none"/>
          <w:left w:val="none"/>
          <w:bottom w:val="none"/>
          <w:right w:val="none"/>
          <w:insideH w:val="none"/>
          <w:insideV w:val="none"/>
        </w:tblBorders>
      </w:tblPr>
      <w:tblGrid>
        <w:gridCol w:w="533"/>
        <w:gridCol w:w="11947"/>
      </w:tblGrid>
      <w:tr>
        <w:trPr>
          <w:trHeight w:val="2235" w:hRule="atLeast"/>
        </w:trPr>
        <w:tc>
          <w:tcPr>
            <w:tcW w:w="53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 </w:t>
            </w:r>
            <w:r>
              <w:br/>
            </w:r>
            <w:r>
              <w:rPr>
                <w:rFonts w:ascii="Times New Roman" w:hAnsi="Times New Roman"/>
                <w:b w:val="false"/>
                <w:i w:val="false"/>
                <w:color w:val="000000"/>
                <w:sz w:val="20"/>
              </w:rPr>
              <w:t xml:space="preserve"> </w:t>
            </w:r>
          </w:p>
        </w:tc>
        <w:tc>
          <w:tcPr>
            <w:tcW w:w="1194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Insofar as indemnification for liabilities arising under the Securities Act may be permitted to directors, officers and controlling persons of the registrant pursuant to the foregoing provisions, or otherwise, the registrant has been advised that in the opinion of the SEC such indemnification is against public policy as expressed in the Securities Act and is, therefore, unenforceable. In the event that a claim for indemnification against such liabilities (other than the payment by the registrant of expenses incurred or paid by a director, officer or controlling person of the registrant in the successful defense of any action, suit or proceeding) is asserted by such director, officer or controlling person in connection with the securities being registered, the registrant will, unless in the opinion of its counsel the matter has been settled by controlling precedent, submit to a court of appropriate jurisdiction the question whether such indemnification by it is against public policy as expressed in the Act and will be governed by the final adjudication of such issue. </w:t>
            </w:r>
          </w:p>
        </w:tc>
      </w:tr>
    </w:tbl>
    <w:p>
      <w:pPr>
        <w:spacing w:before="189" w:after="0"/>
        <w:ind w:left="120"/>
        <w:jc w:val="center"/>
      </w:pPr>
      <w:r>
        <w:rPr>
          <w:rFonts w:ascii="Times New Roman" w:hAnsi="Times New Roman"/>
          <w:b w:val="false"/>
          <w:i w:val="false"/>
          <w:color w:val="000000"/>
          <w:sz w:val="20"/>
        </w:rPr>
        <w:t xml:space="preserve"> II-4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200-exhibits_pg4" w:id="71"/>
      <w:r>
        <w:rPr>
          <w:rFonts w:ascii="Times New Roman" w:hAnsi="Times New Roman"/>
          <w:b w:val="false"/>
          <w:i w:val="false"/>
          <w:color w:val="0000ff"/>
          <w:sz w:val="22"/>
        </w:rPr>
        <w:t/>
      </w:r>
      <w:bookmarkEnd w:id="71"/>
    </w:p>
    <w:p>
      <w:pPr>
        <w:spacing w:before="269" w:after="269"/>
        <w:ind w:left="120"/>
        <w:jc w:val="left"/>
      </w:pPr>
      <w:r>
        <w:rPr>
          <w:rFonts w:ascii="Times New Roman" w:hAnsi="Times New Roman"/>
          <w:b/>
          <w:i w:val="false"/>
          <w:color w:val="000000"/>
          <w:sz w:val="16"/>
        </w:rPr>
        <w:t>TABLE OF CONTENTS</w:t>
      </w:r>
    </w:p>
    <w:tbl>
      <w:tblPr>
        <w:tblW w:w="0" w:type="auto"/>
        <w:tblCellSpacing w:w="0" w:type="dxa"/>
        <w:tblBorders>
          <w:top w:val="none"/>
          <w:left w:val="none"/>
          <w:bottom w:val="none"/>
          <w:right w:val="none"/>
          <w:insideH w:val="none"/>
          <w:insideV w:val="none"/>
        </w:tblBorders>
      </w:tblPr>
      <w:tblGrid>
        <w:gridCol w:w="533"/>
        <w:gridCol w:w="5423"/>
      </w:tblGrid>
      <w:tr>
        <w:trPr>
          <w:trHeight w:val="435" w:hRule="atLeast"/>
        </w:trPr>
        <w:tc>
          <w:tcPr>
            <w:tcW w:w="53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(d) </w:t>
            </w:r>
            <w:r>
              <w:br/>
            </w:r>
            <w:r>
              <w:rPr>
                <w:rFonts w:ascii="Times New Roman" w:hAnsi="Times New Roman"/>
                <w:b w:val="false"/>
                <w:i w:val="false"/>
                <w:color w:val="000000"/>
                <w:sz w:val="20"/>
              </w:rPr>
              <w:t xml:space="preserve"> </w:t>
            </w:r>
          </w:p>
        </w:tc>
        <w:tc>
          <w:tcPr>
            <w:tcW w:w="542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undersigned registrant hereby undertakes that: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(1)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For purposes of determining any liability under the Securities Act, the information omitted from the form of prospectus filed as part of this registration statement in reliance upon Rule 430A and contained in a form of prospectus filed by the registrant pursuant to Rule 424(b)(1) or (4) or 497(h) under the Securities Act shall be deemed to be part of this registration statement as of the time it was declared effective. </w:t>
            </w:r>
          </w:p>
        </w:tc>
      </w:tr>
    </w:tbl>
    <w:tbl>
      <w:tblPr>
        <w:tblW w:w="0" w:type="auto"/>
        <w:tblCellSpacing w:w="0" w:type="dxa"/>
        <w:tblInd w:w="533" w:type="dxa"/>
        <w:tblBorders>
          <w:top w:val="none"/>
          <w:left w:val="none"/>
          <w:bottom w:val="none"/>
          <w:right w:val="none"/>
          <w:insideH w:val="none"/>
          <w:insideV w:val="none"/>
        </w:tblBorders>
      </w:tblPr>
      <w:tblGrid>
        <w:gridCol w:w="533"/>
        <w:gridCol w:w="11414"/>
      </w:tblGrid>
      <w:tr>
        <w:trPr>
          <w:trHeight w:val="885" w:hRule="atLeast"/>
        </w:trPr>
        <w:tc>
          <w:tcPr>
            <w:tcW w:w="533"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(2) </w:t>
            </w:r>
            <w:r>
              <w:br/>
            </w:r>
            <w:r>
              <w:rPr>
                <w:rFonts w:ascii="Times New Roman" w:hAnsi="Times New Roman"/>
                <w:b w:val="false"/>
                <w:i w:val="false"/>
                <w:color w:val="000000"/>
                <w:sz w:val="20"/>
              </w:rPr>
              <w:t xml:space="preserve"> </w:t>
            </w:r>
          </w:p>
        </w:tc>
        <w:tc>
          <w:tcPr>
            <w:tcW w:w="11414" w:type="dxa"/>
            <w:tcBorders/>
            <w:tcMar>
              <w:top w:w="15" w:type="dxa"/>
              <w:left w:w="15" w:type="dxa"/>
              <w:bottom w:w="15" w:type="dxa"/>
              <w:right w:w="15" w:type="dxa"/>
            </w:tcMar>
            <w:vAlign w:val="top"/>
          </w:tcPr>
          <w:p>
            <w:pPr>
              <w:spacing w:before="0" w:after="0"/>
              <w:ind w:left="520"/>
              <w:jc w:val="left"/>
            </w:pPr>
            <w:r>
              <w:rPr>
                <w:rFonts w:ascii="Times New Roman" w:hAnsi="Times New Roman"/>
                <w:b w:val="false"/>
                <w:i w:val="false"/>
                <w:color w:val="000000"/>
                <w:sz w:val="20"/>
              </w:rPr>
              <w:t xml:space="preserve"> For the purpose of determining any liability under the Securities Act, each post-effective amendment that contains a form of prospectus shall be deemed to be a new registration statement relating to the securities offered therein, and the offering of such securities at that time shall be deemed to be the initial bona fide offering thereof. </w:t>
            </w:r>
          </w:p>
        </w:tc>
      </w:tr>
    </w:tbl>
    <w:tbl>
      <w:tblPr>
        <w:tblW w:w="0" w:type="auto"/>
        <w:tblCellSpacing w:w="0" w:type="dxa"/>
        <w:tblBorders>
          <w:top w:val="none"/>
          <w:left w:val="none"/>
          <w:bottom w:val="none"/>
          <w:right w:val="none"/>
          <w:insideH w:val="none"/>
          <w:insideV w:val="none"/>
        </w:tblBorders>
      </w:tblPr>
      <w:tblGrid>
        <w:gridCol w:w="533"/>
        <w:gridCol w:w="11947"/>
      </w:tblGrid>
      <w:tr>
        <w:trPr>
          <w:trHeight w:val="660" w:hRule="atLeast"/>
        </w:trPr>
        <w:tc>
          <w:tcPr>
            <w:tcW w:w="53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(e) </w:t>
            </w:r>
            <w:r>
              <w:br/>
            </w:r>
            <w:r>
              <w:rPr>
                <w:rFonts w:ascii="Times New Roman" w:hAnsi="Times New Roman"/>
                <w:b w:val="false"/>
                <w:i w:val="false"/>
                <w:color w:val="000000"/>
                <w:sz w:val="20"/>
              </w:rPr>
              <w:t xml:space="preserve"> </w:t>
            </w:r>
          </w:p>
        </w:tc>
        <w:tc>
          <w:tcPr>
            <w:tcW w:w="1194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undersigned registrant hereby undertakes to file an application for the purpose of determining the eligibility of the trustee to act under subsection (a) of Section 310 of the Trust Indenture Act in accordance with the rules and regulations prescribed by the SEC under Section 305(b)(2) of the Trust Indenture Act. </w:t>
            </w:r>
          </w:p>
        </w:tc>
      </w:tr>
    </w:tbl>
    <w:p>
      <w:pPr>
        <w:spacing w:before="189" w:after="0"/>
        <w:ind w:left="120"/>
        <w:jc w:val="center"/>
      </w:pPr>
      <w:r>
        <w:rPr>
          <w:rFonts w:ascii="Times New Roman" w:hAnsi="Times New Roman"/>
          <w:b w:val="false"/>
          <w:i w:val="false"/>
          <w:color w:val="000000"/>
          <w:sz w:val="20"/>
        </w:rPr>
        <w:t xml:space="preserve"> II-5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300-signatures_pg1" w:id="72"/>
      <w:r>
        <w:rPr>
          <w:rFonts w:ascii="Times New Roman" w:hAnsi="Times New Roman"/>
          <w:b w:val="false"/>
          <w:i w:val="false"/>
          <w:color w:val="0000ff"/>
          <w:sz w:val="22"/>
        </w:rPr>
        <w:t/>
      </w:r>
      <w:bookmarkEnd w:id="72"/>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w:t>
      </w:r>
      <w:bookmarkStart w:name="tSIG" w:id="73"/>
      <w:r>
        <w:rPr>
          <w:rFonts w:ascii="Times New Roman" w:hAnsi="Times New Roman"/>
          <w:b/>
          <w:i w:val="false"/>
          <w:color w:val="0000ff"/>
          <w:sz w:val="20"/>
        </w:rPr>
        <w:t/>
      </w:r>
      <w:bookmarkEnd w:id="73"/>
      <w:r>
        <w:rPr>
          <w:rFonts w:ascii="Times New Roman" w:hAnsi="Times New Roman"/>
          <w:b/>
          <w:i w:val="false"/>
          <w:color w:val="000000"/>
          <w:sz w:val="20"/>
        </w:rPr>
        <w:t xml:space="preserve">SIGNATURES </w:t>
      </w:r>
    </w:p>
    <w:p>
      <w:pPr>
        <w:spacing w:before="120" w:after="0"/>
        <w:ind w:left="120"/>
        <w:jc w:val="left"/>
      </w:pPr>
      <w:r>
        <w:rPr>
          <w:rFonts w:ascii="Times New Roman" w:hAnsi="Times New Roman"/>
          <w:b w:val="false"/>
          <w:i w:val="false"/>
          <w:color w:val="000000"/>
          <w:sz w:val="20"/>
        </w:rPr>
        <w:t xml:space="preserve"> Pursuant to the requirements of the Securities Act of 1933, as amended, the registrant certifies that it has reasonable grounds to believe that it meets all of the requirements for filing on Form F-3 and has duly caused this registration statement to be signed on its behalf by the undersigned, thereunto duly authorized, in the City of Jena, Germany on August 6, 2026. </w:t>
      </w:r>
    </w:p>
    <w:tbl>
      <w:tblPr>
        <w:tblW w:w="0" w:type="auto"/>
        <w:tblCellSpacing w:w="0" w:type="dxa"/>
        <w:tblBorders>
          <w:top w:val="none"/>
          <w:left w:val="none"/>
          <w:bottom w:val="none"/>
          <w:right w:val="none"/>
          <w:insideH w:val="none"/>
          <w:insideV w:val="none"/>
        </w:tblBorders>
      </w:tblPr>
      <w:tblGrid>
        <w:gridCol w:w="5686"/>
        <w:gridCol w:w="159"/>
        <w:gridCol w:w="159"/>
        <w:gridCol w:w="453"/>
        <w:gridCol w:w="159"/>
        <w:gridCol w:w="159"/>
        <w:gridCol w:w="5705"/>
      </w:tblGrid>
      <w:tr>
        <w:trPr>
          <w:trHeight w:val="120" w:hRule="atLeast"/>
        </w:trPr>
        <w:tc>
          <w:tcPr>
            <w:tcW w:w="5686"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gridSpan w:val="4"/>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55" w:hRule="atLeast"/>
        </w:trPr>
        <w:tc>
          <w:tcPr>
            <w:tcW w:w="5686"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gridSpan w:val="4"/>
            <w:tcBorders/>
            <w:tcMar>
              <w:top w:w="15" w:type="dxa"/>
              <w:left w:w="15" w:type="dxa"/>
              <w:bottom w:w="21" w:type="dxa"/>
              <w:right w:w="15" w:type="dxa"/>
            </w:tcMar>
            <w:vAlign w:val="bottom"/>
          </w:tcPr>
          <w:p>
            <w:pPr>
              <w:spacing w:before="0" w:after="0"/>
              <w:ind w:left="120"/>
              <w:jc w:val="left"/>
            </w:pPr>
            <w:r>
              <w:rPr>
                <w:rFonts w:ascii="Times New Roman" w:hAnsi="Times New Roman"/>
                <w:b/>
                <w:i w:val="false"/>
                <w:color w:val="000000"/>
                <w:sz w:val="20"/>
              </w:rPr>
              <w:t xml:space="preserve"> INFLARX N.V.</w:t>
            </w:r>
            <w:r>
              <w:rPr>
                <w:rFonts w:ascii="Times New Roman" w:hAnsi="Times New Roman"/>
                <w:b w:val="false"/>
                <w:i w:val="false"/>
                <w:color w:val="000000"/>
                <w:sz w:val="20"/>
              </w:rPr>
              <w:t xml:space="preserve"> </w:t>
            </w:r>
          </w:p>
        </w:tc>
      </w:tr>
      <w:tr>
        <w:trPr>
          <w:trHeight w:val="270" w:hRule="atLeast"/>
        </w:trPr>
        <w:tc>
          <w:tcPr>
            <w:tcW w:w="5686" w:type="dxa"/>
            <w:tcBorders/>
            <w:tcMar>
              <w:top w:w="15"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53"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705" w:type="dxa"/>
            <w:tcBorders/>
            <w:tcMar>
              <w:top w:w="15"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300" w:hRule="atLeast"/>
        </w:trPr>
        <w:tc>
          <w:tcPr>
            <w:tcW w:w="5686" w:type="dxa"/>
            <w:tcBorders/>
            <w:tcMar>
              <w:top w:w="15" w:type="dxa"/>
              <w:left w:w="15" w:type="dxa"/>
              <w:bottom w:w="32"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53" w:type="dxa"/>
            <w:tcBorders/>
            <w:tcMar>
              <w:top w:w="15" w:type="dxa"/>
              <w:left w:w="15" w:type="dxa"/>
              <w:bottom w:w="32" w:type="dxa"/>
              <w:right w:w="15" w:type="dxa"/>
            </w:tcMar>
            <w:vAlign w:val="bottom"/>
          </w:tcPr>
          <w:p>
            <w:pPr>
              <w:spacing w:before="0" w:after="0"/>
              <w:ind w:left="120"/>
              <w:jc w:val="left"/>
            </w:pPr>
            <w:r>
              <w:rPr>
                <w:rFonts w:ascii="Times New Roman" w:hAnsi="Times New Roman"/>
                <w:b w:val="false"/>
                <w:i w:val="false"/>
                <w:color w:val="000000"/>
                <w:sz w:val="20"/>
              </w:rPr>
              <w:t xml:space="preserve"> By: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705" w:type="dxa"/>
            <w:tcBorders>
              <w:bottom w:val="single" w:color="000000" w:sz="11"/>
            </w:tcBorders>
            <w:tcMar>
              <w:top w:w="15" w:type="dxa"/>
              <w:left w:w="15" w:type="dxa"/>
              <w:bottom w:w="32" w:type="dxa"/>
              <w:right w:w="15" w:type="dxa"/>
            </w:tcMar>
            <w:vAlign w:val="bottom"/>
          </w:tcPr>
          <w:p>
            <w:pPr>
              <w:spacing w:before="0" w:after="0"/>
              <w:ind w:left="120"/>
              <w:jc w:val="left"/>
            </w:pPr>
            <w:r>
              <w:rPr>
                <w:rFonts w:ascii="Times New Roman" w:hAnsi="Times New Roman"/>
                <w:b w:val="false"/>
                <w:i w:val="false"/>
                <w:color w:val="000000"/>
                <w:sz w:val="20"/>
              </w:rPr>
              <w:t xml:space="preserve"> /s/ Niels Riedemann </w:t>
            </w:r>
          </w:p>
        </w:tc>
      </w:tr>
      <w:tr>
        <w:trPr>
          <w:trHeight w:val="285" w:hRule="atLeast"/>
        </w:trPr>
        <w:tc>
          <w:tcPr>
            <w:tcW w:w="5686" w:type="dxa"/>
            <w:tcBorders/>
            <w:tcMar>
              <w:top w:w="26"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53" w:type="dxa"/>
            <w:tcBorders/>
            <w:tcMar>
              <w:top w:w="26"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705" w:type="dxa"/>
            <w:tcBorders/>
            <w:tcMar>
              <w:top w:w="26"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Name: Niels Riedemann </w:t>
            </w:r>
          </w:p>
        </w:tc>
      </w:tr>
      <w:tr>
        <w:trPr>
          <w:trHeight w:val="240" w:hRule="atLeast"/>
        </w:trPr>
        <w:tc>
          <w:tcPr>
            <w:tcW w:w="568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705"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Title:  Chief Executive Officer </w:t>
            </w:r>
          </w:p>
        </w:tc>
      </w:tr>
      <w:tr>
        <w:trPr>
          <w:trHeight w:val="45" w:hRule="atLeast"/>
        </w:trPr>
        <w:tc>
          <w:tcPr>
            <w:tcW w:w="5686"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453"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705"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320" w:after="0"/>
        <w:ind w:left="120"/>
        <w:jc w:val="center"/>
      </w:pPr>
      <w:r>
        <w:rPr>
          <w:rFonts w:ascii="Times New Roman" w:hAnsi="Times New Roman"/>
          <w:b/>
          <w:i w:val="false"/>
          <w:color w:val="000000"/>
          <w:sz w:val="20"/>
        </w:rPr>
        <w:t xml:space="preserve"> </w:t>
      </w:r>
      <w:bookmarkStart w:name="tPOA" w:id="74"/>
      <w:r>
        <w:rPr>
          <w:rFonts w:ascii="Times New Roman" w:hAnsi="Times New Roman"/>
          <w:b/>
          <w:i w:val="false"/>
          <w:color w:val="0000ff"/>
          <w:sz w:val="20"/>
        </w:rPr>
        <w:t/>
      </w:r>
      <w:bookmarkEnd w:id="74"/>
      <w:r>
        <w:rPr>
          <w:rFonts w:ascii="Times New Roman" w:hAnsi="Times New Roman"/>
          <w:b/>
          <w:i w:val="false"/>
          <w:color w:val="000000"/>
          <w:sz w:val="20"/>
        </w:rPr>
        <w:t xml:space="preserve">POWER OF ATTORNEY </w:t>
      </w:r>
    </w:p>
    <w:p>
      <w:pPr>
        <w:spacing w:before="120" w:after="0"/>
        <w:ind w:left="120"/>
        <w:jc w:val="left"/>
      </w:pPr>
      <w:r>
        <w:rPr>
          <w:rFonts w:ascii="Times New Roman" w:hAnsi="Times New Roman"/>
          <w:b w:val="false"/>
          <w:i w:val="false"/>
          <w:color w:val="000000"/>
          <w:sz w:val="20"/>
        </w:rPr>
        <w:t xml:space="preserve"> Each person whose signature appears below hereby constitutes and appoints Niels Riedemann and Thomas Taapken and each of them, individually, as his true and lawful attorneys-in-fact and agents, with full power of substitution and re-substitution, for him and in his name, place and stead in any and all capacities, in connection with this registration statement, including to sign in the name and on behalf of the undersigned, this registration statement and any and all amendments thereto, including post-effective amendments and registrations filed pursuant to Rule 462 under the Securities Act of 1933, as amended, and to file the same, with all exhibits thereto, and other documents in connection therewith, with the Securities and Exchange Commission, granting unto such attorneys-in-fact and agents full power and authority to do and perform each and every act and thing requisite and necessary to be done in and about the premises, as fully to all intents and purposes as he might or could do in person, hereby ratifying and confirming all that said attorneys-in-fact and agents or his substitute, may lawfully do or cause to be done by virtue hereof. </w:t>
      </w:r>
    </w:p>
    <w:p>
      <w:pPr>
        <w:spacing w:before="120" w:after="0"/>
        <w:ind w:left="120"/>
        <w:jc w:val="left"/>
      </w:pPr>
      <w:r>
        <w:rPr>
          <w:rFonts w:ascii="Times New Roman" w:hAnsi="Times New Roman"/>
          <w:b w:val="false"/>
          <w:i w:val="false"/>
          <w:color w:val="000000"/>
          <w:sz w:val="20"/>
        </w:rPr>
        <w:t xml:space="preserve"> Pursuant to the requirements of the Securities Act of 1933, as amended, this registration statement has been signed by the following persons on August 6, 2026 in the capacities indicated: </w:t>
      </w:r>
    </w:p>
    <w:tbl>
      <w:tblPr>
        <w:tblW w:w="0" w:type="auto"/>
        <w:tblCellSpacing w:w="0" w:type="dxa"/>
        <w:tblBorders>
          <w:top w:val="none"/>
          <w:left w:val="none"/>
          <w:bottom w:val="none"/>
          <w:right w:val="none"/>
          <w:insideH w:val="none"/>
          <w:insideV w:val="none"/>
        </w:tblBorders>
      </w:tblPr>
      <w:tblGrid>
        <w:gridCol w:w="6080"/>
        <w:gridCol w:w="160"/>
        <w:gridCol w:w="160"/>
        <w:gridCol w:w="6080"/>
      </w:tblGrid>
      <w:tr>
        <w:trPr>
          <w:trHeight w:val="120" w:hRule="atLeast"/>
        </w:trPr>
        <w:tc>
          <w:tcPr>
            <w:tcW w:w="60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40" w:hRule="atLeast"/>
        </w:trPr>
        <w:tc>
          <w:tcPr>
            <w:tcW w:w="6080" w:type="dxa"/>
            <w:tcBorders>
              <w:bottom w:val="single" w:color="000000" w:sz="11"/>
            </w:tcBorders>
            <w:tcMar>
              <w:top w:w="15" w:type="dxa"/>
              <w:left w:w="15" w:type="dxa"/>
              <w:bottom w:w="28" w:type="dxa"/>
              <w:right w:w="15" w:type="dxa"/>
            </w:tcMar>
            <w:vAlign w:val="bottom"/>
          </w:tcPr>
          <w:p>
            <w:pPr>
              <w:spacing w:before="0" w:after="0"/>
              <w:ind w:left="120"/>
              <w:jc w:val="center"/>
            </w:pPr>
            <w:r>
              <w:rPr>
                <w:rFonts w:ascii="Times New Roman" w:hAnsi="Times New Roman"/>
                <w:b/>
                <w:i w:val="false"/>
                <w:color w:val="000000"/>
                <w:sz w:val="16"/>
              </w:rPr>
              <w:t xml:space="preserve"> Signature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bottom w:val="single" w:color="000000" w:sz="11"/>
            </w:tcBorders>
            <w:tcMar>
              <w:top w:w="15" w:type="dxa"/>
              <w:left w:w="15" w:type="dxa"/>
              <w:bottom w:w="28" w:type="dxa"/>
              <w:right w:w="15" w:type="dxa"/>
            </w:tcMar>
            <w:vAlign w:val="bottom"/>
          </w:tcPr>
          <w:p>
            <w:pPr>
              <w:spacing w:before="0" w:after="0"/>
              <w:ind w:left="120"/>
              <w:jc w:val="center"/>
            </w:pPr>
            <w:r>
              <w:rPr>
                <w:rFonts w:ascii="Times New Roman" w:hAnsi="Times New Roman"/>
                <w:b/>
                <w:i w:val="false"/>
                <w:color w:val="000000"/>
                <w:sz w:val="16"/>
              </w:rPr>
              <w:t xml:space="preserve"> Title </w:t>
            </w:r>
          </w:p>
        </w:tc>
      </w:tr>
      <w:tr>
        <w:trPr>
          <w:trHeight w:val="270" w:hRule="atLeast"/>
        </w:trPr>
        <w:tc>
          <w:tcPr>
            <w:tcW w:w="6080" w:type="dxa"/>
            <w:tcBorders/>
            <w:tcMar>
              <w:top w:w="23" w:type="dxa"/>
              <w:left w:w="15" w:type="dxa"/>
              <w:bottom w:w="13"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23" w:type="dxa"/>
              <w:left w:w="15" w:type="dxa"/>
              <w:bottom w:w="13"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6080" w:type="dxa"/>
            <w:tcBorders>
              <w:bottom w:val="single" w:color="000000" w:sz="11"/>
            </w:tcBorders>
            <w:tcMar>
              <w:top w:w="8" w:type="dxa"/>
              <w:left w:w="15" w:type="dxa"/>
              <w:bottom w:w="24" w:type="dxa"/>
              <w:right w:w="15" w:type="dxa"/>
            </w:tcMar>
            <w:vAlign w:val="top"/>
          </w:tcPr>
          <w:p>
            <w:pPr>
              <w:spacing w:before="0" w:after="0"/>
              <w:ind w:left="120"/>
              <w:jc w:val="center"/>
            </w:pPr>
            <w:r>
              <w:rPr>
                <w:rFonts w:ascii="Times New Roman" w:hAnsi="Times New Roman"/>
                <w:b w:val="false"/>
                <w:i w:val="false"/>
                <w:color w:val="000000"/>
                <w:sz w:val="20"/>
              </w:rPr>
              <w:t xml:space="preserve"> /s/ Niels Riedemann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vMerge w:val="restart"/>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vMerge w:val="restart"/>
            <w:tcBorders/>
            <w:tcMar>
              <w:top w:w="8" w:type="dxa"/>
              <w:left w:w="15" w:type="dxa"/>
              <w:bottom w:w="13" w:type="dxa"/>
              <w:right w:w="15" w:type="dxa"/>
            </w:tcMar>
            <w:vAlign w:val="bottom"/>
          </w:tcPr>
          <w:p>
            <w:pPr>
              <w:spacing w:before="0" w:after="0"/>
              <w:ind w:left="120"/>
              <w:jc w:val="center"/>
            </w:pPr>
            <w:r>
              <w:rPr>
                <w:rFonts w:ascii="Times New Roman" w:hAnsi="Times New Roman"/>
                <w:b w:val="false"/>
                <w:i w:val="false"/>
                <w:color w:val="000000"/>
                <w:sz w:val="20"/>
              </w:rPr>
              <w:t xml:space="preserve"> Chief Executive Officer and Director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color w:val="000000"/>
                <w:sz w:val="20"/>
              </w:rPr>
              <w:t>(Principal Executive Officer)</w:t>
            </w:r>
            <w:r>
              <w:rPr>
                <w:rFonts w:ascii="Times New Roman" w:hAnsi="Times New Roman"/>
                <w:b w:val="false"/>
                <w:i w:val="false"/>
                <w:color w:val="000000"/>
                <w:sz w:val="20"/>
              </w:rPr>
              <w:t xml:space="preserve"> </w:t>
            </w:r>
          </w:p>
        </w:tc>
      </w:tr>
      <w:tr>
        <w:trPr>
          <w:trHeight w:val="255" w:hRule="atLeast"/>
        </w:trPr>
        <w:tc>
          <w:tcPr>
            <w:tcW w:w="6080" w:type="dxa"/>
            <w:tcBorders/>
            <w:tcMar>
              <w:top w:w="19" w:type="dxa"/>
              <w:left w:w="15" w:type="dxa"/>
              <w:bottom w:w="13" w:type="dxa"/>
              <w:right w:w="15" w:type="dxa"/>
            </w:tcMar>
            <w:vAlign w:val="top"/>
          </w:tcPr>
          <w:p>
            <w:pPr>
              <w:spacing w:before="0" w:after="0"/>
              <w:ind w:left="120"/>
              <w:jc w:val="center"/>
            </w:pPr>
            <w:r>
              <w:rPr>
                <w:rFonts w:ascii="Times New Roman" w:hAnsi="Times New Roman"/>
                <w:b w:val="false"/>
                <w:i w:val="false"/>
                <w:color w:val="000000"/>
                <w:sz w:val="20"/>
              </w:rPr>
              <w:t xml:space="preserve"> Niels Riedemann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vMerge/>
            <w:tcBorders>
              <w:top w:val="nil"/>
            </w:tcBorders>
          </w:tcPr>
          <w:p/>
        </w:tc>
        <w:tc>
          <w:tcPr>
            <w:tcW w:w="0" w:type="auto"/>
            <w:vMerge/>
            <w:tcBorders>
              <w:top w:val="nil"/>
            </w:tcBorders>
          </w:tcPr>
          <w:p/>
        </w:tc>
      </w:tr>
      <w:tr>
        <w:trPr>
          <w:trHeight w:val="240" w:hRule="atLeast"/>
        </w:trPr>
        <w:tc>
          <w:tcPr>
            <w:tcW w:w="6080" w:type="dxa"/>
            <w:tcBorders/>
            <w:tcMar>
              <w:top w:w="8" w:type="dxa"/>
              <w:left w:w="15" w:type="dxa"/>
              <w:bottom w:w="13"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8" w:type="dxa"/>
              <w:left w:w="15" w:type="dxa"/>
              <w:bottom w:w="13"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6080" w:type="dxa"/>
            <w:tcBorders>
              <w:bottom w:val="single" w:color="000000" w:sz="11"/>
            </w:tcBorders>
            <w:tcMar>
              <w:top w:w="8" w:type="dxa"/>
              <w:left w:w="15" w:type="dxa"/>
              <w:bottom w:w="24" w:type="dxa"/>
              <w:right w:w="15" w:type="dxa"/>
            </w:tcMar>
            <w:vAlign w:val="top"/>
          </w:tcPr>
          <w:p>
            <w:pPr>
              <w:spacing w:before="0" w:after="0"/>
              <w:ind w:left="120"/>
              <w:jc w:val="center"/>
            </w:pPr>
            <w:r>
              <w:rPr>
                <w:rFonts w:ascii="Times New Roman" w:hAnsi="Times New Roman"/>
                <w:b w:val="false"/>
                <w:i w:val="false"/>
                <w:color w:val="000000"/>
                <w:sz w:val="20"/>
              </w:rPr>
              <w:t xml:space="preserve"> /s/ Thomas Taapken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vMerge w:val="restart"/>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vMerge w:val="restart"/>
            <w:tcBorders/>
            <w:tcMar>
              <w:top w:w="8" w:type="dxa"/>
              <w:left w:w="15" w:type="dxa"/>
              <w:bottom w:w="13" w:type="dxa"/>
              <w:right w:w="15" w:type="dxa"/>
            </w:tcMar>
            <w:vAlign w:val="bottom"/>
          </w:tcPr>
          <w:p>
            <w:pPr>
              <w:spacing w:before="0" w:after="0"/>
              <w:ind w:left="120"/>
              <w:jc w:val="center"/>
            </w:pPr>
            <w:r>
              <w:rPr>
                <w:rFonts w:ascii="Times New Roman" w:hAnsi="Times New Roman"/>
                <w:b w:val="false"/>
                <w:i w:val="false"/>
                <w:color w:val="000000"/>
                <w:sz w:val="20"/>
              </w:rPr>
              <w:t xml:space="preserve"> Chief Financial Officer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color w:val="000000"/>
                <w:sz w:val="20"/>
              </w:rPr>
              <w:t>(Principal Financial and Accounting Officer)</w:t>
            </w:r>
            <w:r>
              <w:rPr>
                <w:rFonts w:ascii="Times New Roman" w:hAnsi="Times New Roman"/>
                <w:b w:val="false"/>
                <w:i w:val="false"/>
                <w:color w:val="000000"/>
                <w:sz w:val="20"/>
              </w:rPr>
              <w:t xml:space="preserve"> </w:t>
            </w:r>
          </w:p>
        </w:tc>
      </w:tr>
      <w:tr>
        <w:trPr>
          <w:trHeight w:val="255" w:hRule="atLeast"/>
        </w:trPr>
        <w:tc>
          <w:tcPr>
            <w:tcW w:w="6080" w:type="dxa"/>
            <w:tcBorders/>
            <w:tcMar>
              <w:top w:w="19" w:type="dxa"/>
              <w:left w:w="15" w:type="dxa"/>
              <w:bottom w:w="13" w:type="dxa"/>
              <w:right w:w="15" w:type="dxa"/>
            </w:tcMar>
            <w:vAlign w:val="top"/>
          </w:tcPr>
          <w:p>
            <w:pPr>
              <w:spacing w:before="0" w:after="0"/>
              <w:ind w:left="120"/>
              <w:jc w:val="center"/>
            </w:pPr>
            <w:r>
              <w:rPr>
                <w:rFonts w:ascii="Times New Roman" w:hAnsi="Times New Roman"/>
                <w:b w:val="false"/>
                <w:i w:val="false"/>
                <w:color w:val="000000"/>
                <w:sz w:val="20"/>
              </w:rPr>
              <w:t xml:space="preserve"> Thomas Taapken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vMerge/>
            <w:tcBorders>
              <w:top w:val="nil"/>
            </w:tcBorders>
          </w:tcPr>
          <w:p/>
        </w:tc>
        <w:tc>
          <w:tcPr>
            <w:tcW w:w="0" w:type="auto"/>
            <w:vMerge/>
            <w:tcBorders>
              <w:top w:val="nil"/>
            </w:tcBorders>
          </w:tcPr>
          <w:p/>
        </w:tc>
      </w:tr>
      <w:tr>
        <w:trPr>
          <w:trHeight w:val="240" w:hRule="atLeast"/>
        </w:trPr>
        <w:tc>
          <w:tcPr>
            <w:tcW w:w="6080" w:type="dxa"/>
            <w:tcBorders/>
            <w:tcMar>
              <w:top w:w="8" w:type="dxa"/>
              <w:left w:w="15" w:type="dxa"/>
              <w:bottom w:w="13"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8" w:type="dxa"/>
              <w:left w:w="15" w:type="dxa"/>
              <w:bottom w:w="13"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6080" w:type="dxa"/>
            <w:tcBorders>
              <w:bottom w:val="single" w:color="000000" w:sz="11"/>
            </w:tcBorders>
            <w:tcMar>
              <w:top w:w="8" w:type="dxa"/>
              <w:left w:w="15" w:type="dxa"/>
              <w:bottom w:w="24" w:type="dxa"/>
              <w:right w:w="15" w:type="dxa"/>
            </w:tcMar>
            <w:vAlign w:val="top"/>
          </w:tcPr>
          <w:p>
            <w:pPr>
              <w:spacing w:before="0" w:after="0"/>
              <w:ind w:left="120"/>
              <w:jc w:val="center"/>
            </w:pPr>
            <w:r>
              <w:rPr>
                <w:rFonts w:ascii="Times New Roman" w:hAnsi="Times New Roman"/>
                <w:b w:val="false"/>
                <w:i w:val="false"/>
                <w:color w:val="000000"/>
                <w:sz w:val="20"/>
              </w:rPr>
              <w:t xml:space="preserve"> /s/ Nicolas Fulpius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vMerge w:val="restart"/>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vMerge w:val="restart"/>
            <w:tcBorders/>
            <w:tcMar>
              <w:top w:w="8" w:type="dxa"/>
              <w:left w:w="15" w:type="dxa"/>
              <w:bottom w:w="13" w:type="dxa"/>
              <w:right w:w="15" w:type="dxa"/>
            </w:tcMar>
            <w:vAlign w:val="bottom"/>
          </w:tcPr>
          <w:p>
            <w:pPr>
              <w:spacing w:before="0" w:after="0"/>
              <w:ind w:left="120"/>
              <w:jc w:val="center"/>
            </w:pPr>
            <w:r>
              <w:rPr>
                <w:rFonts w:ascii="Times New Roman" w:hAnsi="Times New Roman"/>
                <w:b w:val="false"/>
                <w:i w:val="false"/>
                <w:color w:val="000000"/>
                <w:sz w:val="20"/>
              </w:rPr>
              <w:t xml:space="preserve"> Chairman and Director </w:t>
            </w:r>
          </w:p>
        </w:tc>
      </w:tr>
      <w:tr>
        <w:trPr>
          <w:trHeight w:val="255" w:hRule="atLeast"/>
        </w:trPr>
        <w:tc>
          <w:tcPr>
            <w:tcW w:w="6080" w:type="dxa"/>
            <w:tcBorders/>
            <w:tcMar>
              <w:top w:w="19" w:type="dxa"/>
              <w:left w:w="15" w:type="dxa"/>
              <w:bottom w:w="13" w:type="dxa"/>
              <w:right w:w="15" w:type="dxa"/>
            </w:tcMar>
            <w:vAlign w:val="top"/>
          </w:tcPr>
          <w:p>
            <w:pPr>
              <w:spacing w:before="0" w:after="0"/>
              <w:ind w:left="120"/>
              <w:jc w:val="center"/>
            </w:pPr>
            <w:r>
              <w:rPr>
                <w:rFonts w:ascii="Times New Roman" w:hAnsi="Times New Roman"/>
                <w:b w:val="false"/>
                <w:i w:val="false"/>
                <w:color w:val="000000"/>
                <w:sz w:val="20"/>
              </w:rPr>
              <w:t xml:space="preserve"> Nicolas Fulpius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vMerge/>
            <w:tcBorders>
              <w:top w:val="nil"/>
            </w:tcBorders>
          </w:tcPr>
          <w:p/>
        </w:tc>
        <w:tc>
          <w:tcPr>
            <w:tcW w:w="0" w:type="auto"/>
            <w:vMerge/>
            <w:tcBorders>
              <w:top w:val="nil"/>
            </w:tcBorders>
          </w:tcPr>
          <w:p/>
        </w:tc>
      </w:tr>
      <w:tr>
        <w:trPr>
          <w:trHeight w:val="240" w:hRule="atLeast"/>
        </w:trPr>
        <w:tc>
          <w:tcPr>
            <w:tcW w:w="6080" w:type="dxa"/>
            <w:tcBorders/>
            <w:tcMar>
              <w:top w:w="8" w:type="dxa"/>
              <w:left w:w="15" w:type="dxa"/>
              <w:bottom w:w="13"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8" w:type="dxa"/>
              <w:left w:w="15" w:type="dxa"/>
              <w:bottom w:w="13"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6080" w:type="dxa"/>
            <w:tcBorders>
              <w:bottom w:val="single" w:color="000000" w:sz="11"/>
            </w:tcBorders>
            <w:tcMar>
              <w:top w:w="8" w:type="dxa"/>
              <w:left w:w="15" w:type="dxa"/>
              <w:bottom w:w="24" w:type="dxa"/>
              <w:right w:w="15" w:type="dxa"/>
            </w:tcMar>
            <w:vAlign w:val="top"/>
          </w:tcPr>
          <w:p>
            <w:pPr>
              <w:spacing w:before="0" w:after="0"/>
              <w:ind w:left="120"/>
              <w:jc w:val="center"/>
            </w:pPr>
            <w:r>
              <w:rPr>
                <w:rFonts w:ascii="Times New Roman" w:hAnsi="Times New Roman"/>
                <w:b w:val="false"/>
                <w:i w:val="false"/>
                <w:color w:val="000000"/>
                <w:sz w:val="20"/>
              </w:rPr>
              <w:t xml:space="preserve"> /s/ Renfeng Guo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vMerge w:val="restart"/>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vMerge w:val="restart"/>
            <w:tcBorders/>
            <w:tcMar>
              <w:top w:w="8" w:type="dxa"/>
              <w:left w:w="15" w:type="dxa"/>
              <w:bottom w:w="13" w:type="dxa"/>
              <w:right w:w="15" w:type="dxa"/>
            </w:tcMar>
            <w:vAlign w:val="bottom"/>
          </w:tcPr>
          <w:p>
            <w:pPr>
              <w:spacing w:before="0" w:after="0"/>
              <w:ind w:left="120"/>
              <w:jc w:val="center"/>
            </w:pPr>
            <w:r>
              <w:rPr>
                <w:rFonts w:ascii="Times New Roman" w:hAnsi="Times New Roman"/>
                <w:b w:val="false"/>
                <w:i w:val="false"/>
                <w:color w:val="000000"/>
                <w:sz w:val="20"/>
              </w:rPr>
              <w:t xml:space="preserve"> Director and Authorized Representative in the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United States </w:t>
            </w:r>
          </w:p>
        </w:tc>
      </w:tr>
      <w:tr>
        <w:trPr>
          <w:trHeight w:val="255" w:hRule="atLeast"/>
        </w:trPr>
        <w:tc>
          <w:tcPr>
            <w:tcW w:w="6080" w:type="dxa"/>
            <w:tcBorders/>
            <w:tcMar>
              <w:top w:w="19" w:type="dxa"/>
              <w:left w:w="15" w:type="dxa"/>
              <w:bottom w:w="13" w:type="dxa"/>
              <w:right w:w="15" w:type="dxa"/>
            </w:tcMar>
            <w:vAlign w:val="top"/>
          </w:tcPr>
          <w:p>
            <w:pPr>
              <w:spacing w:before="0" w:after="0"/>
              <w:ind w:left="120"/>
              <w:jc w:val="center"/>
            </w:pPr>
            <w:r>
              <w:rPr>
                <w:rFonts w:ascii="Times New Roman" w:hAnsi="Times New Roman"/>
                <w:b w:val="false"/>
                <w:i w:val="false"/>
                <w:color w:val="000000"/>
                <w:sz w:val="20"/>
              </w:rPr>
              <w:t xml:space="preserve"> Renfeng Guo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vMerge/>
            <w:tcBorders>
              <w:top w:val="nil"/>
            </w:tcBorders>
          </w:tcPr>
          <w:p/>
        </w:tc>
        <w:tc>
          <w:tcPr>
            <w:tcW w:w="0" w:type="auto"/>
            <w:vMerge/>
            <w:tcBorders>
              <w:top w:val="nil"/>
            </w:tcBorders>
          </w:tcPr>
          <w:p/>
        </w:tc>
      </w:tr>
      <w:tr>
        <w:trPr>
          <w:trHeight w:val="240" w:hRule="atLeast"/>
        </w:trPr>
        <w:tc>
          <w:tcPr>
            <w:tcW w:w="6080" w:type="dxa"/>
            <w:tcBorders/>
            <w:tcMar>
              <w:top w:w="8" w:type="dxa"/>
              <w:left w:w="15" w:type="dxa"/>
              <w:bottom w:w="13"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8" w:type="dxa"/>
              <w:left w:w="15" w:type="dxa"/>
              <w:bottom w:w="13"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6080" w:type="dxa"/>
            <w:tcBorders>
              <w:bottom w:val="single" w:color="000000" w:sz="11"/>
            </w:tcBorders>
            <w:tcMar>
              <w:top w:w="8" w:type="dxa"/>
              <w:left w:w="15" w:type="dxa"/>
              <w:bottom w:w="24" w:type="dxa"/>
              <w:right w:w="15" w:type="dxa"/>
            </w:tcMar>
            <w:vAlign w:val="top"/>
          </w:tcPr>
          <w:p>
            <w:pPr>
              <w:spacing w:before="0" w:after="0"/>
              <w:ind w:left="120"/>
              <w:jc w:val="center"/>
            </w:pPr>
            <w:r>
              <w:rPr>
                <w:rFonts w:ascii="Times New Roman" w:hAnsi="Times New Roman"/>
                <w:b w:val="false"/>
                <w:i w:val="false"/>
                <w:color w:val="000000"/>
                <w:sz w:val="20"/>
              </w:rPr>
              <w:t xml:space="preserve"> /s/ Hege Hellstrom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vMerge w:val="restart"/>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vMerge w:val="restart"/>
            <w:tcBorders/>
            <w:tcMar>
              <w:top w:w="8" w:type="dxa"/>
              <w:left w:w="15" w:type="dxa"/>
              <w:bottom w:w="13" w:type="dxa"/>
              <w:right w:w="15" w:type="dxa"/>
            </w:tcMar>
            <w:vAlign w:val="bottom"/>
          </w:tcPr>
          <w:p>
            <w:pPr>
              <w:spacing w:before="0" w:after="0"/>
              <w:ind w:left="120"/>
              <w:jc w:val="center"/>
            </w:pPr>
            <w:r>
              <w:rPr>
                <w:rFonts w:ascii="Times New Roman" w:hAnsi="Times New Roman"/>
                <w:b w:val="false"/>
                <w:i w:val="false"/>
                <w:color w:val="000000"/>
                <w:sz w:val="20"/>
              </w:rPr>
              <w:t xml:space="preserve"> Director </w:t>
            </w:r>
          </w:p>
        </w:tc>
      </w:tr>
      <w:tr>
        <w:trPr>
          <w:trHeight w:val="255" w:hRule="atLeast"/>
        </w:trPr>
        <w:tc>
          <w:tcPr>
            <w:tcW w:w="6080" w:type="dxa"/>
            <w:tcBorders/>
            <w:tcMar>
              <w:top w:w="19" w:type="dxa"/>
              <w:left w:w="15" w:type="dxa"/>
              <w:bottom w:w="13" w:type="dxa"/>
              <w:right w:w="15" w:type="dxa"/>
            </w:tcMar>
            <w:vAlign w:val="top"/>
          </w:tcPr>
          <w:p>
            <w:pPr>
              <w:spacing w:before="0" w:after="0"/>
              <w:ind w:left="120"/>
              <w:jc w:val="center"/>
            </w:pPr>
            <w:r>
              <w:rPr>
                <w:rFonts w:ascii="Times New Roman" w:hAnsi="Times New Roman"/>
                <w:b w:val="false"/>
                <w:i w:val="false"/>
                <w:color w:val="000000"/>
                <w:sz w:val="20"/>
              </w:rPr>
              <w:t xml:space="preserve"> Hege Hellstrom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vMerge/>
            <w:tcBorders>
              <w:top w:val="nil"/>
            </w:tcBorders>
          </w:tcPr>
          <w:p/>
        </w:tc>
        <w:tc>
          <w:tcPr>
            <w:tcW w:w="0" w:type="auto"/>
            <w:vMerge/>
            <w:tcBorders>
              <w:top w:val="nil"/>
            </w:tcBorders>
          </w:tcPr>
          <w:p/>
        </w:tc>
      </w:tr>
      <w:tr>
        <w:trPr>
          <w:trHeight w:val="240" w:hRule="atLeast"/>
        </w:trPr>
        <w:tc>
          <w:tcPr>
            <w:tcW w:w="6080" w:type="dxa"/>
            <w:tcBorders/>
            <w:tcMar>
              <w:top w:w="8" w:type="dxa"/>
              <w:left w:w="15" w:type="dxa"/>
              <w:bottom w:w="13"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8" w:type="dxa"/>
              <w:left w:w="15" w:type="dxa"/>
              <w:bottom w:w="13"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6080" w:type="dxa"/>
            <w:tcBorders>
              <w:bottom w:val="single" w:color="000000" w:sz="11"/>
            </w:tcBorders>
            <w:tcMar>
              <w:top w:w="8" w:type="dxa"/>
              <w:left w:w="15" w:type="dxa"/>
              <w:bottom w:w="24" w:type="dxa"/>
              <w:right w:w="15" w:type="dxa"/>
            </w:tcMar>
            <w:vAlign w:val="top"/>
          </w:tcPr>
          <w:p>
            <w:pPr>
              <w:spacing w:before="0" w:after="0"/>
              <w:ind w:left="120"/>
              <w:jc w:val="center"/>
            </w:pPr>
            <w:r>
              <w:rPr>
                <w:rFonts w:ascii="Times New Roman" w:hAnsi="Times New Roman"/>
                <w:b w:val="false"/>
                <w:i w:val="false"/>
                <w:color w:val="000000"/>
                <w:sz w:val="20"/>
              </w:rPr>
              <w:t xml:space="preserve"> /s/ Anthony Gibney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vMerge w:val="restart"/>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vMerge w:val="restart"/>
            <w:tcBorders/>
            <w:tcMar>
              <w:top w:w="8" w:type="dxa"/>
              <w:left w:w="15" w:type="dxa"/>
              <w:bottom w:w="13" w:type="dxa"/>
              <w:right w:w="15" w:type="dxa"/>
            </w:tcMar>
            <w:vAlign w:val="bottom"/>
          </w:tcPr>
          <w:p>
            <w:pPr>
              <w:spacing w:before="0" w:after="0"/>
              <w:ind w:left="120"/>
              <w:jc w:val="center"/>
            </w:pPr>
            <w:r>
              <w:rPr>
                <w:rFonts w:ascii="Times New Roman" w:hAnsi="Times New Roman"/>
                <w:b w:val="false"/>
                <w:i w:val="false"/>
                <w:color w:val="000000"/>
                <w:sz w:val="20"/>
              </w:rPr>
              <w:t xml:space="preserve"> Director </w:t>
            </w:r>
          </w:p>
        </w:tc>
      </w:tr>
      <w:tr>
        <w:trPr>
          <w:trHeight w:val="255" w:hRule="atLeast"/>
        </w:trPr>
        <w:tc>
          <w:tcPr>
            <w:tcW w:w="6080" w:type="dxa"/>
            <w:tcBorders/>
            <w:tcMar>
              <w:top w:w="19" w:type="dxa"/>
              <w:left w:w="15" w:type="dxa"/>
              <w:bottom w:w="13" w:type="dxa"/>
              <w:right w:w="15" w:type="dxa"/>
            </w:tcMar>
            <w:vAlign w:val="top"/>
          </w:tcPr>
          <w:p>
            <w:pPr>
              <w:spacing w:before="0" w:after="0"/>
              <w:ind w:left="120"/>
              <w:jc w:val="center"/>
            </w:pPr>
            <w:r>
              <w:rPr>
                <w:rFonts w:ascii="Times New Roman" w:hAnsi="Times New Roman"/>
                <w:b w:val="false"/>
                <w:i w:val="false"/>
                <w:color w:val="000000"/>
                <w:sz w:val="20"/>
              </w:rPr>
              <w:t xml:space="preserve"> Anthony Gibney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vMerge/>
            <w:tcBorders>
              <w:top w:val="nil"/>
            </w:tcBorders>
          </w:tcPr>
          <w:p/>
        </w:tc>
        <w:tc>
          <w:tcPr>
            <w:tcW w:w="0" w:type="auto"/>
            <w:vMerge/>
            <w:tcBorders>
              <w:top w:val="nil"/>
            </w:tcBorders>
          </w:tcPr>
          <w:p/>
        </w:tc>
      </w:tr>
      <w:tr>
        <w:trPr>
          <w:trHeight w:val="240" w:hRule="atLeast"/>
        </w:trPr>
        <w:tc>
          <w:tcPr>
            <w:tcW w:w="6080" w:type="dxa"/>
            <w:tcBorders/>
            <w:tcMar>
              <w:top w:w="8" w:type="dxa"/>
              <w:left w:w="15" w:type="dxa"/>
              <w:bottom w:w="13"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8" w:type="dxa"/>
              <w:left w:w="15" w:type="dxa"/>
              <w:bottom w:w="13"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6080" w:type="dxa"/>
            <w:tcBorders>
              <w:bottom w:val="single" w:color="000000" w:sz="11"/>
            </w:tcBorders>
            <w:tcMar>
              <w:top w:w="8" w:type="dxa"/>
              <w:left w:w="15" w:type="dxa"/>
              <w:bottom w:w="24" w:type="dxa"/>
              <w:right w:w="15" w:type="dxa"/>
            </w:tcMar>
            <w:vAlign w:val="top"/>
          </w:tcPr>
          <w:p>
            <w:pPr>
              <w:spacing w:before="0" w:after="0"/>
              <w:ind w:left="120"/>
              <w:jc w:val="center"/>
            </w:pPr>
            <w:r>
              <w:rPr>
                <w:rFonts w:ascii="Times New Roman" w:hAnsi="Times New Roman"/>
                <w:b w:val="false"/>
                <w:i w:val="false"/>
                <w:color w:val="000000"/>
                <w:sz w:val="20"/>
              </w:rPr>
              <w:t xml:space="preserve"> /s/ Mark Kubler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vMerge w:val="restart"/>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vMerge w:val="restart"/>
            <w:tcBorders/>
            <w:tcMar>
              <w:top w:w="8" w:type="dxa"/>
              <w:left w:w="15" w:type="dxa"/>
              <w:bottom w:w="13" w:type="dxa"/>
              <w:right w:w="15" w:type="dxa"/>
            </w:tcMar>
            <w:vAlign w:val="bottom"/>
          </w:tcPr>
          <w:p>
            <w:pPr>
              <w:spacing w:before="0" w:after="0"/>
              <w:ind w:left="120"/>
              <w:jc w:val="center"/>
            </w:pPr>
            <w:r>
              <w:rPr>
                <w:rFonts w:ascii="Times New Roman" w:hAnsi="Times New Roman"/>
                <w:b w:val="false"/>
                <w:i w:val="false"/>
                <w:color w:val="000000"/>
                <w:sz w:val="20"/>
              </w:rPr>
              <w:t xml:space="preserve"> Director </w:t>
            </w:r>
          </w:p>
        </w:tc>
      </w:tr>
      <w:tr>
        <w:trPr>
          <w:trHeight w:val="255" w:hRule="atLeast"/>
        </w:trPr>
        <w:tc>
          <w:tcPr>
            <w:tcW w:w="6080" w:type="dxa"/>
            <w:tcBorders/>
            <w:tcMar>
              <w:top w:w="19" w:type="dxa"/>
              <w:left w:w="15" w:type="dxa"/>
              <w:bottom w:w="13" w:type="dxa"/>
              <w:right w:w="15" w:type="dxa"/>
            </w:tcMar>
            <w:vAlign w:val="top"/>
          </w:tcPr>
          <w:p>
            <w:pPr>
              <w:spacing w:before="0" w:after="0"/>
              <w:ind w:left="120"/>
              <w:jc w:val="center"/>
            </w:pPr>
            <w:r>
              <w:rPr>
                <w:rFonts w:ascii="Times New Roman" w:hAnsi="Times New Roman"/>
                <w:b w:val="false"/>
                <w:i w:val="false"/>
                <w:color w:val="000000"/>
                <w:sz w:val="20"/>
              </w:rPr>
              <w:t xml:space="preserve"> Mark Kubler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vMerge/>
            <w:tcBorders>
              <w:top w:val="nil"/>
            </w:tcBorders>
          </w:tcPr>
          <w:p/>
        </w:tc>
        <w:tc>
          <w:tcPr>
            <w:tcW w:w="0" w:type="auto"/>
            <w:vMerge/>
            <w:tcBorders>
              <w:top w:val="nil"/>
            </w:tcBorders>
          </w:tcPr>
          <w:p/>
        </w:tc>
      </w:tr>
      <w:tr>
        <w:trPr>
          <w:trHeight w:val="240" w:hRule="atLeast"/>
        </w:trPr>
        <w:tc>
          <w:tcPr>
            <w:tcW w:w="6080" w:type="dxa"/>
            <w:tcBorders/>
            <w:tcMar>
              <w:top w:w="8" w:type="dxa"/>
              <w:left w:w="15" w:type="dxa"/>
              <w:bottom w:w="13"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8" w:type="dxa"/>
              <w:left w:w="15" w:type="dxa"/>
              <w:bottom w:w="13"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6080" w:type="dxa"/>
            <w:tcBorders>
              <w:bottom w:val="single" w:color="000000" w:sz="11"/>
            </w:tcBorders>
            <w:tcMar>
              <w:top w:w="8" w:type="dxa"/>
              <w:left w:w="15" w:type="dxa"/>
              <w:bottom w:w="24" w:type="dxa"/>
              <w:right w:w="15" w:type="dxa"/>
            </w:tcMar>
            <w:vAlign w:val="top"/>
          </w:tcPr>
          <w:p>
            <w:pPr>
              <w:spacing w:before="0" w:after="0"/>
              <w:ind w:left="120"/>
              <w:jc w:val="center"/>
            </w:pPr>
            <w:r>
              <w:rPr>
                <w:rFonts w:ascii="Times New Roman" w:hAnsi="Times New Roman"/>
                <w:b w:val="false"/>
                <w:i w:val="false"/>
                <w:color w:val="000000"/>
                <w:sz w:val="20"/>
              </w:rPr>
              <w:t xml:space="preserve"> /s/ Richard Brudnick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vMerge w:val="restart"/>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vMerge w:val="restart"/>
            <w:tcBorders/>
            <w:tcMar>
              <w:top w:w="8" w:type="dxa"/>
              <w:left w:w="15" w:type="dxa"/>
              <w:bottom w:w="15" w:type="dxa"/>
              <w:right w:w="15" w:type="dxa"/>
            </w:tcMar>
            <w:vAlign w:val="bottom"/>
          </w:tcPr>
          <w:p>
            <w:pPr>
              <w:spacing w:before="0" w:after="0"/>
              <w:ind w:left="120"/>
              <w:jc w:val="center"/>
            </w:pPr>
            <w:r>
              <w:rPr>
                <w:rFonts w:ascii="Times New Roman" w:hAnsi="Times New Roman"/>
                <w:b w:val="false"/>
                <w:i w:val="false"/>
                <w:color w:val="000000"/>
                <w:sz w:val="20"/>
              </w:rPr>
              <w:t xml:space="preserve"> Director </w:t>
            </w:r>
          </w:p>
        </w:tc>
      </w:tr>
      <w:tr>
        <w:trPr>
          <w:trHeight w:val="240" w:hRule="atLeast"/>
        </w:trPr>
        <w:tc>
          <w:tcPr>
            <w:tcW w:w="6080" w:type="dxa"/>
            <w:tcBorders/>
            <w:tcMar>
              <w:top w:w="19" w:type="dxa"/>
              <w:left w:w="15" w:type="dxa"/>
              <w:bottom w:w="15" w:type="dxa"/>
              <w:right w:w="15" w:type="dxa"/>
            </w:tcMar>
            <w:vAlign w:val="top"/>
          </w:tcPr>
          <w:p>
            <w:pPr>
              <w:spacing w:before="0" w:after="0"/>
              <w:ind w:left="120"/>
              <w:jc w:val="center"/>
            </w:pPr>
            <w:r>
              <w:rPr>
                <w:rFonts w:ascii="Times New Roman" w:hAnsi="Times New Roman"/>
                <w:b w:val="false"/>
                <w:i w:val="false"/>
                <w:color w:val="000000"/>
                <w:sz w:val="20"/>
              </w:rPr>
              <w:t xml:space="preserve"> Richard Brudnick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0" w:type="auto"/>
            <w:vMerge/>
            <w:tcBorders>
              <w:top w:val="nil"/>
            </w:tcBorders>
          </w:tcPr>
          <w:p/>
        </w:tc>
        <w:tc>
          <w:tcPr>
            <w:tcW w:w="0" w:type="auto"/>
            <w:vMerge/>
            <w:tcBorders>
              <w:top w:val="nil"/>
            </w:tcBorders>
          </w:tcPr>
          <w:p/>
        </w:tc>
      </w:tr>
      <w:tr>
        <w:trPr>
          <w:trHeight w:val="45" w:hRule="atLeast"/>
        </w:trPr>
        <w:tc>
          <w:tcPr>
            <w:tcW w:w="60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6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608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189" w:after="0"/>
        <w:ind w:left="120"/>
        <w:jc w:val="center"/>
      </w:pPr>
      <w:r>
        <w:rPr>
          <w:rFonts w:ascii="Times New Roman" w:hAnsi="Times New Roman"/>
          <w:b w:val="false"/>
          <w:i w:val="false"/>
          <w:color w:val="000000"/>
          <w:sz w:val="20"/>
        </w:rPr>
        <w:t xml:space="preserve"> II-6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bookmarkStart w:name="ny20075001x1_f3_300-signatures_pg2" w:id="75"/>
      <w:r>
        <w:rPr>
          <w:rFonts w:ascii="Times New Roman" w:hAnsi="Times New Roman"/>
          <w:b w:val="false"/>
          <w:i w:val="false"/>
          <w:color w:val="0000ff"/>
          <w:sz w:val="22"/>
        </w:rPr>
        <w:t/>
      </w:r>
      <w:bookmarkEnd w:id="75"/>
    </w:p>
    <w:p>
      <w:pPr>
        <w:spacing w:before="269" w:after="269"/>
        <w:ind w:left="120"/>
        <w:jc w:val="left"/>
      </w:pPr>
      <w:r>
        <w:rPr>
          <w:rFonts w:ascii="Times New Roman" w:hAnsi="Times New Roman"/>
          <w:b/>
          <w:i w:val="false"/>
          <w:color w:val="000000"/>
          <w:sz w:val="16"/>
        </w:rPr>
        <w:t>TABLE OF CONTENTS</w:t>
      </w:r>
    </w:p>
    <w:p>
      <w:pPr>
        <w:spacing w:before="135" w:after="0"/>
        <w:ind w:left="120"/>
        <w:jc w:val="center"/>
      </w:pPr>
      <w:r>
        <w:rPr>
          <w:rFonts w:ascii="Times New Roman" w:hAnsi="Times New Roman"/>
          <w:b/>
          <w:i w:val="false"/>
          <w:color w:val="000000"/>
          <w:sz w:val="20"/>
        </w:rPr>
        <w:t xml:space="preserve"> SIGNATURE OF AUTHORIZED REPRESENTATIVE IN THE UNITED STATES </w:t>
      </w:r>
    </w:p>
    <w:p>
      <w:pPr>
        <w:spacing w:before="120" w:after="0"/>
        <w:ind w:left="120"/>
        <w:jc w:val="left"/>
      </w:pPr>
      <w:r>
        <w:rPr>
          <w:rFonts w:ascii="Times New Roman" w:hAnsi="Times New Roman"/>
          <w:b w:val="false"/>
          <w:i w:val="false"/>
          <w:color w:val="000000"/>
          <w:sz w:val="20"/>
        </w:rPr>
        <w:t xml:space="preserve"> Pursuant to the requirements of the Securities Act of 1933, the undersigned, the duly authorized representative in the United States of the registrant, has signed this registration statement on August 6, 2026. </w:t>
      </w:r>
    </w:p>
    <w:p>
      <w:pPr>
        <w:spacing w:before="170" w:after="0"/>
        <w:ind w:left="120"/>
        <w:jc w:val="left"/>
      </w:pPr>
      <w:r>
        <w:rPr>
          <w:rFonts w:ascii="Times New Roman" w:hAnsi="Times New Roman"/>
          <w:b/>
          <w:i w:val="false"/>
          <w:color w:val="000000"/>
          <w:sz w:val="20"/>
        </w:rPr>
        <w:t xml:space="preserve"> InflaRx Pharmaceuticals, Inc.</w:t>
      </w:r>
      <w:r>
        <w:rPr>
          <w:rFonts w:ascii="Times New Roman" w:hAnsi="Times New Roman"/>
          <w:b w:val="false"/>
          <w:i w:val="false"/>
          <w:color w:val="000000"/>
          <w:sz w:val="20"/>
        </w:rPr>
        <w:t xml:space="preserve"> </w:t>
      </w:r>
    </w:p>
    <w:tbl>
      <w:tblPr>
        <w:tblW w:w="0" w:type="auto"/>
        <w:tblCellSpacing w:w="0" w:type="dxa"/>
        <w:tblBorders>
          <w:top w:val="none"/>
          <w:left w:val="none"/>
          <w:bottom w:val="none"/>
          <w:right w:val="none"/>
          <w:insideH w:val="none"/>
          <w:insideV w:val="none"/>
        </w:tblBorders>
      </w:tblPr>
      <w:tblGrid>
        <w:gridCol w:w="779"/>
        <w:gridCol w:w="157"/>
        <w:gridCol w:w="158"/>
        <w:gridCol w:w="5530"/>
        <w:gridCol w:w="158"/>
        <w:gridCol w:w="158"/>
        <w:gridCol w:w="5540"/>
      </w:tblGrid>
      <w:tr>
        <w:trPr>
          <w:trHeight w:val="120" w:hRule="atLeast"/>
        </w:trPr>
        <w:tc>
          <w:tcPr>
            <w:tcW w:w="0" w:type="auto"/>
            <w:gridSpan w:val="4"/>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54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r>
        <w:trPr>
          <w:trHeight w:val="285" w:hRule="atLeast"/>
        </w:trPr>
        <w:tc>
          <w:tcPr>
            <w:tcW w:w="0" w:type="auto"/>
            <w:gridSpan w:val="4"/>
            <w:tcBorders>
              <w:bottom w:val="single" w:color="000000" w:sz="11"/>
            </w:tcBorders>
            <w:tcMar>
              <w:top w:w="15" w:type="dxa"/>
              <w:left w:w="15" w:type="dxa"/>
              <w:bottom w:w="32" w:type="dxa"/>
              <w:right w:w="15" w:type="dxa"/>
            </w:tcMar>
            <w:vAlign w:val="top"/>
          </w:tcPr>
          <w:p>
            <w:pPr>
              <w:spacing w:before="0" w:after="0"/>
              <w:ind w:left="120"/>
              <w:jc w:val="center"/>
            </w:pPr>
            <w:r>
              <w:rPr>
                <w:rFonts w:ascii="Times New Roman" w:hAnsi="Times New Roman"/>
                <w:b w:val="false"/>
                <w:i w:val="false"/>
                <w:color w:val="000000"/>
                <w:sz w:val="20"/>
              </w:rPr>
              <w:t xml:space="preserve"> /s/ Renfeng Guo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540" w:type="dxa"/>
            <w:tcBorders/>
            <w:tcMar>
              <w:top w:w="15" w:type="dxa"/>
              <w:left w:w="15" w:type="dxa"/>
              <w:bottom w:w="32"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779" w:type="dxa"/>
            <w:tcBorders/>
            <w:tcMar>
              <w:top w:w="26" w:type="dxa"/>
              <w:left w:w="15" w:type="dxa"/>
              <w:bottom w:w="21" w:type="dxa"/>
              <w:right w:w="15" w:type="dxa"/>
            </w:tcMar>
            <w:vAlign w:val="top"/>
          </w:tcPr>
          <w:p>
            <w:pPr>
              <w:spacing w:before="0" w:after="0"/>
              <w:ind w:left="120"/>
              <w:jc w:val="left"/>
            </w:pPr>
            <w:r>
              <w:rPr>
                <w:rFonts w:ascii="Times New Roman" w:hAnsi="Times New Roman"/>
                <w:b w:val="false"/>
                <w:i w:val="false"/>
                <w:color w:val="000000"/>
                <w:sz w:val="20"/>
              </w:rPr>
              <w:t xml:space="preserve"> Name: </w:t>
            </w:r>
          </w:p>
        </w:tc>
        <w:tc>
          <w:tcPr>
            <w:tcW w:w="1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530" w:type="dxa"/>
            <w:tcBorders/>
            <w:tcMar>
              <w:top w:w="26"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Renfeng Guo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540" w:type="dxa"/>
            <w:tcBorders/>
            <w:tcMar>
              <w:top w:w="26" w:type="dxa"/>
              <w:left w:w="15" w:type="dxa"/>
              <w:bottom w:w="21" w:type="dxa"/>
              <w:right w:w="15" w:type="dxa"/>
            </w:tcMar>
            <w:vAlign w:val="bottom"/>
          </w:tcPr>
          <w:p>
            <w:pPr>
              <w:spacing w:before="0" w:after="0"/>
              <w:ind w:left="120"/>
              <w:jc w:val="left"/>
            </w:pPr>
            <w:r>
              <w:rPr>
                <w:rFonts w:ascii="Times New Roman" w:hAnsi="Times New Roman"/>
                <w:b w:val="false"/>
                <w:i w:val="false"/>
                <w:color w:val="000000"/>
                <w:sz w:val="20"/>
              </w:rPr>
              <w:t xml:space="preserve"> Authorized Representative in the United States </w:t>
            </w:r>
          </w:p>
        </w:tc>
      </w:tr>
      <w:tr>
        <w:trPr>
          <w:trHeight w:val="240" w:hRule="atLeast"/>
        </w:trPr>
        <w:tc>
          <w:tcPr>
            <w:tcW w:w="779"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Title: </w:t>
            </w:r>
          </w:p>
        </w:tc>
        <w:tc>
          <w:tcPr>
            <w:tcW w:w="1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530"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Director and Officer, President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540"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45" w:hRule="atLeast"/>
        </w:trPr>
        <w:tc>
          <w:tcPr>
            <w:tcW w:w="779"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53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158"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c>
          <w:tcPr>
            <w:tcW w:w="5540"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
              </w:rPr>
              <w:t xml:space="preserve">   </w:t>
            </w:r>
          </w:p>
        </w:tc>
      </w:tr>
    </w:tbl>
    <w:p>
      <w:pPr>
        <w:spacing w:before="189" w:after="0"/>
        <w:ind w:left="120"/>
        <w:jc w:val="center"/>
      </w:pPr>
      <w:r>
        <w:rPr>
          <w:rFonts w:ascii="Times New Roman" w:hAnsi="Times New Roman"/>
          <w:b w:val="false"/>
          <w:i w:val="false"/>
          <w:color w:val="000000"/>
          <w:sz w:val="20"/>
        </w:rPr>
        <w:t xml:space="preserve"> II-7 </w:t>
      </w:r>
      <w:r>
        <w:br/>
      </w:r>
      <w:r>
        <w:rPr>
          <w:rFonts w:ascii="Times New Roman" w:hAnsi="Times New Roman"/>
          <w:b w:val="false"/>
          <w:i w:val="false"/>
          <w:color w:val="000000"/>
          <w:sz w:val="20"/>
        </w:rPr>
        <w:t xml:space="preserve"> </w:t>
      </w: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EX-4.5 </w:t>
      </w:r>
      <w:r>
        <w:rPr>
          <w:rFonts w:ascii="Times New Roman" w:hAnsi="Times New Roman"/>
          <w:b w:val="false"/>
          <w:i w:val="false"/>
          <w:color w:val="000000"/>
          <w:sz w:val="20"/>
        </w:rPr>
        <w:t xml:space="preserve">2 </w:t>
      </w:r>
      <w:r>
        <w:rPr>
          <w:rFonts w:ascii="Times New Roman" w:hAnsi="Times New Roman"/>
          <w:b w:val="false"/>
          <w:i w:val="false"/>
          <w:color w:val="000000"/>
          <w:sz w:val="20"/>
        </w:rPr>
        <w:t xml:space="preserve">ny20075001x1_ex4-5.htm </w:t>
      </w:r>
      <w:r>
        <w:rPr>
          <w:rFonts w:ascii="Times New Roman" w:hAnsi="Times New Roman"/>
          <w:b w:val="false"/>
          <w:i w:val="false"/>
          <w:color w:val="000000"/>
          <w:sz w:val="20"/>
        </w:rPr>
        <w:t xml:space="preserve">EXHIBIT 4.5 </w:t>
      </w:r>
    </w:p>
    <w:p>
      <w:pPr>
        <w:pBdr>
          <w:top w:val="single" w:color="000000" w:sz="43"/>
        </w:pBdr>
        <w:spacing w:before="0" w:after="0"/>
        <w:ind w:left="120"/>
        <w:jc w:val="left"/>
      </w:pPr>
      <w:r>
        <w:rPr>
          <w:rFonts w:ascii="Times New Roman" w:hAnsi="Times New Roman"/>
          <w:b w:val="false"/>
          <w:i w:val="false"/>
          <w:color w:val="000000"/>
          <w:sz w:val="2"/>
        </w:rPr>
        <w:t xml:space="preserve">   </w:t>
      </w:r>
    </w:p>
    <w:p>
      <w:pPr>
        <w:spacing w:before="0" w:after="0"/>
        <w:ind w:left="120"/>
        <w:jc w:val="left"/>
      </w:pPr>
    </w:p>
    <w:p>
      <w:pPr>
        <w:spacing w:before="0" w:after="0"/>
        <w:ind w:left="120"/>
        <w:jc w:val="right"/>
      </w:pPr>
      <w:r>
        <w:rPr>
          <w:rFonts w:ascii="Times New Roman" w:hAnsi="Times New Roman"/>
          <w:b/>
          <w:i w:val="false"/>
          <w:color w:val="000000"/>
          <w:sz w:val="20"/>
        </w:rPr>
        <w:t>Exhibit 4.5</w:t>
      </w:r>
    </w:p>
    <w:p>
      <w:pPr>
        <w:spacing w:before="0" w:after="0"/>
        <w:ind w:left="120"/>
        <w:jc w:val="left"/>
      </w:pPr>
    </w:p>
    <w:p>
      <w:pPr>
        <w:spacing w:before="0" w:after="0"/>
        <w:ind w:left="120"/>
        <w:jc w:val="right"/>
      </w:pPr>
      <w:r>
        <w:rPr>
          <w:rFonts w:ascii="Times New Roman" w:hAnsi="Times New Roman"/>
          <w:b/>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InflaRx N.V.,</w:t>
      </w:r>
    </w:p>
    <w:p>
      <w:pPr>
        <w:spacing w:before="0" w:after="0"/>
        <w:ind w:left="120"/>
        <w:jc w:val="left"/>
      </w:pPr>
    </w:p>
    <w:p>
      <w:pPr>
        <w:spacing w:before="0" w:after="0"/>
        <w:ind w:left="120"/>
        <w:jc w:val="center"/>
      </w:pPr>
      <w:r>
        <w:rPr>
          <w:rFonts w:ascii="Times New Roman" w:hAnsi="Times New Roman"/>
          <w:b/>
          <w:i w:val="false"/>
          <w:color w:val="000000"/>
          <w:sz w:val="20"/>
        </w:rPr>
        <w:t>as the Company</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and</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w:t>
      </w:r>
    </w:p>
    <w:p>
      <w:pPr>
        <w:spacing w:before="0" w:after="0"/>
        <w:ind w:left="120"/>
        <w:jc w:val="left"/>
      </w:pPr>
    </w:p>
    <w:p>
      <w:pPr>
        <w:spacing w:before="0" w:after="0"/>
        <w:ind w:left="120"/>
        <w:jc w:val="center"/>
      </w:pPr>
      <w:r>
        <w:rPr>
          <w:rFonts w:ascii="Times New Roman" w:hAnsi="Times New Roman"/>
          <w:b/>
          <w:i w:val="false"/>
          <w:color w:val="000000"/>
          <w:sz w:val="20"/>
        </w:rPr>
        <w:t>as Trustee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pBdr>
          <w:top w:val="single" w:color="000000" w:sz="11"/>
        </w:pBdr>
        <w:spacing w:before="0" w:after="0"/>
        <w:ind w:left="120"/>
        <w:jc w:val="left"/>
      </w:pPr>
      <w:r>
        <w:rPr>
          <w:rFonts w:ascii="Times New Roman" w:hAnsi="Times New Roman"/>
          <w:b w:val="false"/>
          <w:i w:val="false"/>
          <w:color w:val="000000"/>
          <w:sz w:val="2"/>
        </w:rPr>
        <w:t xml:space="preserve">   </w:t>
      </w:r>
    </w:p>
    <w:p>
      <w:pPr>
        <w:spacing w:before="0" w:after="0"/>
        <w:ind w:left="120"/>
        <w:jc w:val="left"/>
      </w:pPr>
    </w:p>
    <w:p>
      <w:pPr>
        <w:spacing w:before="0" w:after="0"/>
        <w:ind w:left="120"/>
        <w:jc w:val="center"/>
      </w:pP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Senior Indenture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Dated as of [●], [●]</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pBdr>
          <w:top w:val="single" w:color="000000" w:sz="11"/>
        </w:pBdr>
        <w:spacing w:before="0" w:after="0"/>
        <w:ind w:left="120"/>
        <w:jc w:val="left"/>
      </w:pPr>
      <w:r>
        <w:rPr>
          <w:rFonts w:ascii="Times New Roman" w:hAnsi="Times New Roman"/>
          <w:b w:val="false"/>
          <w:i w:val="false"/>
          <w:color w:val="000000"/>
          <w:sz w:val="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u w:val="single"/>
        </w:rPr>
        <w:t>TABLE OF CONTENTS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1909"/>
        <w:gridCol w:w="11316"/>
        <w:gridCol w:w="409"/>
      </w:tblGrid>
      <w:tr>
        <w:trPr>
          <w:trHeight w:val="210" w:hRule="atLeast"/>
        </w:trPr>
        <w:tc>
          <w:tcPr>
            <w:tcW w:w="0" w:type="auto"/>
            <w:gridSpan w:val="3"/>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u w:val="single"/>
              </w:rPr>
              <w:t>Page</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1</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Definitions and Incorporation by Reference</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Definitions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Other Definitions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Incorporation by Reference of Trust Indenture Act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Rules of Construction</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2</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The Securities</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3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Form and Dating</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5</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Execution and Authentication</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5</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Amount Unlimited; Issuable in Series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Denomination and Date of Securities; Payments of Interest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9</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Registrar and Paying Agent; Agents Generally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9</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2.06</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Paying Agent to Hold Money in Trust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9</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2.07</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Transfer and Exchange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10</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2.08</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Replacement Securities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11</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2.09</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Outstanding Securities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2.10</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Temporary Securities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Cancellation</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13</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CUSIP Numbers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13</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Defaulted Interest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13</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Series May Include Tranches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13</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1909"/>
        <w:gridCol w:w="11316"/>
        <w:gridCol w:w="409"/>
      </w:tblGrid>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3</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Redemption</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3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Applicability of Article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Notice of Redemption; Partial Redemptions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Payment of Securities Called for Redemption</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15</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Exclusion of Certain Securities from Eligibility for Selection for Redemption</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15</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Mandatory and Optional Sinking Funds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15</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4</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Covenants</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3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Payment of Securities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Maintenance of Office or Agency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Securityholders’ Lists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18</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Certificate to Trustee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18</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Reports by the Company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18</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4.06</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Additional Amounts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18</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5</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Successor Corporation</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5.01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When Company May Merge, Etc.</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19</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5.02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Successor Substituted</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19</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6</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Default and Remedies</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3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Events of Default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19</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Acceleration</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20</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Other Remedies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21</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Waiver of Past Defaults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21</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Control by Majority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21</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6.06</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Limitation on Suits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6.07</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Rights of Holders to Receive Payment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6.08</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Collection Suit by Trustee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6.09</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Trustee May File Proofs of Claim</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6.10</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Application of Proceeds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23</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Restoration of Rights and Remedies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23</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Undertaking for Costs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23</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Rights and Remedies Cumulative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Delay or Omission not Waiver</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24</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7</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Trustee</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3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General</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Certain Rights of Trustee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Individual Rights of Trustee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25</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Trustee’s Disclaimer</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Notice of Default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7.06</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Reports by Trustee to Holders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7.07</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Compensation and Indemnity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7.08</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Replacement of Trustee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7.09</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Acceptance of Appointment by Successor</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7.10</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Successor Trustee By Merger, Etc.</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28</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7.11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Eligibility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28</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7.12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Money Held in Trust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28</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1909"/>
        <w:gridCol w:w="11316"/>
        <w:gridCol w:w="409"/>
      </w:tblGrid>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8</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Satisfaction and Discharge of Indenture; Unclaimed Moneys</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3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Satisfaction and Discharge of Indenture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28</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Application by Trustee of Funds Deposited for Payment of Securities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29</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Repayment of Moneys Held by Paying Agent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29</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Return of Moneys Held by Trustee and Paying Agent Unclaimed for Two Years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29</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Defeasance and Discharge of Indenture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30</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8.06</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Defeasance of Certain Obligations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31</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8.07</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Reinstatement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31</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8.08</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Indemnity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8.09</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Excess Funds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8.10</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Qualifying Trustee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9</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Amendments, Supplements and Waivers</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Without Consent of Holders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32</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With Consent of Holders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33</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Revocation and Effect of Consent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33</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Notation on or Exchange of Securities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Trustee to Sign Amendments, Etc.</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9.06</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Conformity with Trust Indenture Act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34</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10</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Miscellaneous</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1316" w:type="dxa"/>
            <w:tcBorders/>
            <w:tcMar>
              <w:top w:w="15" w:type="dxa"/>
              <w:left w:w="13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 Indenture Act of 1939</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Notices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34</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Certificate and Opinion as to Conditions Precedent</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35</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10.04</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Statements Required in Certificate or Opinion</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35</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Evidence of Ownership</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10.06</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Rules by Trustee, Paying Agent or Registrar</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10.07</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Payment Date Other Than a Business Day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10.08</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Governing Law</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10.09</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 Adverse Interpretation of Other Agreements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10.10</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Successors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10.11</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Duplicate Originals</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10.12</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Separability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10.13</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Table of Contents, Headings, Etc.</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10.14</w:t>
            </w:r>
          </w:p>
        </w:tc>
        <w:tc>
          <w:tcPr>
            <w:tcW w:w="11316" w:type="dxa"/>
            <w:tcBorders/>
            <w:tcMar>
              <w:top w:w="15" w:type="dxa"/>
              <w:left w:w="134" w:type="dxa"/>
              <w:bottom w:w="15" w:type="dxa"/>
              <w:right w:w="15" w:type="dxa"/>
            </w:tcMar>
            <w:vAlign w:val="top"/>
          </w:tcPr>
          <w:p>
            <w:pPr>
              <w:spacing w:before="0" w:after="0"/>
              <w:ind w:left="0"/>
              <w:jc w:val="left"/>
            </w:pPr>
            <w:r>
              <w:rPr>
                <w:rFonts w:ascii="Times New Roman" w:hAnsi="Times New Roman"/>
                <w:b w:val="false"/>
                <w:i w:val="false"/>
                <w:color w:val="000000"/>
                <w:sz w:val="20"/>
              </w:rPr>
              <w:t>Incorporators, Stockholders, Officers and Directors of Company Exempt from Individual Liability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10.15</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Judgment Currency</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10.16</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Waiver of Jury Trial</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19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10.17</w:t>
            </w:r>
          </w:p>
        </w:tc>
        <w:tc>
          <w:tcPr>
            <w:tcW w:w="1131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Force Majeure</w:t>
            </w:r>
          </w:p>
        </w:tc>
        <w:tc>
          <w:tcPr>
            <w:tcW w:w="409"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SENIOR INDENTURE, dated as of [●], between InflaRx N.V., a Dutch public company with limited liability (</w:t>
      </w:r>
      <w:r>
        <w:rPr>
          <w:rFonts w:ascii="Times New Roman" w:hAnsi="Times New Roman"/>
          <w:b w:val="false"/>
          <w:i/>
          <w:color w:val="000000"/>
          <w:sz w:val="20"/>
        </w:rPr>
        <w:t>naamloze vennootschap</w:t>
      </w:r>
      <w:r>
        <w:rPr>
          <w:rFonts w:ascii="Times New Roman" w:hAnsi="Times New Roman"/>
          <w:b w:val="false"/>
          <w:i w:val="false"/>
          <w:color w:val="000000"/>
          <w:sz w:val="20"/>
        </w:rPr>
        <w:t>), as the Company, and [●], as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RECITALS OF THE COMPANY</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WHEREAS, the Company has duly authorized the issue from time to time of its senior debentures, notes or other evidences of indebtedness to be issued in one or more series (the “</w:t>
      </w:r>
      <w:r>
        <w:rPr>
          <w:rFonts w:ascii="Times New Roman" w:hAnsi="Times New Roman"/>
          <w:b/>
          <w:i w:val="false"/>
          <w:color w:val="000000"/>
          <w:sz w:val="20"/>
        </w:rPr>
        <w:t>Securities</w:t>
      </w:r>
      <w:r>
        <w:rPr>
          <w:rFonts w:ascii="Times New Roman" w:hAnsi="Times New Roman"/>
          <w:b w:val="false"/>
          <w:i w:val="false"/>
          <w:color w:val="000000"/>
          <w:sz w:val="20"/>
        </w:rPr>
        <w:t>”) up to such principal amount or amounts as may from time to time be authorized in accordance with the terms of this Indenture and to provide, among other things, for the authentication, delivery and administration thereof, the Company has duly authorized the execution and delivery of this Indenture;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r>
        <w:rPr>
          <w:rFonts w:ascii="Times New Roman" w:hAnsi="Times New Roman"/>
          <w:b w:val="false"/>
          <w:i w:val="false"/>
          <w:color w:val="000000"/>
          <w:sz w:val="20"/>
        </w:rPr>
        <w:t>WHEREAS, all things necessary to make this Indenture a valid indenture and agreement according to its terms have been done;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NOW, THEREFORE: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consideration of the premises and the purchases of the Securities by the holders thereof, the Company and the Trustee mutually covenant and agree for the equal and proportionate benefit of the respective holders from time to time of the Securities or of any and all series thereof as follows: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1</w:t>
      </w:r>
    </w:p>
    <w:p>
      <w:pPr>
        <w:spacing w:before="0" w:after="0"/>
        <w:ind w:left="120"/>
        <w:jc w:val="left"/>
      </w:pPr>
    </w:p>
    <w:p>
      <w:pPr>
        <w:spacing w:before="0" w:after="0"/>
        <w:ind w:left="120"/>
        <w:jc w:val="center"/>
      </w:pPr>
      <w:r>
        <w:rPr>
          <w:rFonts w:ascii="Times New Roman" w:hAnsi="Times New Roman"/>
          <w:b w:val="false"/>
          <w:i w:val="false"/>
          <w:color w:val="000000"/>
          <w:sz w:val="20"/>
        </w:rPr>
        <w:t>Definitions and Incorporation by Reference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 </w:t>
      </w:r>
      <w:r>
        <w:rPr>
          <w:rFonts w:ascii="Times New Roman" w:hAnsi="Times New Roman"/>
          <w:b w:val="false"/>
          <w:i/>
          <w:color w:val="000000"/>
          <w:sz w:val="20"/>
        </w:rPr>
        <w:t>Definitions.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Affiliate</w:t>
      </w:r>
      <w:r>
        <w:rPr>
          <w:rFonts w:ascii="Times New Roman" w:hAnsi="Times New Roman"/>
          <w:b w:val="false"/>
          <w:i w:val="false"/>
          <w:color w:val="000000"/>
          <w:sz w:val="20"/>
        </w:rPr>
        <w:t>” of any Person means any other Person directly or indirectly controlling or controlled by or under direct or indirect common control with such Person. For the purposes of this definition, “control” (including, with correlative meanings, the terms “controlling”, “controlled by” and “under common control with”) when used with respect to any Person means the possession, directly or indirectly, of the power to direct or cause the direction of the management and policies of such Person, whether through the ownership of voting securities, by contract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Agent</w:t>
      </w:r>
      <w:r>
        <w:rPr>
          <w:rFonts w:ascii="Times New Roman" w:hAnsi="Times New Roman"/>
          <w:b w:val="false"/>
          <w:i w:val="false"/>
          <w:color w:val="000000"/>
          <w:sz w:val="20"/>
        </w:rPr>
        <w:t>” means any Registrar, Paying Agent, transfer agent or Authenticating Agent.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Board Resolution</w:t>
      </w:r>
      <w:r>
        <w:rPr>
          <w:rFonts w:ascii="Times New Roman" w:hAnsi="Times New Roman"/>
          <w:b w:val="false"/>
          <w:i w:val="false"/>
          <w:color w:val="000000"/>
          <w:sz w:val="20"/>
        </w:rPr>
        <w:t>” means one or more resolutions of the board of directors of the Company or any authorized committee thereof, certified by the secretary or an assistant secretary to have been duly adopted and to be in full force and effect on the date of certification, and delivered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Business Day</w:t>
      </w:r>
      <w:r>
        <w:rPr>
          <w:rFonts w:ascii="Times New Roman" w:hAnsi="Times New Roman"/>
          <w:b w:val="false"/>
          <w:i w:val="false"/>
          <w:color w:val="000000"/>
          <w:sz w:val="20"/>
        </w:rPr>
        <w:t>” means any day, other than a Saturday or Sunday, that is neither a legal holiday nor a day on which banking institutions are authorized or required by law or regulation to close (i) with respect to any Security the interest on which is based on the offered quotations in the interbank Eurodollar market for dollar deposits in London or in The City of New York or (ii) with respect to Securities denominated in a specified currency other than United States dollars, in the principal financial center of the country of the specified currency.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Commission</w:t>
      </w:r>
      <w:r>
        <w:rPr>
          <w:rFonts w:ascii="Times New Roman" w:hAnsi="Times New Roman"/>
          <w:b w:val="false"/>
          <w:i w:val="false"/>
          <w:color w:val="000000"/>
          <w:sz w:val="20"/>
        </w:rPr>
        <w:t>” means the Securities and Exchange Commission, as from time to time constituted, created under the Exchange Act or, if at any time after the execution of this instrument such Commission is not existing and performing the duties now assigned to it under the Trust Indenture Act, then the body performing such duties at such time.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Company</w:t>
      </w:r>
      <w:r>
        <w:rPr>
          <w:rFonts w:ascii="Times New Roman" w:hAnsi="Times New Roman"/>
          <w:b w:val="false"/>
          <w:i w:val="false"/>
          <w:color w:val="000000"/>
          <w:sz w:val="20"/>
        </w:rPr>
        <w:t>” means the party named as such in the first paragraph of this Indenture until a successor replaces it pursuant to Article 5 of this Indenture and thereafter means the successor.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Corporate Trust Office</w:t>
      </w:r>
      <w:r>
        <w:rPr>
          <w:rFonts w:ascii="Times New Roman" w:hAnsi="Times New Roman"/>
          <w:b w:val="false"/>
          <w:i w:val="false"/>
          <w:color w:val="000000"/>
          <w:sz w:val="20"/>
        </w:rPr>
        <w:t>” means the office of the Trustee at which the corporate trust business of the Trustee shall, at any particular time, be administered, which office is, at the date of this Indenture, located at [●].</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Default</w:t>
      </w:r>
      <w:r>
        <w:rPr>
          <w:rFonts w:ascii="Times New Roman" w:hAnsi="Times New Roman"/>
          <w:b w:val="false"/>
          <w:i w:val="false"/>
          <w:color w:val="000000"/>
          <w:sz w:val="20"/>
        </w:rPr>
        <w:t>” means any event that is, or after notice or passage of time or both would be, an Event of Default.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Depositary</w:t>
      </w:r>
      <w:r>
        <w:rPr>
          <w:rFonts w:ascii="Times New Roman" w:hAnsi="Times New Roman"/>
          <w:b w:val="false"/>
          <w:i w:val="false"/>
          <w:color w:val="000000"/>
          <w:sz w:val="20"/>
        </w:rPr>
        <w:t>” means, with respect to the Securities of any series issuable or issued in the form of one or more Registered Global Securities, the Person designated as Depositary by the Company pursuant to Section 2.03 until a successor Depositary shall have become such pursuant to the applicable provisions of this Indenture, and thereafter “</w:t>
      </w:r>
      <w:r>
        <w:rPr>
          <w:rFonts w:ascii="Times New Roman" w:hAnsi="Times New Roman"/>
          <w:b/>
          <w:i w:val="false"/>
          <w:color w:val="000000"/>
          <w:sz w:val="20"/>
        </w:rPr>
        <w:t>Depositary</w:t>
      </w:r>
      <w:r>
        <w:rPr>
          <w:rFonts w:ascii="Times New Roman" w:hAnsi="Times New Roman"/>
          <w:b w:val="false"/>
          <w:i w:val="false"/>
          <w:color w:val="000000"/>
          <w:sz w:val="20"/>
        </w:rPr>
        <w:t>” shall mean or include each Person who is then a Depositary hereunder, and if at any time there is more than one such Person, “</w:t>
      </w:r>
      <w:r>
        <w:rPr>
          <w:rFonts w:ascii="Times New Roman" w:hAnsi="Times New Roman"/>
          <w:b/>
          <w:i w:val="false"/>
          <w:color w:val="000000"/>
          <w:sz w:val="20"/>
        </w:rPr>
        <w:t>Depositary</w:t>
      </w:r>
      <w:r>
        <w:rPr>
          <w:rFonts w:ascii="Times New Roman" w:hAnsi="Times New Roman"/>
          <w:b w:val="false"/>
          <w:i w:val="false"/>
          <w:color w:val="000000"/>
          <w:sz w:val="20"/>
        </w:rPr>
        <w:t>” as used with respect to the Securities of any such series shall mean the Depositary with respect to the Registered Global Securities of that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Exchange Act</w:t>
      </w:r>
      <w:r>
        <w:rPr>
          <w:rFonts w:ascii="Times New Roman" w:hAnsi="Times New Roman"/>
          <w:b w:val="false"/>
          <w:i w:val="false"/>
          <w:color w:val="000000"/>
          <w:sz w:val="20"/>
        </w:rPr>
        <w:t>” means the Securities Exchange Act of 1934, as amended.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Holder</w:t>
      </w:r>
      <w:r>
        <w:rPr>
          <w:rFonts w:ascii="Times New Roman" w:hAnsi="Times New Roman"/>
          <w:b w:val="false"/>
          <w:i w:val="false"/>
          <w:color w:val="000000"/>
          <w:sz w:val="20"/>
        </w:rPr>
        <w:t>” or “</w:t>
      </w:r>
      <w:r>
        <w:rPr>
          <w:rFonts w:ascii="Times New Roman" w:hAnsi="Times New Roman"/>
          <w:b/>
          <w:i w:val="false"/>
          <w:color w:val="000000"/>
          <w:sz w:val="20"/>
        </w:rPr>
        <w:t>Securityholder</w:t>
      </w:r>
      <w:r>
        <w:rPr>
          <w:rFonts w:ascii="Times New Roman" w:hAnsi="Times New Roman"/>
          <w:b w:val="false"/>
          <w:i w:val="false"/>
          <w:color w:val="000000"/>
          <w:sz w:val="20"/>
        </w:rPr>
        <w:t>” means the registered holder of any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IFRS</w:t>
      </w:r>
      <w:r>
        <w:rPr>
          <w:rFonts w:ascii="Times New Roman" w:hAnsi="Times New Roman"/>
          <w:b w:val="false"/>
          <w:i w:val="false"/>
          <w:color w:val="000000"/>
          <w:sz w:val="20"/>
        </w:rPr>
        <w:t>” means International Financial Reporting Standards as issued by the International Accounting Standards Board, as in effect as of the date 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w:t>
      </w:r>
      <w:r>
        <w:rPr>
          <w:rFonts w:ascii="Times New Roman" w:hAnsi="Times New Roman"/>
          <w:b w:val="false"/>
          <w:i w:val="false"/>
          <w:color w:val="000000"/>
          <w:sz w:val="20"/>
        </w:rPr>
        <w:t>” means this Indenture as originally executed and delivered or as it may be amended or supplemented from time to time by one or more indentures supplemental to this Indenture entered into pursuant to the applicable provisions of this Indenture and shall include the forms and terms of the Securities of each series established as contemplated pursuant to Sections 2.01 and 2.03.</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Officer</w:t>
      </w:r>
      <w:r>
        <w:rPr>
          <w:rFonts w:ascii="Times New Roman" w:hAnsi="Times New Roman"/>
          <w:b w:val="false"/>
          <w:i w:val="false"/>
          <w:color w:val="000000"/>
          <w:sz w:val="20"/>
        </w:rPr>
        <w:t>” means, with respect to the Company, the chairman of the board of directors, the president or chief executive officer, any executive vice president, any senior vice president, any vice president, the chief financial officer, the treasurer or any assistant treasurer, or the secretary or any assistant secretary.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Officers’ Certificate</w:t>
      </w:r>
      <w:r>
        <w:rPr>
          <w:rFonts w:ascii="Times New Roman" w:hAnsi="Times New Roman"/>
          <w:b w:val="false"/>
          <w:i w:val="false"/>
          <w:color w:val="000000"/>
          <w:sz w:val="20"/>
        </w:rPr>
        <w:t>” means a certificate signed in the name of the Company (i) by the chairman of the board of directors, president or chief executive officer, an executive vice president, a senior vice president or a vice president, and (ii) by the chief financial officer, the treasurer or any assistant treasurer, or the secretary or any assistant secretary, and delivered to the Trustee. Each such certificate shall comply with Section 314 of the Trust Indenture Act, if applicable, and include (except as otherwise expressly provided in this Indenture) the statements provided in Section 10.04, if applicable.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Opinion of Counsel</w:t>
      </w:r>
      <w:r>
        <w:rPr>
          <w:rFonts w:ascii="Times New Roman" w:hAnsi="Times New Roman"/>
          <w:b w:val="false"/>
          <w:i w:val="false"/>
          <w:color w:val="000000"/>
          <w:sz w:val="20"/>
        </w:rPr>
        <w:t>” means a written opinion signed by legal counsel, who may be an employee of or counsel to the Company, satisfactory to the Trustee. Each such opinion shall comply with Section 314 of the Trust Indenture Act, if applicable, and include the statements provided in Section 10.04, if and to the extent required thereby.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original issue date</w:t>
      </w:r>
      <w:r>
        <w:rPr>
          <w:rFonts w:ascii="Times New Roman" w:hAnsi="Times New Roman"/>
          <w:b w:val="false"/>
          <w:i w:val="false"/>
          <w:color w:val="000000"/>
          <w:sz w:val="20"/>
        </w:rPr>
        <w:t>” of any Security (or portion thereof) means the earlier of (a) the date of authentication of such Security or (b) the date of any Security (or portion thereof) for which such Security was issued (directly or indirectly) on registration of transfer, exchange or substitution.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Original Issue Discount Security</w:t>
      </w:r>
      <w:r>
        <w:rPr>
          <w:rFonts w:ascii="Times New Roman" w:hAnsi="Times New Roman"/>
          <w:b w:val="false"/>
          <w:i w:val="false"/>
          <w:color w:val="000000"/>
          <w:sz w:val="20"/>
        </w:rPr>
        <w:t>” means any Security that provides for an amount less than the Principal amount thereof to be due and payable upon a declaration of acceleration of the maturity thereof pursuant to Section 6.02.</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Periodic Offering</w:t>
      </w:r>
      <w:r>
        <w:rPr>
          <w:rFonts w:ascii="Times New Roman" w:hAnsi="Times New Roman"/>
          <w:b w:val="false"/>
          <w:i w:val="false"/>
          <w:color w:val="000000"/>
          <w:sz w:val="20"/>
        </w:rPr>
        <w:t>” means an offering of Securities of a series from time to time, the specific terms of which Securities, including, without limitation, the rate or rates of interest, if any, thereon, the stated maturity or maturities thereof and the redemption provisions, if any, with respect thereto, are to be determined by the Company or its agents upon the issuance of such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Person</w:t>
      </w:r>
      <w:r>
        <w:rPr>
          <w:rFonts w:ascii="Times New Roman" w:hAnsi="Times New Roman"/>
          <w:b w:val="false"/>
          <w:i w:val="false"/>
          <w:color w:val="000000"/>
          <w:sz w:val="20"/>
        </w:rPr>
        <w:t>” means an individual, a corporation, a partnership, a limited liability company, an association, a trust or any other entity or organization, including a government or political subdivision or an agency or instrumentality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Principal</w:t>
      </w:r>
      <w:r>
        <w:rPr>
          <w:rFonts w:ascii="Times New Roman" w:hAnsi="Times New Roman"/>
          <w:b w:val="false"/>
          <w:i w:val="false"/>
          <w:color w:val="000000"/>
          <w:sz w:val="20"/>
        </w:rPr>
        <w:t>” of a Security means the principal amount of, and, unless the context indicates otherwise, includes any premium payable on, the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Registered Global Security</w:t>
      </w:r>
      <w:r>
        <w:rPr>
          <w:rFonts w:ascii="Times New Roman" w:hAnsi="Times New Roman"/>
          <w:b w:val="false"/>
          <w:i w:val="false"/>
          <w:color w:val="000000"/>
          <w:sz w:val="20"/>
        </w:rPr>
        <w:t>” means a Security evidencing all or a part of a series of Securities, issued to the Depositary for such series in accordance with Section 2.02, and bearing the legend prescribed in Section 2.02.</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Responsible Officer</w:t>
      </w:r>
      <w:r>
        <w:rPr>
          <w:rFonts w:ascii="Times New Roman" w:hAnsi="Times New Roman"/>
          <w:b w:val="false"/>
          <w:i w:val="false"/>
          <w:color w:val="000000"/>
          <w:sz w:val="20"/>
        </w:rPr>
        <w:t>” when used with respect to the Trustee, shall mean an officer of the Trustee in the Corporate Trust Office, having direct responsibility for the administration of this Indenture, and also, with respect to a particular matter, any other officer to whom such matter is referred because of such officer’s knowledge of and familiarity with the particular subject.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Securities</w:t>
      </w:r>
      <w:r>
        <w:rPr>
          <w:rFonts w:ascii="Times New Roman" w:hAnsi="Times New Roman"/>
          <w:b w:val="false"/>
          <w:i w:val="false"/>
          <w:color w:val="000000"/>
          <w:sz w:val="20"/>
        </w:rPr>
        <w:t>” means any of the securities, as defined in the first paragraph of the recitals hereof, that are authenticated and delivered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Securities Act</w:t>
      </w:r>
      <w:r>
        <w:rPr>
          <w:rFonts w:ascii="Times New Roman" w:hAnsi="Times New Roman"/>
          <w:b w:val="false"/>
          <w:i w:val="false"/>
          <w:color w:val="000000"/>
          <w:sz w:val="20"/>
        </w:rPr>
        <w:t>” means the Securities Act of 1933, as amended.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Subsidiary</w:t>
      </w:r>
      <w:r>
        <w:rPr>
          <w:rFonts w:ascii="Times New Roman" w:hAnsi="Times New Roman"/>
          <w:b w:val="false"/>
          <w:i w:val="false"/>
          <w:color w:val="000000"/>
          <w:sz w:val="20"/>
        </w:rPr>
        <w:t>” means, with respect to any Person, any corporation, association or other business entity of which a majority of the capital stock or other ownership interests having ordinary voting power to elect a majority of the board of directors or other persons performing similar functions are at the time directly or indirectly owned by such Person.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Trustee</w:t>
      </w:r>
      <w:r>
        <w:rPr>
          <w:rFonts w:ascii="Times New Roman" w:hAnsi="Times New Roman"/>
          <w:b w:val="false"/>
          <w:i w:val="false"/>
          <w:color w:val="000000"/>
          <w:sz w:val="20"/>
        </w:rPr>
        <w:t>” means the party named as such in the first paragraph of this Indenture until a successor replaces it in accordance with the provisions of Article 7 and thereafter shall mean or include each Person who is then a Trustee hereunder, and if at any time there is more than one such Person, “</w:t>
      </w:r>
      <w:r>
        <w:rPr>
          <w:rFonts w:ascii="Times New Roman" w:hAnsi="Times New Roman"/>
          <w:b/>
          <w:i w:val="false"/>
          <w:color w:val="000000"/>
          <w:sz w:val="20"/>
        </w:rPr>
        <w:t>Trustee</w:t>
      </w:r>
      <w:r>
        <w:rPr>
          <w:rFonts w:ascii="Times New Roman" w:hAnsi="Times New Roman"/>
          <w:b w:val="false"/>
          <w:i w:val="false"/>
          <w:color w:val="000000"/>
          <w:sz w:val="20"/>
        </w:rPr>
        <w:t>” as used with respect to the Securities of any series shall mean the Trustee with respect to Securities of that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Trust Indenture Act</w:t>
      </w:r>
      <w:r>
        <w:rPr>
          <w:rFonts w:ascii="Times New Roman" w:hAnsi="Times New Roman"/>
          <w:b w:val="false"/>
          <w:i w:val="false"/>
          <w:color w:val="000000"/>
          <w:sz w:val="20"/>
        </w:rPr>
        <w:t>” means the Trust Indenture Act of 1939, as amended (15 U.S. Code §§ 77aaa-77bbbb), as it may be amended from time to time.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U.S. Government Obligations</w:t>
      </w:r>
      <w:r>
        <w:rPr>
          <w:rFonts w:ascii="Times New Roman" w:hAnsi="Times New Roman"/>
          <w:b w:val="false"/>
          <w:i w:val="false"/>
          <w:color w:val="000000"/>
          <w:sz w:val="20"/>
        </w:rPr>
        <w:t>” means securities that are (i) direct obligations of the United States of America for the payment of which its full faith and credit is pledged or (ii) obligations of an agency or instrumentality of the United States of America the payment of which is unconditionally guaranteed as a full faith and credit obligation by the United States of America, and shall also include a depository receipt issued by a bank or trust company as custodian with respect to any such U.S. Government Obligation or a specific payment of interest on or principal of any such U.S. Government Obligation held by such custodian for the account of the holder of a depository receipt.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Yield to Maturity</w:t>
      </w:r>
      <w:r>
        <w:rPr>
          <w:rFonts w:ascii="Times New Roman" w:hAnsi="Times New Roman"/>
          <w:b w:val="false"/>
          <w:i w:val="false"/>
          <w:color w:val="000000"/>
          <w:sz w:val="20"/>
        </w:rPr>
        <w:t>” means, as the context may require, the yield to maturity (i) on a series of Securities or (ii) if the Securities of a series are issuable from time to time, on a Security of such series, calculated at the time of issuance of such series in the case of clause (i) or at the time of issuance of such Security of such series in the case of clause (ii), or, if applicable, at the most recent redetermination of interest on such series or on such Security, and calculated in accordance with the constant interest method or such other accepted financial practice as is specified in the terms of such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1.02 </w:t>
      </w:r>
      <w:r>
        <w:rPr>
          <w:rFonts w:ascii="Times New Roman" w:hAnsi="Times New Roman"/>
          <w:b w:val="false"/>
          <w:i/>
          <w:color w:val="000000"/>
          <w:sz w:val="20"/>
        </w:rPr>
        <w:t>Other Definitions</w:t>
      </w:r>
      <w:r>
        <w:rPr>
          <w:rFonts w:ascii="Times New Roman" w:hAnsi="Times New Roman"/>
          <w:b w:val="false"/>
          <w:i w:val="false"/>
          <w:color w:val="000000"/>
          <w:sz w:val="20"/>
        </w:rPr>
        <w:t>. Each of the following terms is defined in the section set forth opposite such term:</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tbl>
      <w:tblPr>
        <w:tblW w:w="0" w:type="auto"/>
        <w:tblCellSpacing w:w="0" w:type="dxa"/>
        <w:tblBorders>
          <w:top w:val="none"/>
          <w:left w:val="none"/>
          <w:bottom w:val="none"/>
          <w:right w:val="none"/>
          <w:insideH w:val="none"/>
          <w:insideV w:val="none"/>
        </w:tblBorders>
      </w:tblPr>
      <w:tblGrid>
        <w:gridCol w:w="12271"/>
        <w:gridCol w:w="137"/>
        <w:gridCol w:w="136"/>
        <w:gridCol w:w="954"/>
        <w:gridCol w:w="136"/>
      </w:tblGrid>
      <w:tr>
        <w:trPr>
          <w:trHeight w:val="240" w:hRule="atLeast"/>
        </w:trPr>
        <w:tc>
          <w:tcPr>
            <w:tcW w:w="12271" w:type="dxa"/>
            <w:tcBorders>
              <w:bottom w:val="single" w:color="000000" w:sz="11"/>
            </w:tcBorders>
            <w:tcMar>
              <w:top w:w="15" w:type="dxa"/>
              <w:left w:w="15" w:type="dxa"/>
              <w:bottom w:w="15" w:type="dxa"/>
              <w:right w:w="15" w:type="dxa"/>
            </w:tcMar>
            <w:vAlign w:val="top"/>
          </w:tcPr>
          <w:p>
            <w:pPr>
              <w:spacing w:before="0" w:after="0"/>
              <w:ind w:left="0"/>
              <w:jc w:val="left"/>
            </w:pPr>
            <w:r>
              <w:rPr>
                <w:rFonts w:ascii="Times New Roman" w:hAnsi="Times New Roman"/>
                <w:b/>
                <w:i w:val="false"/>
                <w:color w:val="000000"/>
                <w:sz w:val="20"/>
              </w:rPr>
              <w:t>Term</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1"/>
            </w:tcBorders>
            <w:tcMar>
              <w:top w:w="15" w:type="dxa"/>
              <w:left w:w="15" w:type="dxa"/>
              <w:bottom w:w="15" w:type="dxa"/>
              <w:right w:w="15" w:type="dxa"/>
            </w:tcMar>
            <w:vAlign w:val="top"/>
          </w:tcPr>
          <w:p>
            <w:pPr>
              <w:spacing w:before="0" w:after="0"/>
              <w:ind w:left="0"/>
              <w:jc w:val="center"/>
            </w:pPr>
            <w:r>
              <w:rPr>
                <w:rFonts w:ascii="Times New Roman" w:hAnsi="Times New Roman"/>
                <w:b/>
                <w:i w:val="false"/>
                <w:color w:val="000000"/>
                <w:sz w:val="20"/>
              </w:rPr>
              <w:t>Section</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Authenticating Agent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2.02</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cash transaction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7.03</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Event of Default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6.01</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Judgment Currency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10.15(a</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mandatory sinking fund payment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3.05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optional sinking fund payment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3.05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Paying Agent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record date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2.04</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Registrar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Required Currency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10.15(a</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Security Register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self-liquidating paper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7.03</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42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sinking fund payment date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3.05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Surviving Entity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5.01(a</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w:t>
            </w:r>
          </w:p>
        </w:tc>
      </w:tr>
      <w:tr>
        <w:trPr>
          <w:trHeight w:val="210" w:hRule="atLeast"/>
        </w:trPr>
        <w:tc>
          <w:tcPr>
            <w:tcW w:w="1227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tranche </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954"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2.14</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1.03 </w:t>
      </w:r>
      <w:r>
        <w:rPr>
          <w:rFonts w:ascii="Times New Roman" w:hAnsi="Times New Roman"/>
          <w:b w:val="false"/>
          <w:i/>
          <w:color w:val="000000"/>
          <w:sz w:val="20"/>
        </w:rPr>
        <w:t>Incorporation by Reference of Trust Indenture Act.</w:t>
      </w:r>
      <w:r>
        <w:rPr>
          <w:rFonts w:ascii="Times New Roman" w:hAnsi="Times New Roman"/>
          <w:b w:val="false"/>
          <w:i w:val="false"/>
          <w:color w:val="000000"/>
          <w:sz w:val="20"/>
        </w:rPr>
        <w:t xml:space="preserve"> Whenever this Indenture refers to a provision of the Trust Indenture Act, the provision is incorporated by reference in and made a part of this Indenture. The following terms used in this Indenture that are defined by the Trust Indenture Act have the following meanings: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 securities</w:t>
      </w:r>
      <w:r>
        <w:rPr>
          <w:rFonts w:ascii="Times New Roman" w:hAnsi="Times New Roman"/>
          <w:b w:val="false"/>
          <w:i w:val="false"/>
          <w:color w:val="000000"/>
          <w:sz w:val="20"/>
        </w:rPr>
        <w:t>” means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 security holder</w:t>
      </w:r>
      <w:r>
        <w:rPr>
          <w:rFonts w:ascii="Times New Roman" w:hAnsi="Times New Roman"/>
          <w:b w:val="false"/>
          <w:i w:val="false"/>
          <w:color w:val="000000"/>
          <w:sz w:val="20"/>
        </w:rPr>
        <w:t>” means a Holder or a Securityholder;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 to be qualified</w:t>
      </w:r>
      <w:r>
        <w:rPr>
          <w:rFonts w:ascii="Times New Roman" w:hAnsi="Times New Roman"/>
          <w:b w:val="false"/>
          <w:i w:val="false"/>
          <w:color w:val="000000"/>
          <w:sz w:val="20"/>
        </w:rPr>
        <w:t>” means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 trustee</w:t>
      </w:r>
      <w:r>
        <w:rPr>
          <w:rFonts w:ascii="Times New Roman" w:hAnsi="Times New Roman"/>
          <w:b w:val="false"/>
          <w:i w:val="false"/>
          <w:color w:val="000000"/>
          <w:sz w:val="20"/>
        </w:rPr>
        <w:t>” or “</w:t>
      </w:r>
      <w:r>
        <w:rPr>
          <w:rFonts w:ascii="Times New Roman" w:hAnsi="Times New Roman"/>
          <w:b/>
          <w:i w:val="false"/>
          <w:color w:val="000000"/>
          <w:sz w:val="20"/>
        </w:rPr>
        <w:t>institutional trustee</w:t>
      </w:r>
      <w:r>
        <w:rPr>
          <w:rFonts w:ascii="Times New Roman" w:hAnsi="Times New Roman"/>
          <w:b w:val="false"/>
          <w:i w:val="false"/>
          <w:color w:val="000000"/>
          <w:sz w:val="20"/>
        </w:rPr>
        <w:t>” means the Trustee;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obligor</w:t>
      </w:r>
      <w:r>
        <w:rPr>
          <w:rFonts w:ascii="Times New Roman" w:hAnsi="Times New Roman"/>
          <w:b w:val="false"/>
          <w:i w:val="false"/>
          <w:color w:val="000000"/>
          <w:sz w:val="20"/>
        </w:rPr>
        <w:t>” on the indenture securities means the Company or any other obligor on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All other terms used in this Indenture that are defined by the Trust Indenture Act, defined by reference in the Trust Indenture Act to another statute or defined by a rule of the Commission and not otherwise defined herein have the meanings assigned to them therein.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1.04 </w:t>
      </w:r>
      <w:r>
        <w:rPr>
          <w:rFonts w:ascii="Times New Roman" w:hAnsi="Times New Roman"/>
          <w:b w:val="false"/>
          <w:i/>
          <w:color w:val="000000"/>
          <w:sz w:val="20"/>
        </w:rPr>
        <w:t>Rules of Construction.</w:t>
      </w:r>
      <w:r>
        <w:rPr>
          <w:rFonts w:ascii="Times New Roman" w:hAnsi="Times New Roman"/>
          <w:b w:val="false"/>
          <w:i w:val="false"/>
          <w:color w:val="000000"/>
          <w:sz w:val="20"/>
        </w:rPr>
        <w:t xml:space="preserve"> Unless the context otherwise requires: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an accounting term not otherwise defined has the meaning assigned to it in accordance with IFRS;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words in the singular include the plural, and words in the plural include the singular;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“herein</w:t>
      </w:r>
      <w:r>
        <w:rPr>
          <w:rFonts w:ascii="Times New Roman" w:hAnsi="Times New Roman"/>
          <w:b/>
          <w:i w:val="false"/>
          <w:color w:val="000000"/>
          <w:sz w:val="20"/>
        </w:rPr>
        <w:t>,</w:t>
      </w:r>
      <w:r>
        <w:rPr>
          <w:rFonts w:ascii="Times New Roman" w:hAnsi="Times New Roman"/>
          <w:b w:val="false"/>
          <w:i w:val="false"/>
          <w:color w:val="000000"/>
          <w:sz w:val="20"/>
        </w:rPr>
        <w:t>” “hereof” and other words of similar import refer to this Indenture as a whole and not to any particular Article, Section or other subdivision;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“or” is not exclusive;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 all references to Sections or Articles refer to Sections or Articles of this Indenture unless otherwise indicated;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 use of masculine, feminine or neuter pronouns should not be deemed a limitation, and the use of any such pronouns should be construed to include, where appropriate, the other pronouns.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2</w:t>
      </w:r>
    </w:p>
    <w:p>
      <w:pPr>
        <w:spacing w:before="0" w:after="0"/>
        <w:ind w:left="120"/>
        <w:jc w:val="left"/>
      </w:pPr>
    </w:p>
    <w:p>
      <w:pPr>
        <w:spacing w:before="0" w:after="0"/>
        <w:ind w:left="120"/>
        <w:jc w:val="center"/>
      </w:pPr>
      <w:r>
        <w:rPr>
          <w:rFonts w:ascii="Times New Roman" w:hAnsi="Times New Roman"/>
          <w:b w:val="false"/>
          <w:i w:val="false"/>
          <w:color w:val="000000"/>
          <w:sz w:val="20"/>
        </w:rPr>
        <w:t>The Securities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2.01 </w:t>
      </w:r>
      <w:r>
        <w:rPr>
          <w:rFonts w:ascii="Times New Roman" w:hAnsi="Times New Roman"/>
          <w:b w:val="false"/>
          <w:i/>
          <w:color w:val="000000"/>
          <w:sz w:val="20"/>
        </w:rPr>
        <w:t>Form and Dating.</w:t>
      </w:r>
      <w:r>
        <w:rPr>
          <w:rFonts w:ascii="Times New Roman" w:hAnsi="Times New Roman"/>
          <w:b w:val="false"/>
          <w:i w:val="false"/>
          <w:color w:val="000000"/>
          <w:sz w:val="20"/>
        </w:rPr>
        <w:t xml:space="preserve"> The Securities of each series shall be substantially in such form or forms (not inconsistent with this Indenture) as shall be established by or pursuant to one or more Board Resolutions or in one or more indentures supplemental hereto, in each case with such appropriate insertions, omissions, substitutions and other variations as are required or permitted by this Indenture and may have imprinted or otherwise reproduced thereon such legend or legends or endorsements, not inconsistent with the provisions of this Indenture, as may be required to comply with any law, or with any rules of any securities exchange or usage, all as may be determined by the Officers executing such Securities as evidenced by their execution of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2.02 </w:t>
      </w:r>
      <w:r>
        <w:rPr>
          <w:rFonts w:ascii="Times New Roman" w:hAnsi="Times New Roman"/>
          <w:b w:val="false"/>
          <w:i/>
          <w:color w:val="000000"/>
          <w:sz w:val="20"/>
        </w:rPr>
        <w:t>Execution and Authentication.</w:t>
      </w:r>
      <w:r>
        <w:rPr>
          <w:rFonts w:ascii="Times New Roman" w:hAnsi="Times New Roman"/>
          <w:b w:val="false"/>
          <w:i w:val="false"/>
          <w:color w:val="000000"/>
          <w:sz w:val="20"/>
        </w:rPr>
        <w:t xml:space="preserve"> Two Officers shall execute the Securities for the Company by electronic or manual signature in the name and on behalf of the Company. If an Officer whose signature is on a Security no longer holds that office at the time the Security is authenticated, the Security shall nevertheless be valid.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at the expense of the Company, may appoint an authenticating agent (the “</w:t>
      </w:r>
      <w:r>
        <w:rPr>
          <w:rFonts w:ascii="Times New Roman" w:hAnsi="Times New Roman"/>
          <w:b/>
          <w:i w:val="false"/>
          <w:color w:val="000000"/>
          <w:sz w:val="20"/>
        </w:rPr>
        <w:t>Authenticating Agent</w:t>
      </w:r>
      <w:r>
        <w:rPr>
          <w:rFonts w:ascii="Times New Roman" w:hAnsi="Times New Roman"/>
          <w:b w:val="false"/>
          <w:i w:val="false"/>
          <w:color w:val="000000"/>
          <w:sz w:val="20"/>
        </w:rPr>
        <w:t>”) to authenticate Securities. The Authenticating Agent may authenticate Securities whenever the Trustee may do so. Each reference in this Indenture to authentication by the Trustee includes authentication by such Authenticating Agent.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Security shall not be valid until the Trustee or Authenticating Agent signs, electronically or manually, the certificate of authentication on the Security. The signature shall be conclusive evidence that the Security has been authenticated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At any time and from time to time after the execution and delivery of this Indenture, the Company may deliver Securities of any series executed by the Company to the Trustee for authentication together with the applicable documents referred to below in this Section, and the Trustee shall thereupon authenticate and deliver such Securities to or upon the written order of the Company. In authenticating any Securities of a series, the Trustee shall be entitled to receive prior to the authentication of any Securities of such series, and (subject to Article 7) shall be fully protected in relying upon, unless and until such documents have been superseded or revoked: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any Board Resolution and/or executed supplemental indenture referred to in Sections 2.01 and 2.03 by or pursuant to which the forms and terms of the Securities of that series were established;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an Officers’ Certificate setting forth the form or forms and terms of the Securities, stating that the form or forms and terms of the Securities of such series have been, or, in the case of a Periodic Offering, will be when established in accordance with such procedures as shall be referred to therein, established in compliance with this Indenture;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an Opinion of Counsel substantially to the effect that the form or forms and terms of the Securities of such series have been, or, in the case of a Periodic Offering, will be when established in accordance with such procedures as shall be referred to therein, established in compliance with this Indenture and that the supplemental indenture, to the extent applicable, and Securities have been duly authorized and, if executed and authenticated in accordance with the provisions of the Indenture and delivered to and duly paid for by the purchasers thereof on the date of such opinion, would be entitled to the benefits of the Indenture and would be valid and binding obligations of the Company, enforceable against the Company in accordance with their respective terms, subject to bankruptcy, insolvency, reorganization, receivership, moratorium and other similar laws affecting creditors’ rights generally, general principles of equity, and covering such other matters as shall be specified therein and as shall be reasonably requested by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shall not be required to authenticate such Securities if the issue of such Securities pursuant to this Indenture will affect the Trustee’s own rights, duties or immunities under the Securities and this Indenture or otherwise in a manner which is not reasonably acceptable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the provisions of Sections 2.01 and 2.02, if, in connection with a Periodic Offering, all Securities of a series are not to be originally issued at one time, it shall not be necessary to deliver the Board Resolution otherwise required pursuant to Section 2.01 or the written order, Officers’ Certificate and Opinion of Counsel otherwise required pursuant to Section 2.02 at or prior to the authentication of each Security of such series if such documents are delivered at or prior to the authentication upon original issuance of the first Security of such series to be issued.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With respect to Securities of a series offered in a Periodic Offering, the Trustee may rely, as to the authorization by the Company of any of such Securities, the forms and terms thereof and the legality, validity, binding effect and enforceability thereof, upon the Opinion of Counsel and the other documents delivered pursuant to Sections 2.01 and 2.02, as applicable, in connection with the first authentication of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 Company shall establish pursuant to Section 2.03 that the Securities of a series or a portion thereof are to be issued in the form of one or more Registered Global Securities, then the Company shall execute and the Trustee shall authenticate and deliver one or more Registered Global Securities that (i) shall represent and shall be denominated in an amount equal to the aggregate Principal amount of all of the Securities of such series issued in such form and not yet cancelled, (ii) shall be registered in the name of the Depositary for such Registered Global Security or Securities or the nominee of such Depositary, (iii) shall be delivered by the Trustee to such Depositary or its custodian or pursuant to such Depositary’s instructions and (iv) shall (unless provided otherwise in the form of such Security) bear a legend substantially to the following effect: “Unless and until it is exchanged in whole or in part for Securities in definitive registered form, this Security may not be transferred except as a whole by the Depositary to the nominee of the Depositary or by a nominee of the Depositary to the Depositary or another nominee of the Depositary or by the Depositary or any such nominee to a successor Depositary or a nominee of such successor Depositary.”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2.03 </w:t>
      </w:r>
      <w:r>
        <w:rPr>
          <w:rFonts w:ascii="Times New Roman" w:hAnsi="Times New Roman"/>
          <w:b w:val="false"/>
          <w:i/>
          <w:color w:val="000000"/>
          <w:sz w:val="20"/>
        </w:rPr>
        <w:t>Amount Unlimited; Issuable in Series.</w:t>
      </w:r>
      <w:r>
        <w:rPr>
          <w:rFonts w:ascii="Times New Roman" w:hAnsi="Times New Roman"/>
          <w:b w:val="false"/>
          <w:i w:val="false"/>
          <w:color w:val="000000"/>
          <w:sz w:val="20"/>
        </w:rPr>
        <w:t xml:space="preserve"> The aggregate Principal amount of Securities that may be authenticated and delivered under this Indenture is unlimited.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The Securities may be issued in one or more series and each such series shall rank equally and </w:t>
      </w:r>
      <w:r>
        <w:rPr>
          <w:rFonts w:ascii="Times New Roman" w:hAnsi="Times New Roman"/>
          <w:b w:val="false"/>
          <w:i/>
          <w:color w:val="000000"/>
          <w:sz w:val="20"/>
        </w:rPr>
        <w:t xml:space="preserve">pari passu </w:t>
      </w:r>
      <w:r>
        <w:rPr>
          <w:rFonts w:ascii="Times New Roman" w:hAnsi="Times New Roman"/>
          <w:b w:val="false"/>
          <w:i w:val="false"/>
          <w:color w:val="000000"/>
          <w:sz w:val="20"/>
        </w:rPr>
        <w:t>with all other unsecured and unsubordinated debt of the Company. There shall be established in or pursuant to a Board Resolution or one or more indentures supplemental hereto, prior to the initial issuance of Securities of any series, subject to the last sentence of this Section 2.03,</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the designation of the Securities of the series, which shall distinguish the Securities of the series from the Securities of all other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any limit upon the aggregate Principal amount of the Securities of the series that may be authenticated and delivered under this Indenture and any limitation on the ability of the Company to increase such aggregate Principal amount after the initial issuance of the Securities of that series (except for Securities authenticated and delivered upon registration of transfer of, or in exchange for, or in lieu of, or upon redemption of, other Securities of the series pursuant 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the date or dates on which the Principal of the Securities of the series is payable (which date or dates may be fixed or extendible);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the rate or rates (which may be fixed or variable) per annum at which the Securities of the series shall bear interest, if any, the date or dates from which such interest shall accrue, on which such interest shall be payable and on which a record shall be taken for the determination of Holders to whom interest is payable and/or the method by which such rate or rates or date or dates shall be determined;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 if other than as provided in Section 4.02, the place or places where the Principal of and any interest on Securities of the series shall be payable, any Securities of the series may be surrendered for exchange, and notices and demands to or upon the Company in respect of the Securities of the series and this Indenture may be served;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 the right, if any, of the Company to redeem Securities of the series, in whole or in part, at its option and the period or periods within which, the price or prices at which and any terms and conditions upon which Securities of the series may be so redeemed, pursuant to any sinking fund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(g) the obligation, if any, of the Company to redeem, purchase or repay Securities of the series pursuant to any mandatory redemption, sinking fund or analogous provisions or at the option of a Holder thereof and the price or prices at which and the period or periods within which and any of the terms and conditions upon which Securities of the series shall be redeemed, purchased or repaid, in whole or in part, pursuant to such obligation;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(h) if other than denominations of $2,000 and any higher integral multiple of $1,000, the denominations in which Securities of the series shall be issuable;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 if other than the Principal amount thereof, the portion of the Principal amount of Securities of the series which shall be payable upon declaration of acceleration of the maturity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(j) if other than the coin or currency in which the Securities of the series are denominated, the coin or currency in which payment of the Principal of or interest on the Securities of the series shall be payable or if the amount of payments of principal of and/or interest on the Securities of the series may be determined with reference to an index based on a coin or currency other than that in which the Securities of the series are denominated, the manner in which such amounts shall be determined;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(k) if other than the currency of the United States of America, the currency or currencies, including composite currencies, in which payment of the Principal of and interest on the Securities of the series shall be payable, and the manner in which any such currencies shall be valued against other currencies in which any other Securities shall be payable;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(l) whether the Securities of the series or any portion thereof will be issuable as Registered Global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(m) whether the Securities of the series may be exchangeable for and/or convertible into the common stock of the Company or any other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 whether and under what circumstances the Company will pay additional amounts on the Securities of the series held by a person who is not a U.S. person in respect of any tax, assessment or governmental charge withheld or deducted and, if so, whether the Company will have the option to redeem such Securities rather than pay such additional amounts;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(o) if the Securities of the series are to be issuable in definitive form (whether upon original issue or upon exchange of a temporary Security of such series) only upon receipt of certain certificates or other documents or satisfaction of other conditions, the form and terms of such certificates, documents or conditions;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(p) any trustees, depositaries, authenticating or paying agents, transfer agents or the registrar or any other agents with respect to the Securities of the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(q) provisions, if any, for the defeasance of the Securities of the series (including provisions permitting defeasance of less than all Securities of the series), which provisions may be in addition to, in substitution for, or in modification of (or any combination of the foregoing) the provisions of Article 8;</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(r) if the Securities of the series are issuable in whole or in part as one or more Registered Global Securities, the identity of the Depositary or common Depositary for such Registered Global Security or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 any other or alternative Events of Default or covenants with respect to the Securities of the series;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 any other terms of the Securities of the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All Securities of any one series shall be substantially identical, except as to date and denomination, except in the case of any Periodic Offering and except as may otherwise be provided by or pursuant to the Board Resolution referred to above or as set forth in any such indenture supplemental hereto. All Securities of any one series need not be issued at the same time and may be issued from time to time, consistent with the terms of this Indenture, if so provided by or pursuant to such Board Resolution or in any such indenture supplemental hereto and any forms and terms of Securities to be issued from time to time may be completed and established from time to time prior to the issuance thereof by procedures described in such Board Resolution or supplemental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Unless otherwise expressly provided with respect to a series of Securities, the aggregate principal amount of a series of Securities may be increased and additional Securities of such series may be issued up to the maximum aggregate principal amount authorized with respect to such series as increased.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2.04 </w:t>
      </w:r>
      <w:r>
        <w:rPr>
          <w:rFonts w:ascii="Times New Roman" w:hAnsi="Times New Roman"/>
          <w:b w:val="false"/>
          <w:i/>
          <w:color w:val="000000"/>
          <w:sz w:val="20"/>
        </w:rPr>
        <w:t>Denomination and Date of Securities; Payments of Interest.</w:t>
      </w:r>
      <w:r>
        <w:rPr>
          <w:rFonts w:ascii="Times New Roman" w:hAnsi="Times New Roman"/>
          <w:b w:val="false"/>
          <w:i w:val="false"/>
          <w:color w:val="000000"/>
          <w:sz w:val="20"/>
        </w:rPr>
        <w:t xml:space="preserve"> The Securities of each series shall be issuable in denominations established as contemplated by Section 2.03 or, if not so established with respect to Securities of any series, in denominations of $2,000 and any higher integral multiple of $1,000. The Securities of each series shall be numbered, lettered or otherwise distinguished in such manner or in accordance with such plan as the Officers of the Company executing the same may determine, as evidenced by their execution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Unless otherwise specified with respect to a series of Securities, each Security shall be dated the date of its authentication. The Securities of each series shall bear interest, if any, from the date, and such interest shall be payable on the dates, established as contemplated by Section 2.03.</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person in whose name any Security of any series is registered at the close of business on any record date applicable to a particular series with respect to any interest payment date for such series shall be entitled to receive the interest, if any, payable on such interest payment date notwithstanding any transfer or exchange of such Security subsequent to the record date and prior to such interest payment date, except if and to the extent the Company shall default in the payment of the interest due on such interest payment date for such series, in which case the provisions of Section 2.13 shall apply. The term “record date” as used with respect to any interest payment date (except a date for payment of defaulted interest) for the Securities of any series shall mean the date specified as such in the terms of the Securities of such series established as contemplated by Section 2.03, or, if no such date is so established, the fifteenth day next preceding such interest payment date, whether or not such record date is a Business Day.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2.05 </w:t>
      </w:r>
      <w:r>
        <w:rPr>
          <w:rFonts w:ascii="Times New Roman" w:hAnsi="Times New Roman"/>
          <w:b w:val="false"/>
          <w:i/>
          <w:color w:val="000000"/>
          <w:sz w:val="20"/>
        </w:rPr>
        <w:t>Registrar and Paying Agent; Agents Generally.</w:t>
      </w:r>
      <w:r>
        <w:rPr>
          <w:rFonts w:ascii="Times New Roman" w:hAnsi="Times New Roman"/>
          <w:b w:val="false"/>
          <w:i w:val="false"/>
          <w:color w:val="000000"/>
          <w:sz w:val="20"/>
        </w:rPr>
        <w:t xml:space="preserve"> The Company shall maintain an office or agency where Securities may be presented for registration, registration of transfer or for exchange (the “</w:t>
      </w:r>
      <w:r>
        <w:rPr>
          <w:rFonts w:ascii="Times New Roman" w:hAnsi="Times New Roman"/>
          <w:b/>
          <w:i w:val="false"/>
          <w:color w:val="000000"/>
          <w:sz w:val="20"/>
        </w:rPr>
        <w:t>Registrar</w:t>
      </w:r>
      <w:r>
        <w:rPr>
          <w:rFonts w:ascii="Times New Roman" w:hAnsi="Times New Roman"/>
          <w:b w:val="false"/>
          <w:i w:val="false"/>
          <w:color w:val="000000"/>
          <w:sz w:val="20"/>
        </w:rPr>
        <w:t>”) and an office or agency where Securities may be presented for payment (the “</w:t>
      </w:r>
      <w:r>
        <w:rPr>
          <w:rFonts w:ascii="Times New Roman" w:hAnsi="Times New Roman"/>
          <w:b/>
          <w:i w:val="false"/>
          <w:color w:val="000000"/>
          <w:sz w:val="20"/>
        </w:rPr>
        <w:t>Paying Agent</w:t>
      </w:r>
      <w:r>
        <w:rPr>
          <w:rFonts w:ascii="Times New Roman" w:hAnsi="Times New Roman"/>
          <w:b w:val="false"/>
          <w:i w:val="false"/>
          <w:color w:val="000000"/>
          <w:sz w:val="20"/>
        </w:rPr>
        <w:t>”), which shall be in the United States of America. The Company shall cause the Registrar to keep a register of the Securities and of their registration, transfer and exchange (the “</w:t>
      </w:r>
      <w:r>
        <w:rPr>
          <w:rFonts w:ascii="Times New Roman" w:hAnsi="Times New Roman"/>
          <w:b/>
          <w:i w:val="false"/>
          <w:color w:val="000000"/>
          <w:sz w:val="20"/>
        </w:rPr>
        <w:t>Security Register</w:t>
      </w:r>
      <w:r>
        <w:rPr>
          <w:rFonts w:ascii="Times New Roman" w:hAnsi="Times New Roman"/>
          <w:b w:val="false"/>
          <w:i w:val="false"/>
          <w:color w:val="000000"/>
          <w:sz w:val="20"/>
        </w:rPr>
        <w:t>”). The Company may have one or more additional Paying Agents or transfer agents with respect to any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The Company shall enter into an appropriate agency agreement with any Agent not a party to this Indenture. The agreement shall implement the provisions of this Indenture and the Trust Indenture Act that relate to such Agent. The Company shall give prompt written notice to the Trustee of the name and address of any Agent and any change in the name or address of an Agent. If the Company fails to maintain a Registrar or Paying Agent, the Trustee shall act as such. The Company may remove any Agent upon written notice to such Agent and the Trustee; provided that no such removal shall become effective until (i) the acceptance of an appointment by a successor Agent to such Agent as evidenced by an appropriate agency agreement entered into by the Company and such successor Agent and delivered to the Trustee or (ii) notification to the Trustee that the Trustee shall serve as such Agent until the appointment of a successor Agent in accordance with clause (i) of this proviso. The Company or any Affiliate of the Company may act as Paying Agent or Registrar; </w:t>
      </w:r>
      <w:r>
        <w:rPr>
          <w:rFonts w:ascii="Times New Roman" w:hAnsi="Times New Roman"/>
          <w:b w:val="false"/>
          <w:i/>
          <w:color w:val="000000"/>
          <w:sz w:val="20"/>
        </w:rPr>
        <w:t>provided</w:t>
      </w:r>
      <w:r>
        <w:rPr>
          <w:rFonts w:ascii="Times New Roman" w:hAnsi="Times New Roman"/>
          <w:b w:val="false"/>
          <w:i w:val="false"/>
          <w:color w:val="000000"/>
          <w:sz w:val="20"/>
        </w:rPr>
        <w:t xml:space="preserve"> that neither the Company nor an Affiliate of the Company shall act as Paying Agent in connection with the defeasance of the Securities or the discharge of this Indenture under Article 8.</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initially appoints the Trustee as Registrar, Paying Agent and Authenticating Agent. If, at any time, the Trustee is not the Registrar, the Registrar shall make available to the Trustee 10 days prior to each interest payment date and at such other times as the Trustee may reasonably request the names and addresses of the Holders as they appear in the Security Register.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2.06 </w:t>
      </w:r>
      <w:r>
        <w:rPr>
          <w:rFonts w:ascii="Times New Roman" w:hAnsi="Times New Roman"/>
          <w:b w:val="false"/>
          <w:i/>
          <w:color w:val="000000"/>
          <w:sz w:val="20"/>
        </w:rPr>
        <w:t>Paying Agent to Hold Money in Trust.</w:t>
      </w:r>
      <w:r>
        <w:rPr>
          <w:rFonts w:ascii="Times New Roman" w:hAnsi="Times New Roman"/>
          <w:b w:val="false"/>
          <w:i w:val="false"/>
          <w:color w:val="000000"/>
          <w:sz w:val="20"/>
        </w:rPr>
        <w:t xml:space="preserve"> Not later than 10:00 a.m. New York City time on each due date of any Principal or interest on any Securities, the Company shall deposit with the Paying Agent money in immediately available funds sufficient to pay such Principal or interest. The Company shall require each Paying Agent other than the Trustee to agree in writing that such Paying Agent shall hold in trust for the benefit of the Holders of such Securities or the Trustee all money held by the Paying Agent for the payment of Principal of and interest on such Securities and shall promptly notify the Trustee of any default by the Company in making any such payment. The Company at any time may require a Paying Agent to pay all money held by it to the Trustee and account for any funds disbursed, and the Trustee may at any time during the continuance of any payment default, upon written request to a Paying Agent, require such Paying Agent to pay all money held by it to the Trustee and to account for any funds disbursed. Upon doing so, the Paying Agent shall have no further liability for the money so paid over to the Trustee. If the Company or any affiliate of the Company acts as Paying Agent, it will, on or before each due date of any Principal of or interest on any Securities, segregate and hold in a separate trust fund for the benefit of the Holders thereof a sum of money sufficient to pay such Principal or interest so becoming due until such sum of money shall be paid to such Holders or otherwise disposed of as provided in this Indenture, and will promptly notify the Trustee in writing of its action or failure to act as required by this Section.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2.07 </w:t>
      </w:r>
      <w:r>
        <w:rPr>
          <w:rFonts w:ascii="Times New Roman" w:hAnsi="Times New Roman"/>
          <w:b w:val="false"/>
          <w:i/>
          <w:color w:val="000000"/>
          <w:sz w:val="20"/>
        </w:rPr>
        <w:t>Transfer and Exchange.</w:t>
      </w:r>
      <w:r>
        <w:rPr>
          <w:rFonts w:ascii="Times New Roman" w:hAnsi="Times New Roman"/>
          <w:b w:val="false"/>
          <w:i w:val="false"/>
          <w:color w:val="000000"/>
          <w:sz w:val="20"/>
        </w:rPr>
        <w:t xml:space="preserve"> At the option of the Holder thereof, Securities of any series (other than a Registered Global Security, except as set forth below) may be exchanged for a Security or Securities of such series and tenor having authorized denominations and an equal aggregate Principal amount, upon surrender of such Securities to be exchanged at the agency of the Company that shall be maintained for such purpose in accordance with Section 2.05 and upon payment, if the Company shall so require, of the charges hereinafter provided. Whenever any Securities are so surrendered for exchange, the Company shall execute, and the Trustee shall authenticate and deliver, the Securities which the Holder making the exchange is entitled to receive.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surrender for registration of transfer of any Security of a series at the agency of the Company that shall be maintained for that purpose in accordance with Section 2.05 and upon payment, if the Company shall so require, of the charges hereinafter provided, the Company shall execute, and the Trustee shall authenticate and deliver, in the name of the designated transferee or transferees, one or more new Securities of the same series, of any authorized denominations and of like tenor and aggregate Principal amount.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All Securities presented for registration of transfer, exchange, redemption or payment shall be duly endorsed by, or be accompanied by a written instrument or instruments of transfer in form satisfactory to the Company and the Trustee duly executed by, the holder or his attorney duly authorized in writing.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may require payment of a sum sufficient to cover any tax or other governmental charge that may be imposed in connection with any exchange or registration of transfer of Securities. No service charge shall be made for any such transaction.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any other provision of this Section 2.07, unless and until it is exchanged in whole or in part for Securities in definitive registered form, a Registered Global Security representing all or a portion of the Securities of a series may not be transferred except as a whole by the Depositary for such series to a nominee of such Depositary or by a nominee of such Depositary to such Depositary or another nominee of such Depositary or by such Depositary or any such nominee to a successor Depositary for such series or a nominee of such successor Depositary.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at any time the Depositary for any Registered Global Securities of any series notifies the Company that it is unwilling or unable to continue as Depositary for such Registered Global Securities or if at any time the Depositary for such Registered Global Securities shall no longer be eligible under applicable law, the Company shall appoint a successor Depositary eligible under applicable law with respect to such Registered Global Securities. If a successor Depositary eligible under applicable law for such Registered Global Securities is not appointed by the Company within 90 days after the Company receives such notice or becomes aware of such ineligibility, the Company will execute, and the Trustee, upon receipt of the Company’s order for the authentication and delivery of definitive Securities of such series and tenor, will authenticate and deliver certificated Securities of such series and tenor, in any authorized denominations, in an aggregate Principal amount equal to the Principal amount of such Registered Global Securities, in exchange for such Registered Global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may at any time and in its sole discretion and subject to the procedures of the Depositary determine that any Registered Global Securities of any series shall no longer be maintained in global form. In such event the Company will execute, and the Trustee, upon receipt of the Company’s order for the authentication and delivery of definitive Securities of such series and tenor, will authenticate and deliver, certificated Securities of such series and tenor in any authorized denominations, in an aggregate Principal amount equal to the Principal amount of such Registered Global Securities, in exchange for such Registered Global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Any time the Securities of any series are not in the form of Registered Global Securities pursuant to the preceding two paragraphs, the Company agrees to supply the Trustee with a reasonable supply of certificated Securities without the legend required by Section 2.02 and the Trustee agrees to hold such Securities in safekeeping until authenticated and delivered pursuant to the terms of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established by the Company pursuant to Section 2.03 with respect to any Registered Global Security, the Depositary for such Registered Global Security may surrender such Registered Global Security in exchange in whole or in part for Securities of the same series and tenor in definitive registered form on such terms as are acceptable to the Company and such Depositary. Thereupon, the Company shall execute, and the Trustee shall authenticate and deliver, without service charge,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to the Person specified by such Depositary new certificated Securities of the same series and tenor, of any authorized denominations as requested by such Person, in an aggregate Principal amount equal to and in exchange for such Person’s beneficial interest in the Registered Global Security;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to such Depositary a new Registered Global Security in a denomination equal to the difference, if any, between the Principal amount of the surrendered Registered Global Security and the aggregate Principal amount of certificated Securities authenticated and delivered pursuant to clause (a) above.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Certificated Securities issued in exchange for a Registered Global Security pursuant to this Section 2.07 shall be registered in such names and in such authorized denominations as the Depositary for such Registered Global Security, pursuant to instructions from its direct or indirect participants or otherwise, shall instruct the Trustee or an agent of the Company or the Trustee. The Trustee or such agent shall deliver such Securities to or as directed by the Persons in whose names such Securities are so registered.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All Securities issued upon any transfer or exchange of Securities shall be valid obligations of the Company, evidencing the same debt, and entitled to the same benefits under this Indenture, as the Securities surrendered upon such transfer or exchange.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Registrar shall not be required (i) to issue, authenticate, register the transfer of or exchange Securities of any series for a period of 15 days before a selection of such Securities to be redeemed or (ii) to register the transfer of or exchange any Security selected for redemption in whole or in part.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2.08 </w:t>
      </w:r>
      <w:r>
        <w:rPr>
          <w:rFonts w:ascii="Times New Roman" w:hAnsi="Times New Roman"/>
          <w:b w:val="false"/>
          <w:i/>
          <w:color w:val="000000"/>
          <w:sz w:val="20"/>
        </w:rPr>
        <w:t>Replacement Securities.</w:t>
      </w:r>
      <w:r>
        <w:rPr>
          <w:rFonts w:ascii="Times New Roman" w:hAnsi="Times New Roman"/>
          <w:b w:val="false"/>
          <w:i w:val="false"/>
          <w:color w:val="000000"/>
          <w:sz w:val="20"/>
        </w:rPr>
        <w:t xml:space="preserve"> If any mutilated Security is surrendered to the Trustee, the Company shall execute and the Trustee shall authenticate and deliver, in exchange for such mutilated Security, a new Security of the same series and of like tenor and Principal amount and bearing a number not contemporaneously outstanding.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there shall be delivered to the Company and the Trustee (i) evidence to their satisfaction of the destruction, loss or theft of any Security and (ii) such security or indemnity as may be required by them to save each of them and any agent of any of them harmless, then, in the absence of notice to the Company or the Trustee that such Security has been acquired by a bona fide purchaser, the Company shall execute and the Trustee shall authenticate and deliver, in lieu of any such destroyed, lost or stolen Security, a new Security of the same series and of like tenor and Principal amount and bearing a number not contemporaneously outstanding.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case any such mutilated, destroyed, lost or stolen Security has become or is about to become due and payable, the Company in its discretion may, instead of issuing a new Security, pay such Security (without surrender thereof except in the case of a mutilated Security) if the applicant for such payment shall furnish to the Company and the Trustee such security or indemnity as may be required by them to save each of them and any agent of any of them harmless, and in the case of destruction, loss or theft, evidence satisfactory to the Company and the Trustee and any agent of them of the destruction, loss or theft of such Security and the ownership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the issuance of any new Security under this Section, the Company may require payment of a sum sufficient to cover any tax or other governmental charge that may be imposed in relation thereto and any other expenses (including the fees and expenses of the Trustee) connected therewith.</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Every new Security of any series issued pursuant to this Section in lieu of any destroyed, lost or stolen Security or in exchange for any mutilated Security shall constitute an original additional contractual obligation of the Company, whether or not the mutilated, destroyed, lost or stolen Security shall be at any time enforceable by anyone, and any such new Security shall be entitled to all the benefits of this Indenture equally and proportionately with any and all other Securities of that series duly issued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provisions of this Section are exclusive and shall preclude (to the extent lawful) any other rights and remedies with respect to the replacement or payment of mutilated, destroyed, lost or stolen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2.09 </w:t>
      </w:r>
      <w:r>
        <w:rPr>
          <w:rFonts w:ascii="Times New Roman" w:hAnsi="Times New Roman"/>
          <w:b w:val="false"/>
          <w:i/>
          <w:color w:val="000000"/>
          <w:sz w:val="20"/>
        </w:rPr>
        <w:t>Outstanding Securities.</w:t>
      </w:r>
      <w:r>
        <w:rPr>
          <w:rFonts w:ascii="Times New Roman" w:hAnsi="Times New Roman"/>
          <w:b w:val="false"/>
          <w:i w:val="false"/>
          <w:color w:val="000000"/>
          <w:sz w:val="20"/>
        </w:rPr>
        <w:t xml:space="preserve"> Securities outstanding at any time are all Securities that have been authenticated by the Trustee except for those cancelled by it, those delivered to it for cancellation, those described in this Section as not outstanding and those that have been defeased pursuant to Section 8.05.</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a Security is replaced pursuant to Section 2.08, it ceases to be outstanding unless and until the Trustee and the Company receive proof satisfactory to them that the replaced Security is held by a holder in due course.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 Paying Agent (other than the Company or an affiliate of the Company) holds on the maturity date or any redemption date or date for repurchase of the Securities money sufficient to pay Securities payable or to be redeemed or repurchased on that date, then on and after that date such Securities cease to be outstanding and interest on them shall cease to accrue.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A Security does not cease to be outstanding because the Company or one of its affiliates holds such Security, </w:t>
      </w:r>
      <w:r>
        <w:rPr>
          <w:rFonts w:ascii="Times New Roman" w:hAnsi="Times New Roman"/>
          <w:b w:val="false"/>
          <w:i/>
          <w:color w:val="000000"/>
          <w:sz w:val="20"/>
        </w:rPr>
        <w:t>provided</w:t>
      </w:r>
      <w:r>
        <w:rPr>
          <w:rFonts w:ascii="Times New Roman" w:hAnsi="Times New Roman"/>
          <w:b w:val="false"/>
          <w:i w:val="false"/>
          <w:color w:val="000000"/>
          <w:sz w:val="20"/>
        </w:rPr>
        <w:t xml:space="preserve">, </w:t>
      </w:r>
      <w:r>
        <w:rPr>
          <w:rFonts w:ascii="Times New Roman" w:hAnsi="Times New Roman"/>
          <w:b w:val="false"/>
          <w:i/>
          <w:color w:val="000000"/>
          <w:sz w:val="20"/>
        </w:rPr>
        <w:t>however</w:t>
      </w:r>
      <w:r>
        <w:rPr>
          <w:rFonts w:ascii="Times New Roman" w:hAnsi="Times New Roman"/>
          <w:b w:val="false"/>
          <w:i w:val="false"/>
          <w:color w:val="000000"/>
          <w:sz w:val="20"/>
        </w:rPr>
        <w:t>, that, in determining whether the Holders of the requisite Principal amount of the outstanding Securities have given any request, demand, authorization, direction, notice, consent or waiver hereunder, Securities owned by the Company or any affiliate of the Company shall be disregarded and deemed not to be outstanding, except that, in determining whether the Trustee shall be protected in relying upon any such request, demand, authorization, direction, notice, consent or waiver, only Securities as to which a Responsible Officer of the Trustee has received written notice to be so owned shall be so disregarded. Any Securities so owned which are pledged by the Company, or by any affiliate of the Company, as security for loans or other obligations, otherwise than to another such affiliate of the Company, shall be deemed to be outstanding, if the pledgee is entitled pursuant to the terms of its pledge agreement and is free to exercise in its or his discretion the right to vote such securities, uncontrolled by the Company or by any such affiliate.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2.10 </w:t>
      </w:r>
      <w:r>
        <w:rPr>
          <w:rFonts w:ascii="Times New Roman" w:hAnsi="Times New Roman"/>
          <w:b w:val="false"/>
          <w:i/>
          <w:color w:val="000000"/>
          <w:sz w:val="20"/>
        </w:rPr>
        <w:t>Temporary Securities.</w:t>
      </w:r>
      <w:r>
        <w:rPr>
          <w:rFonts w:ascii="Times New Roman" w:hAnsi="Times New Roman"/>
          <w:b w:val="false"/>
          <w:i w:val="false"/>
          <w:color w:val="000000"/>
          <w:sz w:val="20"/>
        </w:rPr>
        <w:t xml:space="preserve"> Until definitive Securities of any series are ready for delivery, the Company may prepare and the Trustee shall authenticate temporary Securities of such series. Temporary Securities of any series shall be substantially in the form of definitive Securities of such series but may have insertions, substitutions, omissions and other variations determined to be appropriate by the Officers executing the temporary Securities, as evidenced by their execution of such temporary Securities. If temporary Securities of any series are issued, the Company will cause definitive Securities of such series to be prepared without unreasonable delay. After the preparation of definitive Securities of any series, the temporary Securities of such series shall be exchangeable for definitive Securities of such series and tenor upon surrender of such temporary Securities at the office or agency of the Company designated for such purpose pursuant to Section 4.02, without charge to the Holder. Upon surrender for cancellation of any one or more temporary Securities of any series the Company shall execute and the Trustee shall authenticate and deliver in exchange therefor a like Principal amount of definitive Securities of such series and tenor and authorized denominations. Until so exchanged, the temporary Securities of any series shall be entitled to the same benefits under this Indenture as definitive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2.11 </w:t>
      </w:r>
      <w:r>
        <w:rPr>
          <w:rFonts w:ascii="Times New Roman" w:hAnsi="Times New Roman"/>
          <w:b w:val="false"/>
          <w:i/>
          <w:color w:val="000000"/>
          <w:sz w:val="20"/>
        </w:rPr>
        <w:t>Cancellation.</w:t>
      </w:r>
      <w:r>
        <w:rPr>
          <w:rFonts w:ascii="Times New Roman" w:hAnsi="Times New Roman"/>
          <w:b w:val="false"/>
          <w:i w:val="false"/>
          <w:color w:val="000000"/>
          <w:sz w:val="20"/>
        </w:rPr>
        <w:t xml:space="preserve"> The Company at any time may deliver to the Trustee for cancellation any Securities previously authenticated and delivered hereunder which the Company may have acquired in any manner whatsoever, and may deliver to the Trustee for cancellation any Securities previously authenticated hereunder which the Company has not issued and sold. The Registrar, any transfer agent and the Paying Agent shall forward to the Trustee any Securities surrendered to them for transfer, exchange or payment. The Trustee shall cancel and dispose of in accordance with its customary procedures all Securities surrendered for transfer, exchange, payment or cancellation and shall deliver a certificate of disposition to the Company. The Company may not issue new Securities to replace Securities it has paid in full or delivered to the Trustee for cancellation.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2.12 </w:t>
      </w:r>
      <w:r>
        <w:rPr>
          <w:rFonts w:ascii="Times New Roman" w:hAnsi="Times New Roman"/>
          <w:b w:val="false"/>
          <w:i/>
          <w:color w:val="000000"/>
          <w:sz w:val="20"/>
        </w:rPr>
        <w:t>CUSIP Numbers.</w:t>
      </w:r>
      <w:r>
        <w:rPr>
          <w:rFonts w:ascii="Times New Roman" w:hAnsi="Times New Roman"/>
          <w:b w:val="false"/>
          <w:i w:val="false"/>
          <w:color w:val="000000"/>
          <w:sz w:val="20"/>
        </w:rPr>
        <w:t xml:space="preserve"> The Company in issuing the Securities may use “CUSIP,” “ISIN” and/or “CINS” numbers (if then generally in use), and the Trustee shall use CUSIP numbers, ISIN numbers or CINS numbers, as the case may be, in notices of redemption or exchange as a convenience to Holders and no representation shall be made as to the correctness of such numbers either as printed on the Securities or as contained in any notice of redemption or exchange.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2.13 </w:t>
      </w:r>
      <w:r>
        <w:rPr>
          <w:rFonts w:ascii="Times New Roman" w:hAnsi="Times New Roman"/>
          <w:b w:val="false"/>
          <w:i/>
          <w:color w:val="000000"/>
          <w:sz w:val="20"/>
        </w:rPr>
        <w:t>Defaulted Interest.</w:t>
      </w:r>
      <w:r>
        <w:rPr>
          <w:rFonts w:ascii="Times New Roman" w:hAnsi="Times New Roman"/>
          <w:b w:val="false"/>
          <w:i w:val="false"/>
          <w:color w:val="000000"/>
          <w:sz w:val="20"/>
        </w:rPr>
        <w:t xml:space="preserve"> If the Company defaults in a payment of interest on the Securities, it shall pay, or shall deposit with the Paying Agent money in immediately available funds sufficient to pay, the defaulted interest plus (to the extent lawful) any interest payable on the defaulted interest (as may be specified in the terms thereof, established pursuant to Section 2.03) to the Persons who are Holders on a subsequent special record date, which shall mean the 15th day next preceding the date fixed by the Company for the payment of defaulted interest, whether or not such day is a Business Day. At least 15 days before such special record date, the Company shall mail to each Holder of such Securities and to the Trustee a notice that states the special record date, the payment date and the amount of defaulted interest to be paid.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2.14 </w:t>
      </w:r>
      <w:r>
        <w:rPr>
          <w:rFonts w:ascii="Times New Roman" w:hAnsi="Times New Roman"/>
          <w:b w:val="false"/>
          <w:i/>
          <w:color w:val="000000"/>
          <w:sz w:val="20"/>
        </w:rPr>
        <w:t>Series May Include Tranches.</w:t>
      </w:r>
      <w:r>
        <w:rPr>
          <w:rFonts w:ascii="Times New Roman" w:hAnsi="Times New Roman"/>
          <w:b w:val="false"/>
          <w:i w:val="false"/>
          <w:color w:val="000000"/>
          <w:sz w:val="20"/>
        </w:rPr>
        <w:t xml:space="preserve"> A series of Securities may include one or more tranches (each a “</w:t>
      </w:r>
      <w:r>
        <w:rPr>
          <w:rFonts w:ascii="Times New Roman" w:hAnsi="Times New Roman"/>
          <w:b/>
          <w:i w:val="false"/>
          <w:color w:val="000000"/>
          <w:sz w:val="20"/>
        </w:rPr>
        <w:t>tranche</w:t>
      </w:r>
      <w:r>
        <w:rPr>
          <w:rFonts w:ascii="Times New Roman" w:hAnsi="Times New Roman"/>
          <w:b w:val="false"/>
          <w:i w:val="false"/>
          <w:color w:val="000000"/>
          <w:sz w:val="20"/>
        </w:rPr>
        <w:t>”) of Securities, including Securities issued in a Periodic Offering. The Securities of different tranches may have one or more different terms, including authentication dates and public offering prices, but all the Securities within each such tranche shall have identical terms, including authentication date and public offering price. Notwithstanding any other provision of this Indenture, with respect to Sections 2.02 (other than the fourth, sixth and seventh paragraphs thereof) through 2.04, 2.07, 2.08, 2.10, 3.01 through 3.05, 4.02, 6.01 through 6.14, 8.01 through 8.07, 9.02 and 10.07, if any series of Securities includes more than one tranche, all provisions of such sections applicable to any series of Securities shall be deemed equally applicable to each tranche of any series of Securities in the same manner as though originally designated a series unless otherwise provided with respect to such series or tranche pursuant to Section 2.03. In particular, and without limiting the scope of the next preceding sentence, any of the provisions of such sections which provide for or permit action to be taken with respect to a series of Securities shall also be deemed to provide for and permit such action to be taken instead only with respect to Securities of one or more tranches within that series (and such provisions shall be deemed satisfied thereby), even if no comparable action is taken with respect to Securities in the remaining tranches of that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3</w:t>
      </w:r>
    </w:p>
    <w:p>
      <w:pPr>
        <w:spacing w:before="0" w:after="0"/>
        <w:ind w:left="120"/>
        <w:jc w:val="left"/>
      </w:pPr>
    </w:p>
    <w:p>
      <w:pPr>
        <w:spacing w:before="0" w:after="0"/>
        <w:ind w:left="120"/>
        <w:jc w:val="center"/>
      </w:pPr>
      <w:r>
        <w:rPr>
          <w:rFonts w:ascii="Times New Roman" w:hAnsi="Times New Roman"/>
          <w:b w:val="false"/>
          <w:i w:val="false"/>
          <w:color w:val="000000"/>
          <w:sz w:val="20"/>
        </w:rPr>
        <w:t>Redemption</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3.01 </w:t>
      </w:r>
      <w:r>
        <w:rPr>
          <w:rFonts w:ascii="Times New Roman" w:hAnsi="Times New Roman"/>
          <w:b w:val="false"/>
          <w:i/>
          <w:color w:val="000000"/>
          <w:sz w:val="20"/>
        </w:rPr>
        <w:t>Applicability of Article.</w:t>
      </w:r>
      <w:r>
        <w:rPr>
          <w:rFonts w:ascii="Times New Roman" w:hAnsi="Times New Roman"/>
          <w:b w:val="false"/>
          <w:i w:val="false"/>
          <w:color w:val="000000"/>
          <w:sz w:val="20"/>
        </w:rPr>
        <w:t xml:space="preserve"> The provisions of this Article shall be applicable to the Securities of any series that are redeemable before their maturity or to any sinking fund for the retirement of Securities of a series except as otherwise specified as contemplated by Section 2.03 for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3.02 </w:t>
      </w:r>
      <w:r>
        <w:rPr>
          <w:rFonts w:ascii="Times New Roman" w:hAnsi="Times New Roman"/>
          <w:b w:val="false"/>
          <w:i/>
          <w:color w:val="000000"/>
          <w:sz w:val="20"/>
        </w:rPr>
        <w:t>Notice of Redemption; Partial Redemptions.</w:t>
      </w:r>
      <w:r>
        <w:rPr>
          <w:rFonts w:ascii="Times New Roman" w:hAnsi="Times New Roman"/>
          <w:b w:val="false"/>
          <w:i w:val="false"/>
          <w:color w:val="000000"/>
          <w:sz w:val="20"/>
        </w:rPr>
        <w:t xml:space="preserve"> Notice of redemption to the Holders of Securities of any series to be redeemed as a whole or in part at the option of the Company shall be given by mailing notice of such redemption by first class mail, postage prepaid, at least 30 days and not more than 60 days prior to the date fixed for redemption to such Holders of Securities of such series at their last addresses as they shall appear upon the Security Register. Any notice which is mailed in the manner herein provided shall be conclusively presumed to have been duly given, whether or not the Holder receives the notice. Failure to give notice by mail, or any defect in the notice to the Holder of any Security of a series designated for redemption as a whole or in part, shall not affect the validity of the proceedings for the redemption of any other Security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notice of redemption to each such Holder shall specify the Principal amount of each Security of such series held by such Holder to be redeemed, the CUSIP numbers of the Securities to be redeemed, the date fixed for redemption, the redemption price, or if not then ascertainable, the manner of calculation thereof, the place or places of payment, that payment will be made upon presentation and surrender of such Securities, that such redemption is pursuant to the mandatory or optional sinking fund, or both, if such be the case, that interest accrued to the date fixed for redemption will be paid as specified in such notice and that on and after said date interest thereon or on the portions thereof to be redeemed will cease to accrue. In case any Security of a series is to be redeemed in part only, the notice of redemption shall state the portion of the Principal amount thereof to be redeemed and shall state that on and after the date fixed for redemption, upon surrender of such Security, a new Security or Securities of such series and tenor in Principal amount equal to the unredeemed portion thereof will be issued.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notice of redemption of Securities of any series to be redeemed at the option of the Company shall be given by the Company or, at the Company’s request, by the Trustee in the name and at the expense of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On or before 10:00 a.m. New York City time on the redemption date specified in the notice of redemption given as provided in this Section, the Company will deposit with the Trustee or with one or more Paying Agents (or, if the Company is acting as its own Paying Agent, set aside, segregate and hold in trust as provided in Section 2.06) an amount of money sufficient to redeem on the redemption date all the Securities of such series so called for redemption at the appropriate redemption price, together with accrued interest to the date fixed for redemption. If all of the outstanding Securities of a series are to be redeemed, the Company will deliver to the Trustee at least 10 days prior to the last date on which notice of redemption may be given to Holders pursuant to the first paragraph of this Section 3.02 (or such shorter period as shall be acceptable to the Trustee) an Officers’ Certificate stating that all such Securities are to be redeemed. If less than all the outstanding Securities of a series are to be redeemed, the Company will deliver to the Trustee at least 15 days prior to the last date on which notice of redemption may be given to Holders pursuant to the first paragraph of this Section 3.02 (or such shorter period as shall be acceptable to the Trustee) an Officers’ Certificate stating the aggregate Principal amount of such Securities to be redeemed. In the case of any redemption of Securities (a) prior to the expiration of any restriction on such redemption provided in the terms of such Securities or elsewhere in this Indenture, or (b) pursuant to an election of the Company which is subject to a condition specified in the terms of such Securities or elsewhere in this Indenture, the Company shall deliver to the Trustee, prior to the giving of any notice of redemption to Holders pursuant to this Section, an Officers’ Certificate evidencing compliance with such restriction or condition.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less than all the Securities of a series are to be redeemed, the Trustee shall select, pro rata, by lot or in such manner as it shall deem appropriate and fair, Securities of such series to be redeemed in whole or in part. Securities may be redeemed in part in Principal amounts equal to authorized denominations for Securities of such series. The Trustee shall promptly notify the Company in writing of the Securities of such series selected for redemption and, in the case of any Securities of such series selected for partial redemption, the Principal amount thereof to be redeemed. For all purposes of this Indenture, unless the context otherwise requires, all provisions relating to the redemption of Securities shall relate, in the case of any Security redeemed or to be redeemed only in part, to the portion of the Principal amount of such Security which has been or is to be redeemed.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3.03 </w:t>
      </w:r>
      <w:r>
        <w:rPr>
          <w:rFonts w:ascii="Times New Roman" w:hAnsi="Times New Roman"/>
          <w:b w:val="false"/>
          <w:i/>
          <w:color w:val="000000"/>
          <w:sz w:val="20"/>
        </w:rPr>
        <w:t>Payment of Securities Called for Redemption.</w:t>
      </w:r>
      <w:r>
        <w:rPr>
          <w:rFonts w:ascii="Times New Roman" w:hAnsi="Times New Roman"/>
          <w:b w:val="false"/>
          <w:i w:val="false"/>
          <w:color w:val="000000"/>
          <w:sz w:val="20"/>
        </w:rPr>
        <w:t xml:space="preserve"> If notice of redemption has been given as above provided, the Securities or portions of Securities specified in such notice shall become due and payable on the date and at the place stated in such notice at the applicable redemption price, together with interest accrued to the date fixed for redemption, and on and after such date (unless the Company shall default in the payment of such Securities at the redemption price, together with interest accrued to such date) interest on the Securities or portions of Securities so called for redemption shall cease to accrue, and, except as provided in Sections 7.12 and 8.02, such Securities shall cease from and after the date fixed for redemption to be entitled to any benefit under this Indenture, and the Holders thereof shall have no right in respect of such Securities except the right to receive the redemption price thereof and unpaid interest to the date fixed for redemption. On presentation and surrender of such Securities at a place of payment specified in said notice, said Securities or the specified portions thereof shall be paid and redeemed by the Company at the applicable redemption price, together with interest accrued thereon to the date fixed for redemption; provided that payment of interest becoming due on or prior to the date fixed for redemption shall be payable to the Holders registered as such on the relevant record date subject to the terms and provisions of Sections 2.04 and 2.13 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any Security called for redemption shall not be so paid upon surrender thereof for redemption, the principal shall, until paid or duly provided for, bear interest from the date fixed for redemption at the rate of interest or Yield to Maturity (in the case of an Original Issue Discount Security) borne by such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presentation of any Security of any series redeemed in part only, the Company shall execute and the Trustee shall authenticate and deliver to or on the order of the Holder thereof, at the expense of the Company, a new Security or Securities of such series and tenor, of authorized denominations, in Principal amount equal to the unredeemed portion of the Security so presented.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3.04 </w:t>
      </w:r>
      <w:r>
        <w:rPr>
          <w:rFonts w:ascii="Times New Roman" w:hAnsi="Times New Roman"/>
          <w:b w:val="false"/>
          <w:i/>
          <w:color w:val="000000"/>
          <w:sz w:val="20"/>
        </w:rPr>
        <w:t>Exclusion of Certain Securities from Eligibility for Selection for Redemption.</w:t>
      </w:r>
      <w:r>
        <w:rPr>
          <w:rFonts w:ascii="Times New Roman" w:hAnsi="Times New Roman"/>
          <w:b w:val="false"/>
          <w:i w:val="false"/>
          <w:color w:val="000000"/>
          <w:sz w:val="20"/>
        </w:rPr>
        <w:t xml:space="preserve"> Unless otherwise provided with respect to any series of Securities, Securities shall be excluded from eligibility for selection for redemption if they are identified by registration and certificate number in a written statement signed by an authorized Officer of the Company and delivered to the Trustee at least 40 days prior to the last date on which notice of redemption may be given as being owned of record and beneficially by, and not pledged or hypothecated by, either (a) the Company or (b) an entity specifically identified in such written statement as directly or indirectly controlling or controlled by or under direct or indirect common control with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3.05 </w:t>
      </w:r>
      <w:r>
        <w:rPr>
          <w:rFonts w:ascii="Times New Roman" w:hAnsi="Times New Roman"/>
          <w:b w:val="false"/>
          <w:i/>
          <w:color w:val="000000"/>
          <w:sz w:val="20"/>
        </w:rPr>
        <w:t>Mandatory and Optional Sinking Funds.</w:t>
      </w:r>
      <w:r>
        <w:rPr>
          <w:rFonts w:ascii="Times New Roman" w:hAnsi="Times New Roman"/>
          <w:b w:val="false"/>
          <w:i w:val="false"/>
          <w:color w:val="000000"/>
          <w:sz w:val="20"/>
        </w:rPr>
        <w:t xml:space="preserve"> The minimum amount of any sinking fund payment provided for by the terms of Securities of any series is herein referred to as a “mandatory sinking fund payment,” and any payment in excess of such minimum amount provided for by the terms of the Securities of any series is herein referred to as an “optional sinking fund payment.” The date on which a sinking fund payment is to be made is herein referred to as the “sinking fund payment date.”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lieu of making all or any part of any mandatory sinking fund payment with respect to any series of Securities in cash, the Company may at its option (a) deliver to the Trustee Securities of such series theretofore purchased or otherwise acquired (except through a mandatory sinking fund payment) by the Company or receive credit for Securities of such series (not previously so credited) theretofore purchased or otherwise acquired (except as aforesaid) by the Company and delivered to the Trustee for cancellation pursuant to Section 2.11, (b) receive credit for optional sinking fund payments (not previously so credited) made pursuant to this Section, or (c) receive credit for Securities of such series (not previously so credited) redeemed by the Company at the option of the Company pursuant to the terms of such Securities or through any optional sinking fund payment. Securities so delivered or credited shall be received or credited by the Trustee at the sinking fund redemption price specified in such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On or before the sixtieth day next preceding each sinking fund payment date for any series, or such shorter period as shall be acceptable to the Trustee, the Company will deliver to the Trustee an Officers’ Certificate (a) specifying the portion of the mandatory sinking fund payment to be satisfied by payment of cash and the portion to be satisfied by credit of specified Securities of such series and the basis for such credit, (b) stating that none of the specified Securities of such series has theretofore been so credited, (c) stating that no defaults in the payment of interest or Events of Default with respect to such series have occurred (which have not been waived or cured) and are continuing and (d) stating whether or not the Company intends to exercise its right to make an optional sinking fund payment with respect to such series and, if so, specifying the amount of such optional sinking fund payment which the Company intends to pay on or before the next succeeding sinking fund payment date. Any Securities of such series to be credited and required to be delivered to the Trustee in order for the Company to be entitled to credit therefor as aforesaid which have not theretofore been delivered to the Trustee shall be delivered for cancellation pursuant to Section 2.11 to the Trustee with such Officers’ Certificate (or reasonably promptly thereafter if acceptable to the Trustee). Such Officers’ Certificate shall be irrevocable and upon its receipt by the Trustee the Company shall become unconditionally obligated to make all the cash payments or delivery of Securities therein referred to, if any, on or before the next succeeding sinking fund payment date. Failure of the Company, on or before any such 60th day, to deliver such Officer’s Certificate and Securities specified in this paragraph, if any, shall not constitute a default but shall constitute, on and as of such date, the irrevocable election of the Company (i) that the mandatory sinking fund payment for such series due on the next succeeding sinking fund payment date shall be paid entirely in cash without the option to deliver or credit Securities of such series in respect thereof and (ii) that the Company will make no optional sinking fund payment with respect to such series as provided in this Section.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 sinking fund payment or payments (mandatory or optional or both) to be made in cash on the next succeeding sinking fund payment date plus any unused balance of any preceding sinking fund payments made in cash shall exceed $50,000 (or a lesser sum if the Company shall so request with respect to the Securities of any series), such cash shall be applied on the next succeeding sinking fund payment date to the redemption of Securities of such series at the sinking fund redemption price thereof together with accrued interest thereon to the date fixed for redemption. If such amount shall be $50,000 (or such lesser sum) or less and the Company makes no such request then it shall be carried over until a sum in excess of $50,000 (or such lesser sum) is available. The Trustee shall select, in the manner provided in Section 3.02, for redemption on such sinking fund payment date a sufficient Principal amount of Securities of such series to absorb said cash, as nearly as may be, and shall (if requested in writing by the Company) inform the Company of the serial numbers of the Securities of such series (or portions thereof) so selected. Securities shall be excluded from eligibility for redemption under this Section if they are identified by registration and certificate number in an Officers’ Certificate delivered to the Trustee at least 60 days prior to the sinking fund payment date as being owned of record and beneficially by, and not pledged or hypothecated by either (a) the Company or (b) an entity specifically identified in such Officers’ Certificate as directly or indirectly controlling or controlled by or under direct or indirect common control with the Company. The Trustee, in the name and at the expense of the Company (or the Company, if it shall so request the Trustee in writing) shall cause notice of redemption of the Securities of such series to be given in substantially the manner provided in Section 3.02 (and with the effect provided in Section 3.03) for the redemption of Securities of such series in part at the option of the Company. The amount of any sinking fund payments not so applied or allocated to the redemption of Securities of such series shall be added to the next cash sinking fund payment for such series and, together with such payment, shall be applied in accordance with the provisions of this Section. Any and all sinking fund moneys held on the stated maturity date of the Securities of any particular series (or earlier, if such maturity is accelerated), which are not held for the payment or redemption of particular Securities of such series shall be applied, together with other moneys, if necessary, sufficient for the purpose, to the payment of the Principal of, and interest on, the Securities of such series at maturity.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On or before 10:00 a.m. New York City time on each sinking fund payment date, the Company shall pay to the Trustee in cash or shall otherwise provide for the payment of all interest accrued to the date fixed for redemption on Securities to be redeemed on the next following sinking fund payment date.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shall not redeem or cause to be redeemed any Securities of a series with sinking fund moneys or mail any notice of redemption of Securities of such series by operation of the sinking fund during the continuance of a Default in payment of interest on such Securities or of any Event of Default except that, where the mailing of notice of redemption of any Securities shall theretofore have been made, the Trustee shall redeem or cause to be redeemed such Securities, provided that it shall have received from the Company a sum sufficient for such redemption. Except as aforesaid, any moneys in the sinking fund for such series at the time when any such Default or Event of Default shall occur, and any moneys thereafter paid into the sinking fund, shall, during the continuance of such Default or Event of Default, be deemed to have been collected under Article 6 and held for the payment of all such Securities. In case such Event of Default shall have been waived as provided in Section 6.04 or the Default cured on or before the sixtieth day preceding the sinking fund payment date in any year, such moneys shall thereafter be applied on the next succeeding sinking fund payment date in accordance with this Section to the redemption of such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4</w:t>
      </w:r>
    </w:p>
    <w:p>
      <w:pPr>
        <w:spacing w:before="0" w:after="0"/>
        <w:ind w:left="120"/>
        <w:jc w:val="left"/>
      </w:pPr>
    </w:p>
    <w:p>
      <w:pPr>
        <w:spacing w:before="0" w:after="0"/>
        <w:ind w:left="120"/>
        <w:jc w:val="center"/>
      </w:pPr>
      <w:r>
        <w:rPr>
          <w:rFonts w:ascii="Times New Roman" w:hAnsi="Times New Roman"/>
          <w:b w:val="false"/>
          <w:i w:val="false"/>
          <w:color w:val="000000"/>
          <w:sz w:val="20"/>
        </w:rPr>
        <w:t>Covenants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4.01 </w:t>
      </w:r>
      <w:r>
        <w:rPr>
          <w:rFonts w:ascii="Times New Roman" w:hAnsi="Times New Roman"/>
          <w:b w:val="false"/>
          <w:i/>
          <w:color w:val="000000"/>
          <w:sz w:val="20"/>
        </w:rPr>
        <w:t>Payment of Securities.</w:t>
      </w:r>
      <w:r>
        <w:rPr>
          <w:rFonts w:ascii="Times New Roman" w:hAnsi="Times New Roman"/>
          <w:b w:val="false"/>
          <w:i w:val="false"/>
          <w:color w:val="000000"/>
          <w:sz w:val="20"/>
        </w:rPr>
        <w:t xml:space="preserve"> The Company shall pay the Principal of and interest on the Securities on the dates and in the manner provided in the Securities and this Indenture. The interest on Securities (together with any additional amounts payable pursuant to the terms of such Securities) shall be payable only to the Holders thereof (subject to Section 2.04) and at the option of the Company may be paid by mailing checks for such interest payable to or upon the written order of such Holders at their last addresses as they appear on the Security Register of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any provisions of this Indenture and the Securities of any series to the contrary, if the Company and a Holder of any Security so agree, payments of interest on, and any portion of the Principal of, such Holder’s Security (other than interest payable at maturity or on any redemption or repayment date or the final payment of Principal on such Security) shall be made by the Paying Agent, upon receipt from the Company of immediately available funds by 11:00 A.M., New York City time (or such other time as may be agreed to between the Company and the Paying Agent), directly to the Holder of such Security (by Federal funds wire transfer or otherwise) if the Holder has delivered written instructions to the Trustee 15 days prior to such payment date requesting that such payment will be so made and designating the bank account to which such payments shall be so made and in the case of payments of Principal, surrenders the same to the Trustee in exchange for a Security or Securities aggregating the same Principal amount as the unredeemed Principal amount of the Securities surrendered. The Trustee shall be entitled to rely on the last instruction delivered by the Holder pursuant to this Section 4.01 unless a new instruction is delivered 15 days prior to a payment date. The Company will indemnify and hold each of the Trustee and any Paying Agent harmless against any loss, liability or expense (including attorneys’ fees) resulting from any act or omission to act on the part of the Company or any such Holder in connection with any such agreement or from making any payment in accordance with any such agreement.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shall pay interest on overdue Principal, and interest on overdue installments of interest, to the extent lawful, at the rate per annum specified in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4.02 </w:t>
      </w:r>
      <w:r>
        <w:rPr>
          <w:rFonts w:ascii="Times New Roman" w:hAnsi="Times New Roman"/>
          <w:b w:val="false"/>
          <w:i/>
          <w:color w:val="000000"/>
          <w:sz w:val="20"/>
        </w:rPr>
        <w:t>Maintenance of Office or Agency.</w:t>
      </w:r>
      <w:r>
        <w:rPr>
          <w:rFonts w:ascii="Times New Roman" w:hAnsi="Times New Roman"/>
          <w:b w:val="false"/>
          <w:i w:val="false"/>
          <w:color w:val="000000"/>
          <w:sz w:val="20"/>
        </w:rPr>
        <w:t xml:space="preserve"> The Company will maintain in the United States of America, an office or agency where Securities may be surrendered for registration of transfer or exchange or for presentation for payment and where notices and demands to or upon the Company in respect of the Securities and this Indenture may be served. The Company hereby initially designates </w:t>
      </w:r>
      <w:r>
        <w:rPr>
          <w:rFonts w:ascii="Times New Roman" w:hAnsi="Times New Roman"/>
          <w:b/>
          <w:i w:val="false"/>
          <w:color w:val="000000"/>
          <w:sz w:val="20"/>
        </w:rPr>
        <w:t>[●]</w:t>
      </w:r>
      <w:r>
        <w:rPr>
          <w:rFonts w:ascii="Times New Roman" w:hAnsi="Times New Roman"/>
          <w:b w:val="false"/>
          <w:i w:val="false"/>
          <w:color w:val="000000"/>
          <w:sz w:val="20"/>
        </w:rPr>
        <w:t>, as such office or agency of the Company. The Company will give prompt written notice to the Trustee of the location, and any change in the location, of such office or agency. If at any time the Company shall fail to maintain any such required office or agency or shall fail to furnish the Trustee with the address thereof, such presentations, surrenders, notices and demands may be made or served at the address of the Trustee set forth in Section 10.02.</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may also from time to time designate one or more other offices or agencies where the Securities of any series may be presented or surrendered for any or all such purposes and may from time to time rescind such designations; provided that no such designation or rescission shall in any manner relieve the Company of its obligation to maintain an office or agency in the United States of America for such purposes. The Company will give prompt written notice to the Trustee of any such designation or rescission and of any change in the location of any such other office or agency.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4.03 </w:t>
      </w:r>
      <w:r>
        <w:rPr>
          <w:rFonts w:ascii="Times New Roman" w:hAnsi="Times New Roman"/>
          <w:b w:val="false"/>
          <w:i/>
          <w:color w:val="000000"/>
          <w:sz w:val="20"/>
        </w:rPr>
        <w:t>Securityholders’ Lists.</w:t>
      </w:r>
      <w:r>
        <w:rPr>
          <w:rFonts w:ascii="Times New Roman" w:hAnsi="Times New Roman"/>
          <w:b w:val="false"/>
          <w:i w:val="false"/>
          <w:color w:val="000000"/>
          <w:sz w:val="20"/>
        </w:rPr>
        <w:t xml:space="preserve"> The Company will furnish or cause to be furnished to the Trustee a list in such form as the Trustee may reasonably require of the names and addresses of the holders of the Securities pursuant to Section 312 of the Trust Indenture Act (a) semi-annually not more than 15 days after each record date for the payment of semi-annual interest on the Securities, as hereinabove specified, as of such record date, and (b) at such other times as the Trustee may request in writing, within 30 days after receipt by the Company of any such request as of a date not more than 15 days prior to the time such information is furnished.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4.04 </w:t>
      </w:r>
      <w:r>
        <w:rPr>
          <w:rFonts w:ascii="Times New Roman" w:hAnsi="Times New Roman"/>
          <w:b w:val="false"/>
          <w:i/>
          <w:color w:val="000000"/>
          <w:sz w:val="20"/>
        </w:rPr>
        <w:t>Certificate to Trustee.</w:t>
      </w:r>
      <w:r>
        <w:rPr>
          <w:rFonts w:ascii="Times New Roman" w:hAnsi="Times New Roman"/>
          <w:b w:val="false"/>
          <w:i w:val="false"/>
          <w:color w:val="000000"/>
          <w:sz w:val="20"/>
        </w:rPr>
        <w:t xml:space="preserve"> The Company will furnish to the Trustee annually, on or before a date not more than four months after the end of its fiscal year (which, on the date hereof, is a calendar year), a brief certificate (which need not contain the statements required by Section 10.04) from its principal executive, financial or accounting officer as to his or her knowledge of the compliance of the Company with all conditions and covenants under this Indenture (such compliance to be determined without regard to any period of grace or requirement of notice provided under this Indenture) which certificate shall comply with the requirements of the Trust Indenture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4.05 </w:t>
      </w:r>
      <w:r>
        <w:rPr>
          <w:rFonts w:ascii="Times New Roman" w:hAnsi="Times New Roman"/>
          <w:b w:val="false"/>
          <w:i/>
          <w:color w:val="000000"/>
          <w:sz w:val="20"/>
        </w:rPr>
        <w:t>Reports by the Company.</w:t>
      </w:r>
      <w:r>
        <w:rPr>
          <w:rFonts w:ascii="Times New Roman" w:hAnsi="Times New Roman"/>
          <w:b w:val="false"/>
          <w:i w:val="false"/>
          <w:color w:val="000000"/>
          <w:sz w:val="20"/>
        </w:rPr>
        <w:t xml:space="preserve"> The Company covenants to file with the Trustee, within 15 days after the Company files the same with the Commission, copies of the annual reports and of the information, documents, and other reports which the Company may be required to file with the Commission pursuant to Section 13 or Section 15(d) of the Exchange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4.06 </w:t>
      </w:r>
      <w:r>
        <w:rPr>
          <w:rFonts w:ascii="Times New Roman" w:hAnsi="Times New Roman"/>
          <w:b w:val="false"/>
          <w:i/>
          <w:color w:val="000000"/>
          <w:sz w:val="20"/>
        </w:rPr>
        <w:t>Additional Amounts.</w:t>
      </w:r>
      <w:r>
        <w:rPr>
          <w:rFonts w:ascii="Times New Roman" w:hAnsi="Times New Roman"/>
          <w:b w:val="false"/>
          <w:i w:val="false"/>
          <w:color w:val="000000"/>
          <w:sz w:val="20"/>
        </w:rPr>
        <w:t xml:space="preserve"> If the Securities of a series provide for the payment of additional amounts, at least 10 days prior to the first interest payment date with respect to that series of Securities and at least 10 days prior to each date of payment of Principal of or interest on the Securities of that series if there has been a change with respect to the matters set forth in the below-mentioned Officers’ Certificate, the Company shall furnish to the Trustee and the principal paying agent, if other than the Trustee, an Officers’ Certificate instructing the Trustee and such paying agent whether such payment of Principal of or interest on the Securities of that series shall be made to Holders of the Securities of that series without withholding or deduction for or on account of any tax, assessment or other governmental charge described in the Securities of that series. If any such withholding or deduction shall be required, then such Officers’ Certificate shall specify by country the amount, if any, required to be withheld or deducted on such payments to such Holders and shall certify the fact that additional amounts will be payable and the amounts so payable to each Holder, and the Company shall pay to the Trustee or such paying agent the additional amounts required to be paid by this Section. The Company covenants to indemnify the Trustee and any paying agent for, and to hold them harmless against, any loss, liability or expense reasonably incurred without negligence or bad faith on their part arising out of or in connection with actions taken or omitted by any of them in reliance on any Officers’ Certificate furnished pursuant to this Section.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Whenever in this Indenture there is mentioned, in any context, the payment of the Principal of or interest or any other amounts on, or in respect of, any Security of any series, such mention shall be deemed to include mention of the payment of additional amounts provided by the terms of such series established hereby or pursuant hereto to the extent that, in such context, additional amounts are, were or would be payable in respect thereof pursuant to such terms, and express mention of the payment of additional amounts (if applicable) in any provision hereof shall not be construed as excluding the payment of additional amounts in those provisions hereof where such express mention is not made.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5</w:t>
      </w:r>
    </w:p>
    <w:p>
      <w:pPr>
        <w:spacing w:before="0" w:after="0"/>
        <w:ind w:left="120"/>
        <w:jc w:val="left"/>
      </w:pPr>
    </w:p>
    <w:p>
      <w:pPr>
        <w:spacing w:before="0" w:after="0"/>
        <w:ind w:left="120"/>
        <w:jc w:val="center"/>
      </w:pPr>
      <w:r>
        <w:rPr>
          <w:rFonts w:ascii="Times New Roman" w:hAnsi="Times New Roman"/>
          <w:b w:val="false"/>
          <w:i w:val="false"/>
          <w:color w:val="000000"/>
          <w:sz w:val="20"/>
        </w:rPr>
        <w:t>Successor Corporation</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5.01 </w:t>
      </w:r>
      <w:r>
        <w:rPr>
          <w:rFonts w:ascii="Times New Roman" w:hAnsi="Times New Roman"/>
          <w:b w:val="false"/>
          <w:i/>
          <w:color w:val="000000"/>
          <w:sz w:val="20"/>
        </w:rPr>
        <w:t>When Company May Merge, Etc.</w:t>
      </w:r>
      <w:r>
        <w:rPr>
          <w:rFonts w:ascii="Times New Roman" w:hAnsi="Times New Roman"/>
          <w:b w:val="false"/>
          <w:i w:val="false"/>
          <w:color w:val="000000"/>
          <w:sz w:val="20"/>
        </w:rPr>
        <w:t xml:space="preserve"> Unless otherwise provided pursuant to Section 2.03 in connection with the establishment of a series, the Company shall not consolidate or combine with, merge with or into, directly or indirectly, or sell, assign, convey, transfer, lease or otherwise dispose of all or substantially all of its property and assets to any Person or Persons in a single transaction or through a series of transactions unless: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the Company shall be the continuing Person or, if the Company is not the continuing Person, the resulting, surviving or transferee Person (the “</w:t>
      </w:r>
      <w:r>
        <w:rPr>
          <w:rFonts w:ascii="Times New Roman" w:hAnsi="Times New Roman"/>
          <w:b/>
          <w:i w:val="false"/>
          <w:color w:val="000000"/>
          <w:sz w:val="20"/>
        </w:rPr>
        <w:t>Surviving Entity</w:t>
      </w:r>
      <w:r>
        <w:rPr>
          <w:rFonts w:ascii="Times New Roman" w:hAnsi="Times New Roman"/>
          <w:b w:val="false"/>
          <w:i w:val="false"/>
          <w:color w:val="000000"/>
          <w:sz w:val="20"/>
        </w:rPr>
        <w:t>”) is a company organized and existing under the laws of any member state of the European Union or the United States of America or any State or territory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the Surviving Entity shall expressly assume all of the Company’s obligations under the Securities and this Indenture, and shall, if required by law to effectuate the assumption, execute supplemental indentures which shall be delivered to the Trustee and shall be in form and substance reasonably satisfactory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immediately after giving effect to such transaction or series of transactions on a pro forma basis, no Default has occurred and is continuing;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the Company or the Surviving Entity shall have delivered to the Trustee an Officers’ Certificate and Opinion of Counsel stating that (x) the transaction or series of transactions and such supplemental indenture, if any, complies with this Section 5.01, (y) such supplemental indenture (if any) constitutes the legal, valid and binding obligation of the Company and such Surviving Entity enforceable against such Surviving Entity in accordance with its terms, subject to customary exceptions and (z) all conditions precedent in this Indenture relating to the transaction or series of transactions have been satisfied.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5.02 </w:t>
      </w:r>
      <w:r>
        <w:rPr>
          <w:rFonts w:ascii="Times New Roman" w:hAnsi="Times New Roman"/>
          <w:b w:val="false"/>
          <w:i/>
          <w:color w:val="000000"/>
          <w:sz w:val="20"/>
        </w:rPr>
        <w:t>Successor Substituted.</w:t>
      </w:r>
      <w:r>
        <w:rPr>
          <w:rFonts w:ascii="Times New Roman" w:hAnsi="Times New Roman"/>
          <w:b w:val="false"/>
          <w:i w:val="false"/>
          <w:color w:val="000000"/>
          <w:sz w:val="20"/>
        </w:rPr>
        <w:t xml:space="preserve"> Upon any consolidation, combination or merger, or any sale, assignment, conveyance, transfer, lease or other disposition of all or substantially all of the property and assets of the Company in accordance with Section 5.01 of this Indenture, the Surviving Entity shall succeed to, and be substituted for, and may exercise every right and power of, the Company under this Indenture with the same effect as if such Surviving Entity had been named as the Company herein and thereafter the predecessor Person, except in the case of (x) a lease or (y) any sale, assignment, conveyance, transfer, lease or other disposition to one or more Subsidiaries of the Company, shall be discharged from all obligations and covenants under this Indenture and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6</w:t>
      </w:r>
      <w:r>
        <w:br/>
      </w:r>
      <w:r>
        <w:rPr>
          <w:rFonts w:ascii="Times New Roman" w:hAnsi="Times New Roman"/>
          <w:b w:val="false"/>
          <w:i w:val="false"/>
          <w:color w:val="000000"/>
          <w:sz w:val="20"/>
        </w:rPr>
        <w:t xml:space="preserve"> Default and Remedies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6.01 </w:t>
      </w:r>
      <w:r>
        <w:rPr>
          <w:rFonts w:ascii="Times New Roman" w:hAnsi="Times New Roman"/>
          <w:b w:val="false"/>
          <w:i/>
          <w:color w:val="000000"/>
          <w:sz w:val="20"/>
        </w:rPr>
        <w:t>Events of Default.</w:t>
      </w:r>
      <w:r>
        <w:rPr>
          <w:rFonts w:ascii="Times New Roman" w:hAnsi="Times New Roman"/>
          <w:b w:val="false"/>
          <w:i w:val="false"/>
          <w:color w:val="000000"/>
          <w:sz w:val="20"/>
        </w:rPr>
        <w:t xml:space="preserve"> An “</w:t>
      </w:r>
      <w:r>
        <w:rPr>
          <w:rFonts w:ascii="Times New Roman" w:hAnsi="Times New Roman"/>
          <w:b/>
          <w:i w:val="false"/>
          <w:color w:val="000000"/>
          <w:sz w:val="20"/>
        </w:rPr>
        <w:t>Event of Default</w:t>
      </w:r>
      <w:r>
        <w:rPr>
          <w:rFonts w:ascii="Times New Roman" w:hAnsi="Times New Roman"/>
          <w:b w:val="false"/>
          <w:i w:val="false"/>
          <w:color w:val="000000"/>
          <w:sz w:val="20"/>
        </w:rPr>
        <w:t>” shall occur with respect to the Securities of any series if: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the Company defaults in the payment of the Principal of any Security of such series when the same becomes due and payable at maturity, upon acceleration, redemption or mandatory repurchase, including as a sinking fund installment,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the Company defaults in the payment of interest on any Security of such series when the same becomes due and payable, and such default continues for a period of 30 days;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the Company defaults in the performance of or breaches any other covenant or agreement of the Company in this Indenture with respect to any Security of such series or in the Securities of such series (other than a covenant or agreement in respect of which noncompliance by the Company would otherwise be an Event of Default) and such default or breach continues for a period of 90 consecutive days or more after written notice to the Company by the Trustee or to the Company and the Trustee by the Holders of 25% or more in aggregate Principal amount of the Securities of all series affected thereby specifying such default or breach and requiring it to be remedied and stating that such notice is a “Notice of Default”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a court having jurisdiction in the premises shall enter a decree or order for relief in respect of the Company in an involuntary case under any applicable bankruptcy, insolvency or other similar law now or hereafter in effect, or appointing a receiver, liquidator, assignee, custodian, trustee, sequestrator (or similar official) of the Company or for any substantial part of its property or ordering the winding up or liquidation of its affairs, and such decree or order shall remain unstayed and in effect for a period of 60 consecutive days;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 the Company (i) commences a voluntary case under any applicable bankruptcy, insolvency or other similar law now or hereafter in effect, or consents to the entry of an order for relief in an involuntary case under any such law, (ii) consents to the appointment of or taking possession by a receiver, liquidator, assignee, custodian, trustee, sequestrator or similar official of the Company or for all or substantially all of the property and assets of the Company or (iii) effects any general assignment for the benefit of creditors; or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 any other Event of Default established pursuant to Section 2.03 with respect to the Securities of such series occurs.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6.02 </w:t>
      </w:r>
      <w:r>
        <w:rPr>
          <w:rFonts w:ascii="Times New Roman" w:hAnsi="Times New Roman"/>
          <w:b w:val="false"/>
          <w:i/>
          <w:color w:val="000000"/>
          <w:sz w:val="20"/>
        </w:rPr>
        <w:t>Acceleration.</w:t>
      </w:r>
      <w:r>
        <w:rPr>
          <w:rFonts w:ascii="Times New Roman" w:hAnsi="Times New Roman"/>
          <w:b w:val="false"/>
          <w:i w:val="false"/>
          <w:color w:val="000000"/>
          <w:sz w:val="20"/>
        </w:rPr>
        <w:t xml:space="preserve"> (a) If an Event of Default other than as described in clauses (d) or (e) of Section 6.01 with respect to the Securities of any series then outstanding occurs and is continuing, then, and in each and every such case, except for any series of Securities the Principal of which shall have already become due and payable, either the Trustee or the Holders of not less than 25% in aggregate Principal amount of the Securities of all such series then outstanding hereunder in respect of which an Event of Default has occurred (all such series voting together as a single class) by notice in writing to the Company (and to the Trustee if given by Securityholders), may declare the entire Principal (or, if the Securities of any such series are Original Issue Discount Securities, such portion of the Principal amount as may be specified in the terms of such series established pursuant to Section 2.03) of all Securities of the affected series, and the interest accrued thereon, if any, to be due and payable immediately, and upon any such declaration the same shall become immediately due and payable.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If an Event of Default described in clause (d) or (e) of Section 6.01 occurs and is continuing, then the Principal amount (or, if any Securities are Original Issue Discount Securities, such portion of the Principal as may be specified in the terms thereof established pursuant to Section 2.03) of all the Securities then outstanding and interest accrued thereon, if any, shall be and become immediately due and payable, without any declaration, notice or other action by any Holder or the Trustee, to the full extent permitted by applicable law.</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foregoing provisions, however, are subject to the condition that if, at any time after the Principal (or, if the Securities are Original Issue Discount Securities, such portion of the Principal as may be specified in the terms thereof established pursuant to Section 2.03) of the Securities of any series (or of all the Securities, as the case may be) shall have been so declared or become due and payable, and before any judgment or decree for the payment of the moneys due shall have been obtained or entered as hereinafter provided, the Company shall pay or shall deposit with the Trustee a sum sufficient to pay all matured installments of interest upon all the Securities of each such series (or of all the Securities, as the case may be) and the Principal of any and all Securities of each such series (or of all the Securities, as the case may be) which shall have become due otherwise than by acceleration (with interest upon such Principal and, to the extent that payment of such interest is enforceable under applicable law, on overdue installments of interest, at the same rate as the rate of interest or Yield to Maturity (in the case of Original Issue Discount Securities) specified in the Securities of each such series to the date of such payment or deposit) and such amount as shall be sufficient to cover all amounts owing the Trustee under Section 7.07, and if any and all Events of Default under the Indenture, other than the non-payment of the Principal of and interest on Securities which shall have become due by acceleration, shall have been cured, waived or otherwise remedied as provided herein, then and in every such case the Holders of a majority in aggregate Principal amount of all the then outstanding Securities of all such series that have been accelerated (voting as a single class), by written notice to the Company and to the Trustee, may waive all defaults with respect to all such series (or with respect to all the Securities, as the case may be) and rescind and annul such declaration and its consequences, but no such waiver or rescission and annulment shall extend to or shall affect any subsequent default or shall impair any right consequent thereon.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For all purposes under this Indenture, if a portion of the Principal of any Original Issue Discount Securities shall have been accelerated and declared or become due and payable pursuant to the provisions hereof, then, from and after such declaration, unless such declaration has been rescinded and annulled, the Principal amount of such Original Issue Discount Securities shall be deemed, for all purposes hereunder, to be such portion of the Principal thereof as shall be due and payable as a result of such acceleration, and payment of such portion of the Principal thereof as shall be due and payable as a result of such acceleration, together with interest, if any, thereon and all other amounts owing thereunder, shall constitute payment in full of such Original Issue Discount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6.03 </w:t>
      </w:r>
      <w:r>
        <w:rPr>
          <w:rFonts w:ascii="Times New Roman" w:hAnsi="Times New Roman"/>
          <w:b w:val="false"/>
          <w:i/>
          <w:color w:val="000000"/>
          <w:sz w:val="20"/>
        </w:rPr>
        <w:t>Other Remedies.</w:t>
      </w:r>
      <w:r>
        <w:rPr>
          <w:rFonts w:ascii="Times New Roman" w:hAnsi="Times New Roman"/>
          <w:b w:val="false"/>
          <w:i w:val="false"/>
          <w:color w:val="000000"/>
          <w:sz w:val="20"/>
        </w:rPr>
        <w:t xml:space="preserve"> If a payment default or an Event of Default with respect to the Securities of any series occurs and is continuing, the Trustee may pursue, in its own name or as trustee of an express trust, any available remedy by proceeding at law or in equity to collect the payment of Principal of and interest on the Securities of such series or to enforce the performance of any provision of the Securities of such series or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may maintain a proceeding even if it does not possess any of the Securities or does not produce any of them in the proceeding.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6.04 </w:t>
      </w:r>
      <w:r>
        <w:rPr>
          <w:rFonts w:ascii="Times New Roman" w:hAnsi="Times New Roman"/>
          <w:b w:val="false"/>
          <w:i/>
          <w:color w:val="000000"/>
          <w:sz w:val="20"/>
        </w:rPr>
        <w:t>Waiver of Past Defaults.</w:t>
      </w:r>
      <w:r>
        <w:rPr>
          <w:rFonts w:ascii="Times New Roman" w:hAnsi="Times New Roman"/>
          <w:b w:val="false"/>
          <w:i w:val="false"/>
          <w:color w:val="000000"/>
          <w:sz w:val="20"/>
        </w:rPr>
        <w:t xml:space="preserve"> Subject to Sections 6.02, 6.07 and 9.02, the Holders of at least a majority in Principal amount (or, if the Securities are Original Issue Discount Securities, such portion of the Principal as is then accelerable under Section 6.02) of the outstanding Securities of all series affected (voting as a single class), by notice to the Trustee, may waive an existing Default or Event of Default with respect to the Securities of such series and its consequences, except a Default in the payment of Principal of or interest on any Security as specified in clauses (a) or (b) of Section 6.01 or in respect of a covenant or provision of this Indenture which cannot be modified or amended without the consent of the Holder of each outstanding Security affected. Upon any such waiver, such Default shall cease to exist, and any Event of Default with respect to the Securities of such series arising therefrom shall be deemed to have been cured, for every purpose of this Indenture; but no such waiver shall extend to any subsequent or other Default or Event of Default or impair any right consequent thereto.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6.05 </w:t>
      </w:r>
      <w:r>
        <w:rPr>
          <w:rFonts w:ascii="Times New Roman" w:hAnsi="Times New Roman"/>
          <w:b w:val="false"/>
          <w:i/>
          <w:color w:val="000000"/>
          <w:sz w:val="20"/>
        </w:rPr>
        <w:t>Control by Majority.</w:t>
      </w:r>
      <w:r>
        <w:rPr>
          <w:rFonts w:ascii="Times New Roman" w:hAnsi="Times New Roman"/>
          <w:b w:val="false"/>
          <w:i w:val="false"/>
          <w:color w:val="000000"/>
          <w:sz w:val="20"/>
        </w:rPr>
        <w:t xml:space="preserve"> Subject to Sections 7.01 and 7.02(e), the Holders of at least a majority in aggregate Principal amount (or, if any Securities are Original Issue Discount Securities, such portion of the Principal as is then accelerable under Section 6.02) of the outstanding Securities of all series affected (voting as a single class) may direct the time, method and place of conducting any proceeding for any remedy available to the Trustee or exercising any trust or power conferred on the Trustee with respect to the Securities of such series by this Indenture; </w:t>
      </w:r>
      <w:r>
        <w:rPr>
          <w:rFonts w:ascii="Times New Roman" w:hAnsi="Times New Roman"/>
          <w:b w:val="false"/>
          <w:i/>
          <w:color w:val="000000"/>
          <w:sz w:val="20"/>
        </w:rPr>
        <w:t>provided</w:t>
      </w:r>
      <w:r>
        <w:rPr>
          <w:rFonts w:ascii="Times New Roman" w:hAnsi="Times New Roman"/>
          <w:b w:val="false"/>
          <w:i w:val="false"/>
          <w:color w:val="000000"/>
          <w:sz w:val="20"/>
        </w:rPr>
        <w:t>, that the Trustee may refuse to follow any direction that conflicts with law or this Indenture, that may involve the Trustee in personal liability or that the Trustee determines in good faith may be unduly prejudicial to the rights of Holders not joining in the giving of such direction; and provided further, that the Trustee may take any other action it deems proper that is not inconsistent with any directions received from Holders of Securities pursuant to this Section 6.05.</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6.06 </w:t>
      </w:r>
      <w:r>
        <w:rPr>
          <w:rFonts w:ascii="Times New Roman" w:hAnsi="Times New Roman"/>
          <w:b w:val="false"/>
          <w:i/>
          <w:color w:val="000000"/>
          <w:sz w:val="20"/>
        </w:rPr>
        <w:t>Limitation on Suits.</w:t>
      </w:r>
      <w:r>
        <w:rPr>
          <w:rFonts w:ascii="Times New Roman" w:hAnsi="Times New Roman"/>
          <w:b w:val="false"/>
          <w:i w:val="false"/>
          <w:color w:val="000000"/>
          <w:sz w:val="20"/>
        </w:rPr>
        <w:t xml:space="preserve"> No Holder of any Security of any series may institute any proceeding, judicial or otherwise, with respect to this Indenture or the Securities of such series, or for the appointment of a receiver or trustee, or for any other remedy hereunder, unless: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such Holder has previously given to the Trustee written notice of a continuing Event of Default with respect to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the Holders of at least 25% in aggregate Principal amount of outstanding Securities of all such series affected shall have made written request to the Trustee to institute proceedings in respect of such Event of Default in its own name as Trustee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such Holder or Holders have offered to the Trustee indemnity or security reasonably satisfactory to it against any costs, liabilities or expenses to be incurred in compliance with such request;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the Trustee for 60 days after its receipt of such notice, request and offer of indemnity has failed to institute any such proceeding;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 during such 60-day period, the Holders of a majority in aggregate Principal amount of the outstanding Securities of all such affected series have not given the Trustee a direction that is inconsistent with such written request.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Holder may not use this Indenture to prejudice the rights of another Holder or to obtain a preference or priority over such other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6.07 </w:t>
      </w:r>
      <w:r>
        <w:rPr>
          <w:rFonts w:ascii="Times New Roman" w:hAnsi="Times New Roman"/>
          <w:b w:val="false"/>
          <w:i/>
          <w:color w:val="000000"/>
          <w:sz w:val="20"/>
        </w:rPr>
        <w:t>Rights of Holders to Receive Payment.</w:t>
      </w:r>
      <w:r>
        <w:rPr>
          <w:rFonts w:ascii="Times New Roman" w:hAnsi="Times New Roman"/>
          <w:b w:val="false"/>
          <w:i w:val="false"/>
          <w:color w:val="000000"/>
          <w:sz w:val="20"/>
        </w:rPr>
        <w:t xml:space="preserve"> Notwithstanding any other provision of this Indenture, the right of any Holder of a Security to receive payment of Principal of or interest, if any, on such Holder’s Security on or after the respective due dates expressed on such Security, or to bring suit for the enforcement of any such payment on or after such respective dates, shall not be impaired or affected without the consent of such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6.08 </w:t>
      </w:r>
      <w:r>
        <w:rPr>
          <w:rFonts w:ascii="Times New Roman" w:hAnsi="Times New Roman"/>
          <w:b w:val="false"/>
          <w:i/>
          <w:color w:val="000000"/>
          <w:sz w:val="20"/>
        </w:rPr>
        <w:t>Collection Suit by Trustee.</w:t>
      </w:r>
      <w:r>
        <w:rPr>
          <w:rFonts w:ascii="Times New Roman" w:hAnsi="Times New Roman"/>
          <w:b w:val="false"/>
          <w:i w:val="false"/>
          <w:color w:val="000000"/>
          <w:sz w:val="20"/>
        </w:rPr>
        <w:t xml:space="preserve"> If an Event of Default with respect to the Securities of any series in payment of Principal or interest specified in clause (a) or (b) of Section 6.01 occurs and is continuing, the Trustee may recover judgment in its own name and as trustee of an express trust against the Company for the whole amount (or such portion thereof as specified in the terms established pursuant to Section 2.03 of Original Issue Discount Securities) of Principal of, and accrued interest remaining unpaid on, together with interest on overdue Principal of, and, to the extent that payment of such interest is lawful, interest on overdue installments of interest on, the Securities of such series, in each case at the rate or Yield to Maturity (in the case of Original Issue Discount Securities) specified in such Securities, and such further amount as shall be sufficient to cover all amounts owing the Trustee under Section 7.07.</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6.09 </w:t>
      </w:r>
      <w:r>
        <w:rPr>
          <w:rFonts w:ascii="Times New Roman" w:hAnsi="Times New Roman"/>
          <w:b w:val="false"/>
          <w:i/>
          <w:color w:val="000000"/>
          <w:sz w:val="20"/>
        </w:rPr>
        <w:t>Trustee May File Proofs of Claim.</w:t>
      </w:r>
      <w:r>
        <w:rPr>
          <w:rFonts w:ascii="Times New Roman" w:hAnsi="Times New Roman"/>
          <w:b w:val="false"/>
          <w:i w:val="false"/>
          <w:color w:val="000000"/>
          <w:sz w:val="20"/>
        </w:rPr>
        <w:t xml:space="preserve"> The Trustee may file such proofs of claim and other papers or documents as may be necessary or advisable in order to have the claims of the Trustee (including any claim for amounts due the Trustee under Section 7.07) and the Holders allowed in any judicial proceedings relative to the Company (or any other obligor on the Securities), its creditors or its property and shall be entitled and empowered to collect and receive any moneys, securities or other property payable or deliverable upon conversion or exchange of the Securities or upon any such claims and to distribute the same, and any custodian, receiver, assignee, trustee, liquidator, sequestrator or other similar official in any such judicial proceeding is hereby authorized by each Holder to make such payments to the Trustee and, in the event that the Trustee shall consent to the making of such payments directly to the Holders, to pay to the Trustee any amount due to it under Section 7.07. Nothing herein contained shall be deemed to empower the Trustee to authorize or consent to, or accept or adopt on behalf of any Holder, any plan of reorganization, arrangement, adjustment or composition affecting the Securities or the rights of any Holder thereof, or to authorize the Trustee to vote in respect of the claim of any Holder in any such proceeding.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6.10 </w:t>
      </w:r>
      <w:r>
        <w:rPr>
          <w:rFonts w:ascii="Times New Roman" w:hAnsi="Times New Roman"/>
          <w:b w:val="false"/>
          <w:i/>
          <w:color w:val="000000"/>
          <w:sz w:val="20"/>
        </w:rPr>
        <w:t>Application of Proceeds.</w:t>
      </w:r>
      <w:r>
        <w:rPr>
          <w:rFonts w:ascii="Times New Roman" w:hAnsi="Times New Roman"/>
          <w:b w:val="false"/>
          <w:i w:val="false"/>
          <w:color w:val="000000"/>
          <w:sz w:val="20"/>
        </w:rPr>
        <w:t xml:space="preserve"> Any moneys collected by the Trustee pursuant to this Article in respect of the Securities of any series shall be applied in the following order at the date or dates fixed by the Trustee and, in case of the distribution of such moneys on account of Principal or interest, upon presentation of the several Securities in respect of which moneys have been collected and noting thereon the payment, or issuing Securities of such series and tenor in reduced Principal amounts in exchange for the presented Securities of such series and tenor if only partially paid, or upon surrender thereof if fully paid: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FIRST: To the payment of all amounts due the Trustee under Section 7.07 applicable to the Securities of such series in respect of which moneys have been collected;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SECOND: In case the Principal of the Securities of such series in respect of which moneys have been collected shall not have become and be then due and payable, to the payment of interest on the Securities of such series in default in the order of the maturity of the installments of such interest, with interest (to the extent that such interest has been collected by the Trustee) upon the overdue installments of interest at the same rate as the rate of interest or Yield to Maturity (in the case of Original Issue Discount Securities) specified in such Securities, such payments to be made ratably to the persons entitled thereto, without discrimination or preference;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THIRD: In case the Principal of the Securities of such series in respect of which moneys have been collected shall have become and shall be then due and payable, to the payment of the whole amount then owing and unpaid upon all the Securities of such series for Principal and interest, with interest upon the overdue Principal, and (to the extent that such interest has been collected by the Trustee) upon overdue installments of interest at the same rate as the rate of interest or Yield to Maturity (in the case of Original Issue Discount Securities) specified in the Securities of such series; and in case such moneys shall be insufficient to pay in full the whole amount so due and unpaid upon the Securities of such series, then to the payment of such Principal and interest or Yield to Maturity, without preference or priority of Principal over interest or Yield to Maturity, or of interest or Yield to Maturity over Principal, or of any installment of interest over any other installment of interest, or of any Security of such series over any other Security of such series, ratably to the aggregate of such Principal and accrued and unpaid interest or Yield to Maturity;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FOURTH: To the payment of the remainder, if any, to the Company or any other person lawfully entitled thereto.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6.11 </w:t>
      </w:r>
      <w:r>
        <w:rPr>
          <w:rFonts w:ascii="Times New Roman" w:hAnsi="Times New Roman"/>
          <w:b w:val="false"/>
          <w:i/>
          <w:color w:val="000000"/>
          <w:sz w:val="20"/>
        </w:rPr>
        <w:t>Restoration of Rights and Remedies.</w:t>
      </w:r>
      <w:r>
        <w:rPr>
          <w:rFonts w:ascii="Times New Roman" w:hAnsi="Times New Roman"/>
          <w:b w:val="false"/>
          <w:i w:val="false"/>
          <w:color w:val="000000"/>
          <w:sz w:val="20"/>
        </w:rPr>
        <w:t xml:space="preserve"> If the Trustee or any Holder has instituted any proceeding to enforce any right or remedy under this Indenture and such proceeding has been discontinued or abandoned for any reason, or has been determined adversely to the Trustee or to such Holder, then, and in every such case, subject to any determination in such proceeding, the Company, the Trustee and the Holders shall be restored to their former positions hereunder and thereafter all rights and remedies of the Company, Trustee and the Holders shall continue as though no such proceeding had been instituted.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6.12 </w:t>
      </w:r>
      <w:r>
        <w:rPr>
          <w:rFonts w:ascii="Times New Roman" w:hAnsi="Times New Roman"/>
          <w:b w:val="false"/>
          <w:i/>
          <w:color w:val="000000"/>
          <w:sz w:val="20"/>
        </w:rPr>
        <w:t>Undertaking for Costs.</w:t>
      </w:r>
      <w:r>
        <w:rPr>
          <w:rFonts w:ascii="Times New Roman" w:hAnsi="Times New Roman"/>
          <w:b w:val="false"/>
          <w:i w:val="false"/>
          <w:color w:val="000000"/>
          <w:sz w:val="20"/>
        </w:rPr>
        <w:t xml:space="preserve"> In any suit for the enforcement of any right or remedy under this Indenture or in any suit against the Trustee for any action taken or omitted by it as Trustee, in either case in respect to the Securities of any series, a court may require any party litigant in such suit (other than the Trustee) to file an undertaking to pay the costs of the suit, and the court may assess reasonable costs, including reasonable attorneys’ fees, against any party litigant (other than the Trustee) in the suit having due regard to the merits and good faith of the claims or defenses made by the party litigant. This Section 6.12 does not apply to a suit by a Holder pursuant to Section 6.07, a suit instituted by the Trustee or a suit by Holders of more than 10% in Principal amount of the outstanding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6.13 </w:t>
      </w:r>
      <w:r>
        <w:rPr>
          <w:rFonts w:ascii="Times New Roman" w:hAnsi="Times New Roman"/>
          <w:b w:val="false"/>
          <w:i/>
          <w:color w:val="000000"/>
          <w:sz w:val="20"/>
        </w:rPr>
        <w:t>Rights and Remedies Cumulative.</w:t>
      </w:r>
      <w:r>
        <w:rPr>
          <w:rFonts w:ascii="Times New Roman" w:hAnsi="Times New Roman"/>
          <w:b w:val="false"/>
          <w:i w:val="false"/>
          <w:color w:val="000000"/>
          <w:sz w:val="20"/>
        </w:rPr>
        <w:t xml:space="preserve"> Except as otherwise provided with respect to the replacement or payment of mutilated, destroyed, lost or wrongfully taken Securities in Section 2.08, no right or remedy herein conferred upon or reserved to the Trustee or to the Holders is intended to be exclusive of any other right or remedy, and every right and remedy shall, to the extent permitted by law, be cumulative and in addition to every other right and remedy given hereunder or now or hereafter existing at law or in equity or otherwise. The assertion or employment of any right or remedy hereunder, or otherwise, shall not prevent the concurrent assertion or employment of any other appropriate right or remedy.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6.14 </w:t>
      </w:r>
      <w:r>
        <w:rPr>
          <w:rFonts w:ascii="Times New Roman" w:hAnsi="Times New Roman"/>
          <w:b w:val="false"/>
          <w:i/>
          <w:color w:val="000000"/>
          <w:sz w:val="20"/>
        </w:rPr>
        <w:t>Delay or Omission not Waiver.</w:t>
      </w:r>
      <w:r>
        <w:rPr>
          <w:rFonts w:ascii="Times New Roman" w:hAnsi="Times New Roman"/>
          <w:b w:val="false"/>
          <w:i w:val="false"/>
          <w:color w:val="000000"/>
          <w:sz w:val="20"/>
        </w:rPr>
        <w:t xml:space="preserve"> No delay or omission of the Trustee or of any Holder to exercise any right or remedy accruing upon any Event of Default shall impair any such right or remedy or constitute a waiver of any such Event of Default or an acquiescence therein. Every right and remedy given by this Article 6 or by law to the Trustee or to the Holders may be exercised from time to time, and as often as may be deemed expedient, by the Trustee or by the Holders, as the case may be.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7</w:t>
      </w:r>
      <w:r>
        <w:br/>
      </w:r>
      <w:r>
        <w:rPr>
          <w:rFonts w:ascii="Times New Roman" w:hAnsi="Times New Roman"/>
          <w:b w:val="false"/>
          <w:i w:val="false"/>
          <w:color w:val="000000"/>
          <w:sz w:val="20"/>
        </w:rPr>
        <w:t xml:space="preserve"> Trustee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7.01 </w:t>
      </w:r>
      <w:r>
        <w:rPr>
          <w:rFonts w:ascii="Times New Roman" w:hAnsi="Times New Roman"/>
          <w:b w:val="false"/>
          <w:i/>
          <w:color w:val="000000"/>
          <w:sz w:val="20"/>
        </w:rPr>
        <w:t>General.</w:t>
      </w:r>
      <w:r>
        <w:rPr>
          <w:rFonts w:ascii="Times New Roman" w:hAnsi="Times New Roman"/>
          <w:b w:val="false"/>
          <w:i w:val="false"/>
          <w:color w:val="000000"/>
          <w:sz w:val="20"/>
        </w:rPr>
        <w:t xml:space="preserve"> The duties and responsibilities of the Trustee shall be as provided by the Trust Indenture Act and as set forth herein. Notwithstanding the foregoing, no provision of this Indenture shall require the Trustee to expend or risk its own funds or otherwise incur any financial liability in the performance of any of its duties hereunder, or in the exercise of any of its rights or powers, unless it receives indemnity satisfactory to it against any loss, liability or expense. Whether or not therein expressly so provided, every provision of this Indenture relating to the conduct or affecting the liability of or affording protection to the Trustee shall be subject to the provisions of this Article 7.</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7.02 </w:t>
      </w:r>
      <w:r>
        <w:rPr>
          <w:rFonts w:ascii="Times New Roman" w:hAnsi="Times New Roman"/>
          <w:b w:val="false"/>
          <w:i/>
          <w:color w:val="000000"/>
          <w:sz w:val="20"/>
        </w:rPr>
        <w:t>Certain Rights of Trustee.</w:t>
      </w:r>
      <w:r>
        <w:rPr>
          <w:rFonts w:ascii="Times New Roman" w:hAnsi="Times New Roman"/>
          <w:b w:val="false"/>
          <w:i w:val="false"/>
          <w:color w:val="000000"/>
          <w:sz w:val="20"/>
        </w:rPr>
        <w:t xml:space="preserve"> Subject to Trust Indenture Act Sections 315(a) through (d):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the Trustee may rely and shall be protected in acting or refraining from acting upon any resolution, certificate, Officers’ Certificate, Opinion of Counsel (or both), statement, instrument, opinion, report, notice, request, direction, consent, order, bond, debenture, note, other evidence of indebtedness or other paper or document believed by it to be genuine and to have been signed or presented by the proper person or persons. The Trustee need not investigate any fact or matter stated in the document, but the Trustee, in its discretion, may make such further inquiry or investigation into such facts or matters as it may see fit;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before the Trustee acts or refrains from acting, it may require an Officers’ Certificate and/or an Opinion of Counsel, which shall conform to Section 10.04 and shall cover such other matters as the Trustee may reasonably request. The Trustee shall not be liable for any action it takes or omits to take in good faith in reliance on such certificate or opinion. Subject to Sections 7.01 and 7.02, whenever in the administration of the trusts of this Indenture the Trustee shall deem it necessary or desirable that a matter be proved or established prior to taking or suffering or omitting any action hereunder, such matter (unless other evidence in respect thereof be herein specifically prescribed) may, in the absence of negligence or bad faith on the part of the Trustee, be deemed to be conclusively proved and established by an Officers’ Certificate delivered to the Trustee, and such certificate, in the absence of negligence or bad faith on the part of the Trustee, shall be full warrant to the Trustee for any action taken, suffered or omitted by it under the provisions of this Indenture upon the faith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the Trustee may act through its attorneys and agents not regularly in its employ and shall not be responsible for the misconduct or negligence of any agent or attorney appointed with due care;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any request, direction, order or demand of the Company mentioned herein shall be sufficiently evidenced by an Officers’ Certificate (unless other evidence in respect thereof be herein specifically prescribed); and any Board Resolution may be evidenced to the Trustee by a copy thereof certified by the Secretary or an Assistant Secretary of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 the Trustee shall be under no obligation to exercise any of the rights or powers vested in it by this Indenture at the request, order or direction of any of the Holders, unless such Holders shall have offered to the Trustee security or indemnity reasonably satisfactory to it against any costs, expenses or liabilities that might be incurred by it in compliance with such request or direction;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 the Trustee shall not be liable for any action it takes or omits to take in good faith that it believes to be authorized or within its rights or powers or for any action it takes or omits to take in accordance with the direction of the Holders in accordance with Section 6.05 relating to the time, method and place of conducting any proceeding for any remedy available to the Trustee, or exercising any trust or power conferred upon the Trustee,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(g) the Trustee may consult with counsel and the written advice of such counsel or any Opinion of Counsel shall be full and complete authorization and protection in respect of any action taken, suffered or omitted by it hereunder in good faith and in reliance thereon;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(h) prior to the occurrence of an Event of Default hereunder and after the curing or waiving of all Events of Default, the Trustee shall not be bound to make any investigation into the facts or matters stated in any resolution, certificate, Officers’ Certificate, Opinion of Counsel, Board Resolution, statement, instrument, opinion, report, notice, request, consent, order, approval, appraisal, bond, debenture, note, coupon, security, or other paper or document unless requested in writing so to do by the Holders of not less than a majority in aggregate Principal amount of the Securities of all series affected then outstanding; provided that, if the payment within a reasonable time to the Trustee of the costs, expenses or liabilities likely to be incurred by it in the making of such investigation is, in the opinion of the Trustee, not reasonably assured to the Trustee by the security afforded to it by the terms of this Indenture, the Trustee may require reasonable indemnity against such expenses or liabilities as a condition to proceeding.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7.03 </w:t>
      </w:r>
      <w:r>
        <w:rPr>
          <w:rFonts w:ascii="Times New Roman" w:hAnsi="Times New Roman"/>
          <w:b w:val="false"/>
          <w:i/>
          <w:color w:val="000000"/>
          <w:sz w:val="20"/>
        </w:rPr>
        <w:t>Individual Rights of Trustee.</w:t>
      </w:r>
      <w:r>
        <w:rPr>
          <w:rFonts w:ascii="Times New Roman" w:hAnsi="Times New Roman"/>
          <w:b w:val="false"/>
          <w:i w:val="false"/>
          <w:color w:val="000000"/>
          <w:sz w:val="20"/>
        </w:rPr>
        <w:t xml:space="preserve"> The Trustee, in its individual or any other capacity, may become the owner or pledgee of Securities and may otherwise deal with the Company or its Affiliates with the same rights it would have if it were not the Trustee. Any Agent may do the same with like rights. However, the Trustee is subject to Trust Indenture Act Sections 310(b) and 311. For purposes of Trust Indenture Act Section 311(b)(4) and (6), the following terms shall mean: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w:t>
      </w:r>
      <w:r>
        <w:rPr>
          <w:rFonts w:ascii="Times New Roman" w:hAnsi="Times New Roman"/>
          <w:b/>
          <w:i w:val="false"/>
          <w:color w:val="000000"/>
          <w:sz w:val="20"/>
        </w:rPr>
        <w:t>cash transaction</w:t>
      </w:r>
      <w:r>
        <w:rPr>
          <w:rFonts w:ascii="Times New Roman" w:hAnsi="Times New Roman"/>
          <w:b w:val="false"/>
          <w:i w:val="false"/>
          <w:color w:val="000000"/>
          <w:sz w:val="20"/>
        </w:rPr>
        <w:t>” means any transaction in which full payment for goods or securities sold is made within seven days after delivery of the goods or securities in currency or in checks or other orders drawn upon banks or bankers and payable upon demand;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w:t>
      </w:r>
      <w:r>
        <w:rPr>
          <w:rFonts w:ascii="Times New Roman" w:hAnsi="Times New Roman"/>
          <w:b/>
          <w:i w:val="false"/>
          <w:color w:val="000000"/>
          <w:sz w:val="20"/>
        </w:rPr>
        <w:t>self-liquidating paper</w:t>
      </w:r>
      <w:r>
        <w:rPr>
          <w:rFonts w:ascii="Times New Roman" w:hAnsi="Times New Roman"/>
          <w:b w:val="false"/>
          <w:i w:val="false"/>
          <w:color w:val="000000"/>
          <w:sz w:val="20"/>
        </w:rPr>
        <w:t>” means any draft, bill of exchange, acceptance or obligation which is made, drawn, negotiated or incurred by the Company for the purpose of financing the purchase, processing, manufacturing, shipment, storage or sale of goods, wares or merchandise and which is secured by documents evidencing title to, possession of, or a lien upon, the goods, wares or merchandise or the receivables or proceeds arising from the sale of the goods, wares or merchandise previously constituting the security, provided the security is received by the Trustee simultaneously with the creation of the creditor relationship with the Company arising from the making, drawing, negotiating or incurring of the draft, bill of exchange, acceptance or obligation.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7.04 </w:t>
      </w:r>
      <w:r>
        <w:rPr>
          <w:rFonts w:ascii="Times New Roman" w:hAnsi="Times New Roman"/>
          <w:b w:val="false"/>
          <w:i/>
          <w:color w:val="000000"/>
          <w:sz w:val="20"/>
        </w:rPr>
        <w:t>Trustee’s Disclaimer.</w:t>
      </w:r>
      <w:r>
        <w:rPr>
          <w:rFonts w:ascii="Times New Roman" w:hAnsi="Times New Roman"/>
          <w:b w:val="false"/>
          <w:i w:val="false"/>
          <w:color w:val="000000"/>
          <w:sz w:val="20"/>
        </w:rPr>
        <w:t xml:space="preserve"> The recitals contained herein and in the Securities (except the Trustee’s certificate of authentication) shall be taken as statements of the Company and not of the Trustee and the Trustee assumes no responsibility for the correctness of the same. Neither the Trustee nor any of its agents (a) makes any representation as to the validity or adequacy of this Indenture or the Securities and (b) shall be accountable for the Company’s use or application of the proceeds from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7.05 </w:t>
      </w:r>
      <w:r>
        <w:rPr>
          <w:rFonts w:ascii="Times New Roman" w:hAnsi="Times New Roman"/>
          <w:b w:val="false"/>
          <w:i/>
          <w:color w:val="000000"/>
          <w:sz w:val="20"/>
        </w:rPr>
        <w:t>Notice of Default.</w:t>
      </w:r>
      <w:r>
        <w:rPr>
          <w:rFonts w:ascii="Times New Roman" w:hAnsi="Times New Roman"/>
          <w:b w:val="false"/>
          <w:i w:val="false"/>
          <w:color w:val="000000"/>
          <w:sz w:val="20"/>
        </w:rPr>
        <w:t xml:space="preserve"> If any Default with respect to the Securities of any series occurs and is continuing and if such Default is known to the actual knowledge of a Responsible Officer with the Corporate Trust Office of the Trustee, the Trustee shall give to each Holder of Securities of such series notice of such Default within 90 days after it occurs to all Holders of Securities of such series in the manner and to the extent provided in Section 313(a) of the Trust Indenture Act, unless such Default shall have been cured or waived before the mailing of such notice; </w:t>
      </w:r>
      <w:r>
        <w:rPr>
          <w:rFonts w:ascii="Times New Roman" w:hAnsi="Times New Roman"/>
          <w:b w:val="false"/>
          <w:i/>
          <w:color w:val="000000"/>
          <w:sz w:val="20"/>
        </w:rPr>
        <w:t>provided</w:t>
      </w:r>
      <w:r>
        <w:rPr>
          <w:rFonts w:ascii="Times New Roman" w:hAnsi="Times New Roman"/>
          <w:b w:val="false"/>
          <w:i w:val="false"/>
          <w:color w:val="000000"/>
          <w:sz w:val="20"/>
        </w:rPr>
        <w:t xml:space="preserve">, </w:t>
      </w:r>
      <w:r>
        <w:rPr>
          <w:rFonts w:ascii="Times New Roman" w:hAnsi="Times New Roman"/>
          <w:b w:val="false"/>
          <w:i/>
          <w:color w:val="000000"/>
          <w:sz w:val="20"/>
        </w:rPr>
        <w:t>however</w:t>
      </w:r>
      <w:r>
        <w:rPr>
          <w:rFonts w:ascii="Times New Roman" w:hAnsi="Times New Roman"/>
          <w:b w:val="false"/>
          <w:i w:val="false"/>
          <w:color w:val="000000"/>
          <w:sz w:val="20"/>
        </w:rPr>
        <w:t>, that, except in the case of a Default in the payment of the Principal of or interest on any Security, the Trustee shall be protected in withholding such notice if the Trustee in good faith determines that the withholding of such notice is in the interests of the Holders.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7.06 </w:t>
      </w:r>
      <w:r>
        <w:rPr>
          <w:rFonts w:ascii="Times New Roman" w:hAnsi="Times New Roman"/>
          <w:b w:val="false"/>
          <w:i/>
          <w:color w:val="000000"/>
          <w:sz w:val="20"/>
        </w:rPr>
        <w:t>Reports by Trustee to Holders.</w:t>
      </w:r>
      <w:r>
        <w:rPr>
          <w:rFonts w:ascii="Times New Roman" w:hAnsi="Times New Roman"/>
          <w:b w:val="false"/>
          <w:i w:val="false"/>
          <w:color w:val="000000"/>
          <w:sz w:val="20"/>
        </w:rPr>
        <w:t xml:space="preserve"> The Trustee shall transmit to Holders such reports concerning the Trustee and its actions under this Indenture as may be required pursuant to the Trust Indenture Act at the times and in the manner provided pursuant thereto. If required by Section 313(a) of the Trust Indenture Act, the Trustee shall, within 60 days after each May 15 following the date of this Indenture, deliver to Holders a brief report, dated as of such May 15, which complies with the provisions of such Section 313(a).</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copy of each such report shall, at the time of such transmission to Holders, be filed by the Trustee with each stock exchange upon which any Securities are listed, with the Commission and with the Company. The Company will promptly notify the Trustee when any Securities are listed on any stock exchange.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7.07 </w:t>
      </w:r>
      <w:r>
        <w:rPr>
          <w:rFonts w:ascii="Times New Roman" w:hAnsi="Times New Roman"/>
          <w:b w:val="false"/>
          <w:i/>
          <w:color w:val="000000"/>
          <w:sz w:val="20"/>
        </w:rPr>
        <w:t>Compensation and Indemnity.</w:t>
      </w:r>
      <w:r>
        <w:rPr>
          <w:rFonts w:ascii="Times New Roman" w:hAnsi="Times New Roman"/>
          <w:b w:val="false"/>
          <w:i w:val="false"/>
          <w:color w:val="000000"/>
          <w:sz w:val="20"/>
        </w:rPr>
        <w:t xml:space="preserve"> The Company shall pay to the Trustee such compensation as shall be agreed upon in writing from time to time for its services. The compensation of the Trustee shall not be limited by any law on compensation of a Trustee of an express trust. The Company shall reimburse the Trustee and any predecessor Trustee upon request for all reasonable out-of-pocket expenses, disbursements and advances incurred or made by the Trustee or such predecessor Trustee. Such expenses shall include the reasonable compensation and expenses of the Trustee’s or such predecessor Trustee’s agents, counsel and other persons not regularly in their employ.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shall indemnify the Trustee and any predecessor Trustee for, and hold them harmless against, any loss or liability or expense incurred by them without negligence or bad faith on their part arising out of or in connection with the acceptance or administration of this Indenture and the Securities or the issuance of the Securities or of series thereof or the trusts hereunder and the performance of duties under this Indenture and the Securities, including the costs and expenses of defending themselves against or investigating any claim or liability and of complying with any process served upon them or any of their officers in connection with the exercise or performance of any of their powers or duties under this Indenture and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To secure the Company’s payment obligations in this Section 7.07, the Trustee shall have a lien prior to the Securities on all money or property held or collected by the Trustee, in its capacity as Trustee, except money or property held in trust to pay Principal of, and interest on particular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obligations of the Company under this Section to compensate and indemnify the Trustee and each predecessor Trustee and to pay or reimburse the Trustee and each predecessor Trustee for expenses, disbursements and advances shall constitute additional indebtedness hereunder and shall survive the satisfaction and discharge of this Indenture or the rejection or termination of this Indenture under bankruptcy law. Such additional indebtedness shall be a senior claim to that of the Securities upon all property and funds held or collected by the Trustee as such, except funds held in trust for the benefit of the Holders of particular Securities, and the Securities are hereby subordinated to such senior claim. Without prejudice to any other rights available to the Trustee under applicable law, if the Trustee renders services and incurs expenses following an Event of Default under Section 6.01(d) or Section 6.01(e) hereof, the parties hereto and the holders by their acceptance of the Securities hereby agree that such expenses are intended to constitute expenses of administration under any bankruptcy law.</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7.08 </w:t>
      </w:r>
      <w:r>
        <w:rPr>
          <w:rFonts w:ascii="Times New Roman" w:hAnsi="Times New Roman"/>
          <w:b w:val="false"/>
          <w:i/>
          <w:color w:val="000000"/>
          <w:sz w:val="20"/>
        </w:rPr>
        <w:t>Replacement of Trustee.</w:t>
      </w:r>
      <w:r>
        <w:rPr>
          <w:rFonts w:ascii="Times New Roman" w:hAnsi="Times New Roman"/>
          <w:b w:val="false"/>
          <w:i w:val="false"/>
          <w:color w:val="000000"/>
          <w:sz w:val="20"/>
        </w:rPr>
        <w:t xml:space="preserve"> A resignation or removal of the Trustee as Trustee with respect to the Securities of any series and appointment of a successor Trustee as Trustee with respect to the Securities of any series shall become effective only upon the successor Trustee’s acceptance of appointment as provided in this Section 7.08.</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may resign as Trustee with respect to the Securities of any series at any time by so notifying the Company in writing. The Holders of a majority in Principal amount of the outstanding Securities of any series may remove the Trustee as Trustee with respect to the Securities of such series by so notifying the Trustee in writing and may appoint a successor Trustee with respect thereto with the consent of the Company. The Company may remove the Trustee as Trustee with respect to the Securities of any series if: (i) the Trustee is no longer eligible under Section 7.11 of this Indenture; (ii) the Trustee is adjudged a bankrupt or insolvent; (iii) a receiver or other public officer takes charge of the Trustee or its property; or (iv) the Trustee becomes incapable of acting.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 Trustee resigns or is removed as Trustee with respect to the Securities of any series, or if a vacancy exists in the office of Trustee with respect to the Securities of any series for any reason, the Company shall promptly appoint a successor Trustee with respect thereto. Within one year after the successor Trustee takes office, the Holders of a majority in Principal amount of the outstanding Securities of such series may appoint a successor Trustee in respect of such Securities to replace the successor Trustee appointed by the Company. If the successor Trustee with respect to the Securities of any series does not deliver its written acceptance required by Section 7.09 within 30 days after the retiring Trustee resigns or is removed, the retiring Trustee, the Company or the Holders of a majority in Principal amount of the outstanding Securities of such series may petition any court of competent jurisdiction for the appointment of a successor Trustee with respect thereto.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shall give notice of any resignation and any removal of the Trustee with respect to the Securities of any series and each appointment of a successor Trustee in respect of the Securities of such series to all Holders of Securities of such series. Each notice shall include the name of the successor Trustee and the address of its Corporate Trust Office.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replacement of the Trustee with respect to the Securities of any series pursuant to this Section 7.08 and Section 7.09, the Company’s obligations under Section 7.07 shall continue for the benefit of the retiring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7.09 </w:t>
      </w:r>
      <w:r>
        <w:rPr>
          <w:rFonts w:ascii="Times New Roman" w:hAnsi="Times New Roman"/>
          <w:b w:val="false"/>
          <w:i/>
          <w:color w:val="000000"/>
          <w:sz w:val="20"/>
        </w:rPr>
        <w:t>Acceptance of Appointment by Successor.</w:t>
      </w:r>
      <w:r>
        <w:rPr>
          <w:rFonts w:ascii="Times New Roman" w:hAnsi="Times New Roman"/>
          <w:b w:val="false"/>
          <w:i w:val="false"/>
          <w:color w:val="000000"/>
          <w:sz w:val="20"/>
        </w:rPr>
        <w:t xml:space="preserve"> In case of the appointment hereunder of a successor Trustee with respect to all Securities, every such successor Trustee so appointed shall execute, acknowledge and deliver to the Company and to the retiring Trustee an instrument accepting such appointment, and thereupon the resignation or removal of the retiring Trustee shall become effective and such successor Trustee, without any further act, deed or conveyance, shall become vested with all the rights, powers, trusts and duties of the retiring Trustee; but, on the request of the Company or the successor Trustee, such retiring Trustee shall, upon payment of its charges and subject to the lien provided for in Section 7.07, execute and deliver an instrument transferring to such successor Trustee all the rights, powers and trusts of the retiring Trustee and shall duly assign, transfer and deliver to such successor Trustee all property and money held by such retiring Trustee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case of the appointment hereunder of a successor Trustee with respect to the Securities of one or more (but not all) series, the Company, the retiring Trustee and each successor Trustee with respect to the Securities of one or more series shall execute and deliver an indenture supplemental hereto wherein each successor Trustee shall accept such appointment and which (1) shall contain such provisions as shall be necessary or desirable to transfer and confirm to, and to vest in, each successor Trustee all the rights, powers, trusts and duties of the retiring Trustee with respect to the Securities of that or those series to which the appointment of such successor Trustee relates, (2) if the retiring Trustee is not retiring with respect to all Securities, shall contain such provisions as shall be deemed necessary or desirable to confirm that all the rights, powers, trusts and duties of the retiring Trustee with respect to the Securities of that or those series as to which the retiring Trustee is not retiring shall continue to be vested in the retiring Trustee, and (3) shall add to or change any of the provisions of this Indenture as shall be necessary to provide for or facilitate the administration of the trusts hereunder by more than one Trustee, it being understood that nothing herein or in such supplemental indenture shall constitute such Trustees co-trustees of the same trust and that each such Trustee shall be trustee of a trust or trusts hereunder separate and apart from any trust or trusts hereunder administered by any other such Trustee; and upon the execution and delivery of such supplemental indenture the resignation or removal of the retiring Trustee shall become effective to the extent provided therein and each such successor Trustee, without any further act, deed or conveyance, shall become vested with all the rights, powers, trusts and duties of the retiring Trustee with respect to the Securities of that or those series to which the appointment of such successor Trustee relates; but, on request of the Company or any successor Trustee, such retiring Trustee shall duly assign, transfer and deliver to such successor Trustee all property and money held by such retiring Trustee hereunder with respect to the Securities of that or those series to which the appointment of such successor Trustee relates.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request of any such successor Trustee, the Company shall execute any and all instruments for more fully and certainly vesting in and confirming to such successor Trustee all such rights, powers and trusts referred to in the first or second preceding paragraph, as the case may be.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 successor Trustee shall accept its appointment unless at the time of such acceptance such successor Trustee shall be eligible under this Article and qualified under Section 310(b) of the Trust Indenture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7.10 </w:t>
      </w:r>
      <w:r>
        <w:rPr>
          <w:rFonts w:ascii="Times New Roman" w:hAnsi="Times New Roman"/>
          <w:b w:val="false"/>
          <w:i/>
          <w:color w:val="000000"/>
          <w:sz w:val="20"/>
        </w:rPr>
        <w:t>Successor Trustee By Merger, Etc.</w:t>
      </w:r>
      <w:r>
        <w:rPr>
          <w:rFonts w:ascii="Times New Roman" w:hAnsi="Times New Roman"/>
          <w:b w:val="false"/>
          <w:i w:val="false"/>
          <w:color w:val="000000"/>
          <w:sz w:val="20"/>
        </w:rPr>
        <w:t xml:space="preserve"> If the Trustee consolidates with, merges or converts into, or transfers all or substantially all of its corporate trust business to, another corporation or national banking association, the resulting, surviving or transferee corporation or national banking association without any further act shall be the successor Trustee with the same effect as if the successor Trustee had been named as the Trustee herein.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7.11 </w:t>
      </w:r>
      <w:r>
        <w:rPr>
          <w:rFonts w:ascii="Times New Roman" w:hAnsi="Times New Roman"/>
          <w:b w:val="false"/>
          <w:i/>
          <w:color w:val="000000"/>
          <w:sz w:val="20"/>
        </w:rPr>
        <w:t>Eligibility.</w:t>
      </w:r>
      <w:r>
        <w:rPr>
          <w:rFonts w:ascii="Times New Roman" w:hAnsi="Times New Roman"/>
          <w:b w:val="false"/>
          <w:i w:val="false"/>
          <w:color w:val="000000"/>
          <w:sz w:val="20"/>
        </w:rPr>
        <w:t xml:space="preserve"> This Indenture shall always have a Trustee who satisfies the requirements of Trust Indenture Act Section 310(a). The Trustee shall have a combined capital and surplus of at least $25,000,000 as set forth in its most recent published annual report of condition.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7.12 </w:t>
      </w:r>
      <w:r>
        <w:rPr>
          <w:rFonts w:ascii="Times New Roman" w:hAnsi="Times New Roman"/>
          <w:b w:val="false"/>
          <w:i/>
          <w:color w:val="000000"/>
          <w:sz w:val="20"/>
        </w:rPr>
        <w:t>Money Held in Trust.</w:t>
      </w:r>
      <w:r>
        <w:rPr>
          <w:rFonts w:ascii="Times New Roman" w:hAnsi="Times New Roman"/>
          <w:b w:val="false"/>
          <w:i w:val="false"/>
          <w:color w:val="000000"/>
          <w:sz w:val="20"/>
        </w:rPr>
        <w:t xml:space="preserve"> The Trustee shall not be liable for interest on any money received by it except as the Trustee may agree in writing with the Company. Money held in trust by the Trustee need not be segregated from other funds except to the extent required by law and except for money held in trust under Article 8 of this Indenture.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8</w:t>
      </w:r>
      <w:r>
        <w:br/>
      </w:r>
      <w:r>
        <w:rPr>
          <w:rFonts w:ascii="Times New Roman" w:hAnsi="Times New Roman"/>
          <w:b w:val="false"/>
          <w:i w:val="false"/>
          <w:color w:val="000000"/>
          <w:sz w:val="20"/>
        </w:rPr>
        <w:t xml:space="preserve"> Satisfaction and Discharge of Indenture; Unclaimed Moneys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8.01 </w:t>
      </w:r>
      <w:r>
        <w:rPr>
          <w:rFonts w:ascii="Times New Roman" w:hAnsi="Times New Roman"/>
          <w:b w:val="false"/>
          <w:i/>
          <w:color w:val="000000"/>
          <w:sz w:val="20"/>
        </w:rPr>
        <w:t>Satisfaction and Discharge of Indenture.</w:t>
      </w:r>
      <w:r>
        <w:rPr>
          <w:rFonts w:ascii="Times New Roman" w:hAnsi="Times New Roman"/>
          <w:b w:val="false"/>
          <w:i w:val="false"/>
          <w:color w:val="000000"/>
          <w:sz w:val="20"/>
        </w:rPr>
        <w:t xml:space="preserve"> If at any time (a) (i) all Securities of any series issued that have been authenticated and delivered have been delivered by the Company to the Trustee for cancellation (other than Securities of such series which have been destroyed, lost or stolen and which have been replaced or paid as provided in Section 2.08); or (ii) all the Securities of any series issued that have not been delivered by the Company to the Trustee for cancellation shall have become due and payable, or are by their terms to become due and payable within one year or are to be called for redemption within one year under arrangements satisfactory to the Trustee for the giving of notice of redemption by such Trustee in the Company’s name and at the Company’s expense, the Company shall have irrevocably deposited or caused to be deposited with the Trustee as trust funds the entire amount in cash (other than moneys repaid by the Trustee or any paying agent to the Company in accordance with Section 8.04) or U.S. Government Obligations, maturing as to principal and interest in such amounts and at such times as will insure (without consideration of the reinvestment of such interest) the availability of cash, or a combination thereof, sufficient to pay at maturity or upon redemption all Securities of such series (other than any Securities of such series which shall have been destroyed, lost or stolen and which shall have been replaced or paid as provided in Section 2.08) not theretofore delivered to the Trustee for cancellation, including Principal and interest due or to become due on or prior to such date of maturity or redemption as the case may be; (b) the Company has paid or caused to be paid all other sums then due and payable under this Indenture; and (c) the Company has delivered to the Trustee an Officers’ Certificate and an Opinion of Counsel, each stating that all conditions precedent under this Indenture relating to the satisfaction and discharge of this Indenture pursuant to this Section 8.01 have been complied with, then this Indenture shall cease to be of further effect with respect to Securities of such series (except as to (i) rights of registration of transfer and exchange of securities of such series, and the Company’s right of optional redemption, if any, (ii) substitution of mutilated, defaced, destroyed, lost or stolen Securities, (iii) rights of holders to receive payments of Principal thereof and interest thereon, upon the original stated due dates therefor (but not upon acceleration) and remaining rights of the holders to receive mandatory sinking fund payments, if any, (iv) the rights, obligations and immunities of the Trustee hereunder and (v) the rights of the Securityholders of such series as beneficiaries hereof with respect to the property so deposited with the Trustee payable to all or any of them), and the Trustee, on demand of the Company accompanied by an Officers’ Certificate and an Opinion of Counsel and at the cost and expense of the Company, shall execute proper instruments acknowledging such satisfaction of and discharging this Indenture with respect to such series; provided that the rights of Holders of the Securities to receive amounts in respect of Principal of and interest on the Securities held by them shall not be delayed longer than required by then-applicable mandatory rules or policies of any securities exchange upon which the Securities are listed. The Company agrees to reimburse the Trustee for any costs or expenses thereafter reasonably and properly incurred and to compensate the Trustee for any services thereafter reasonably and properly rendered by the Trustee in connection with this Indenture or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8.02 </w:t>
      </w:r>
      <w:r>
        <w:rPr>
          <w:rFonts w:ascii="Times New Roman" w:hAnsi="Times New Roman"/>
          <w:b w:val="false"/>
          <w:i/>
          <w:color w:val="000000"/>
          <w:sz w:val="20"/>
        </w:rPr>
        <w:t>Application by Trustee of Funds Deposited for Payment of Securities.</w:t>
      </w:r>
      <w:r>
        <w:rPr>
          <w:rFonts w:ascii="Times New Roman" w:hAnsi="Times New Roman"/>
          <w:b w:val="false"/>
          <w:i w:val="false"/>
          <w:color w:val="000000"/>
          <w:sz w:val="20"/>
        </w:rPr>
        <w:t xml:space="preserve"> Subject to Section 8.04, all moneys (including U.S. Government Obligations and the proceeds thereof) deposited with the Trustee pursuant to Section 8.01, Section 8.05 or Section 8.06 shall be held in trust and applied by it to the payment, either directly or through any paying agent to the Holders of the particular Securities of such series for the payment or redemption of which such moneys have been deposited with the Trustee, of all sums due and to become due thereon for Principal and interest; but such money need not be segregated from other funds except to the extent required by law.</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8.03 </w:t>
      </w:r>
      <w:r>
        <w:rPr>
          <w:rFonts w:ascii="Times New Roman" w:hAnsi="Times New Roman"/>
          <w:b w:val="false"/>
          <w:i/>
          <w:color w:val="000000"/>
          <w:sz w:val="20"/>
        </w:rPr>
        <w:t>Repayment of Moneys Held by Paying Agent.</w:t>
      </w:r>
      <w:r>
        <w:rPr>
          <w:rFonts w:ascii="Times New Roman" w:hAnsi="Times New Roman"/>
          <w:b w:val="false"/>
          <w:i w:val="false"/>
          <w:color w:val="000000"/>
          <w:sz w:val="20"/>
        </w:rPr>
        <w:t xml:space="preserve"> In connection with the satisfaction and discharge of this Indenture with respect to Securities of any series, all moneys then held by any paying agent under the provisions of this Indenture with respect to such series of Securities shall, upon demand of the Company, be repaid to it or paid to the Trustee and thereupon such paying agent shall be released from all further liability with respect to such moneys.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8.04 </w:t>
      </w:r>
      <w:r>
        <w:rPr>
          <w:rFonts w:ascii="Times New Roman" w:hAnsi="Times New Roman"/>
          <w:b w:val="false"/>
          <w:i/>
          <w:color w:val="000000"/>
          <w:sz w:val="20"/>
        </w:rPr>
        <w:t>Return of Moneys Held by Trustee and Paying Agent Unclaimed for Two Years.</w:t>
      </w:r>
      <w:r>
        <w:rPr>
          <w:rFonts w:ascii="Times New Roman" w:hAnsi="Times New Roman"/>
          <w:b w:val="false"/>
          <w:i w:val="false"/>
          <w:color w:val="000000"/>
          <w:sz w:val="20"/>
        </w:rPr>
        <w:t xml:space="preserve"> Any moneys deposited with or paid to the Trustee or any paying agent for the payment of the Principal of or interest on any Security of any series and not applied but remaining unclaimed for two years after the date upon which such Principal or interest shall have become due and payable, shall, upon the written request of the Company and unless otherwise required by mandatory provisions of applicable escheat or abandoned or unclaimed property law, be repaid to the Company by the Trustee for such series or such paying agent, and the Holder of the Security of such series shall, unless otherwise required by mandatory provisions of applicable escheat or abandoned or unclaimed property laws, thereafter look only to the Company for any payment which such Holder may be entitled to collect, and all liability of the Trustee or any paying agent with respect to such moneys shall thereupon cease.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8.05 </w:t>
      </w:r>
      <w:r>
        <w:rPr>
          <w:rFonts w:ascii="Times New Roman" w:hAnsi="Times New Roman"/>
          <w:b w:val="false"/>
          <w:i/>
          <w:color w:val="000000"/>
          <w:sz w:val="20"/>
        </w:rPr>
        <w:t>Defeasance and Discharge of Indenture.</w:t>
      </w:r>
      <w:r>
        <w:rPr>
          <w:rFonts w:ascii="Times New Roman" w:hAnsi="Times New Roman"/>
          <w:b w:val="false"/>
          <w:i w:val="false"/>
          <w:color w:val="000000"/>
          <w:sz w:val="20"/>
        </w:rPr>
        <w:t xml:space="preserve"> The Company shall be deemed to have paid and shall be discharged from any and all obligations in respect of the Securities of any series, after the deposit referred to in clause (i) hereof has been made, and the provisions of this Indenture shall no longer be in effect with respect to the Securities of such series (and the Trustee, at the expense of the Company, shall execute proper instruments acknowledging the same), except as to: (a) rights of Holders of the Securities of such series to receive payments of Principal thereof, premium thereto, and interest thereon, upon the original stated due dates therefor, (b) the Company’s obligations with respect to the issuance of temporary Securities and the registration of transfer with respect to the Securities of such series, the Company’s right of optional redemption, substitution of mutilated, defaced, destroyed, lost or stolen Securities of such series and the maintenance of an office or agency for payment for security payments held in trust pursuant to clause (i) hereof, (c) the rights, obligations and immunities of the Trustee hereunder, and (d) the defeasance provisions contained in Article 8 of this Indenture; provided that the following conditions shall have been satisfied: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 with reference to this Section 8.05 the Company irrevocably has deposited or caused to be deposited with the Trustee (or another qualifying trustee satisfying the requirements of Section 7.11) as trust funds in trust, for the purposes of making the following payments, specifically pledged as security for, and dedicated solely to, the benefit of the Holders of the Securities of such series, (A) money in an amount, (B) U.S. Government Obligations which through the payment of interest and principal in respect thereof in accordance with their terms will provide not later than one day before the due date of any payment referred to in subclause (x) or (y) of this clause (i), or (C) a combination thereof, in each case sufficient, in the written opinion of a nationally recognized firm of independent public accountants expressed in a written certification thereof delivered to the Trustee, to pay and discharge, without consideration of reinvestment and after payment of all federal, state and local taxes or other charges and assessments in respect thereof, and which shall be applied by the Trustee to pay and discharge (x) all of the Principal of, premium, if any, and each installment of interest on the outstanding Securities of such series on the maturity or due dates thereof or if the Company has made irrevocable arrangements satisfactory to the Trustee for the giving of notice of redemption by the Trustee, the redemption date, as the case may be, and (y) any mandatory sinking fund payments or analogous payments applicable to the Securities of such series on the day on which such payments are due and payable in accordance with the terms of Securities of such series and the Indenture with respect to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(ii) the Company has delivered to the Trustee an Opinion of Counsel to the effect that, under then applicable U.S. federal income tax law, Holders of Securities of such series will not recognize gain or loss for U.S. federal income tax purposes as a result of the Company’s exercise of its option under this Section 8.05 and will be subject to U.S. federal income tax on the same amount and in the same manner and at the same times as would have been the case if such deposit, defeasance and discharge had not occurred;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(iii) no Default under either clause (d) or clause (e) of Section 6.01 shall have occurred and be continuing at such time;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(iv) if at such time the Securities of such series are listed on a national securities exchange, the Company has delivered to the Trustee an Opinion of Counsel to the effect that the Securities of such series will not be delisted as a result of such deposit, defeasance and discharge;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(v) the Company shall have delivered to the Trustee an Officers’ Certificate and an Opinion of Counsel, each stating that all conditions precedent to the defeasance and discharge under this Section 8.05 have been complied with;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(vi) if the Securities of such series are to be redeemed prior to the final maturity thereof (other than from mandatory sinking fund payments or analogous payments), notice of such redemption shall have been duly given pursuant to this Indenture or provision therefor satisfactory to the Trustee shall have been made.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8.06 </w:t>
      </w:r>
      <w:r>
        <w:rPr>
          <w:rFonts w:ascii="Times New Roman" w:hAnsi="Times New Roman"/>
          <w:b w:val="false"/>
          <w:i/>
          <w:color w:val="000000"/>
          <w:sz w:val="20"/>
        </w:rPr>
        <w:t>Defeasance of Certain Obligations.</w:t>
      </w:r>
      <w:r>
        <w:rPr>
          <w:rFonts w:ascii="Times New Roman" w:hAnsi="Times New Roman"/>
          <w:b w:val="false"/>
          <w:i w:val="false"/>
          <w:color w:val="000000"/>
          <w:sz w:val="20"/>
        </w:rPr>
        <w:t xml:space="preserve"> The Company may omit to comply with any term, provision or condition set forth in, and this Indenture will no longer be in effect with respect to, any covenant established pursuant to Section 2.03(s) and clause (c) and clause (f) (with respect to any covenants established pursuant to Section 2.03(s)) of Section 6.01 shall be deemed not to constitute a Default or an Event of Default with respect to Securities of any series, if: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with reference to this Section 8.06, the Company has irrevocably deposited or caused to be deposited with the Trustee (or another qualifying trustee satisfying the requirements of Section 7.11) as trust funds in trust, for the purposes of making the following payments, specifically pledged as security for, and dedicated solely to, the benefits of the Holders of the Securities of such series, (i) money in an amount, (ii) U.S. Government Obligations which through the payment of interest and principal in respect thereof in accordance with their terms will provide not later than one day before the due date of any payment referred to in subclause (x) or (y) of this clause (a), or (iii) a combination thereof, in each case sufficient, in the written opinion of a nationally recognized firm of independent public accountants expressed in a written certification thereof delivered to the Trustee, to pay and discharge, without consideration of reinvestment and after payment of all federal, state and local taxes or other charges and assessments in respect thereof, and which shall be applied by the Trustee to pay and discharge (x) all of the Principal of, premium, if any, and each installment of interest on the outstanding Securities of such series on the maturity or due dates thereof or if the Company has made irrevocable arrangements satisfactory to the Trustee for the giving of notice of redemption by the Trustee, the redemption date, as the case may be, and (y) any mandatory sinking fund payments or analogous payments applicable to the Securities of such series on the day on which such payments are due and payable in accordance with the terms of the Securities of such series and the Indenture with respect to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the Company has delivered to the Trustee an Opinion of Counsel to the effect that Holders of Securities of such series will not recognize gain or loss for U.S. federal income tax purposes as a result of the Company’s exercise of its option under this Section 8.06 and will be subject to U.S. federal income tax on the same amount and in the same manner and at the same times as would have been the case if such deposit and defeasance had not occurred;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no Default with respect to the outstanding Securities of such series shall have occurred and be continuing at the time of such deposit immediately after giving effect to such deposit;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if at such time the Securities of such series are listed on a national securities exchange, the Company has delivered to the Trustee an Opinion of Counsel to the effect that the Securities of such series will not be delisted as a result of such deposit, defeasance and discharge;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 the Company shall have delivered to the Trustee an Officers’ Certificate and an Opinion of Counsel, each stating that all conditions precedent to the defeasance under this Section have been complied with;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 if the Securities of such series are to be redeemed prior to the final maturity thereof (other than from mandatory sinking fund payments or analogous payments), notice of such redemption shall have been duly given pursuant to this Indenture or provision therefor satisfactory to the Trustee shall have been made.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8.07 </w:t>
      </w:r>
      <w:r>
        <w:rPr>
          <w:rFonts w:ascii="Times New Roman" w:hAnsi="Times New Roman"/>
          <w:b w:val="false"/>
          <w:i/>
          <w:color w:val="000000"/>
          <w:sz w:val="20"/>
        </w:rPr>
        <w:t>Reinstatement.</w:t>
      </w:r>
      <w:r>
        <w:rPr>
          <w:rFonts w:ascii="Times New Roman" w:hAnsi="Times New Roman"/>
          <w:b w:val="false"/>
          <w:i w:val="false"/>
          <w:color w:val="000000"/>
          <w:sz w:val="20"/>
        </w:rPr>
        <w:t xml:space="preserve"> If the Trustee or paying agent is unable to apply any monies or U.S. Government Obligations in accordance with Article 8 by reason of any legal proceeding or by reason of any order or judgment of any court or governmental authority enjoining, restraining or otherwise prohibiting such application, the Company’s obligations under this Indenture and the Securities shall be revived and reinstated as though no deposit had occurred pursuant to this Article until such time as the Trustee or paying agent is permitted to apply all such monies or U.S. Government Obligations in accordance with Article 8; </w:t>
      </w:r>
      <w:r>
        <w:rPr>
          <w:rFonts w:ascii="Times New Roman" w:hAnsi="Times New Roman"/>
          <w:b w:val="false"/>
          <w:i/>
          <w:color w:val="000000"/>
          <w:sz w:val="20"/>
        </w:rPr>
        <w:t>provided</w:t>
      </w:r>
      <w:r>
        <w:rPr>
          <w:rFonts w:ascii="Times New Roman" w:hAnsi="Times New Roman"/>
          <w:b w:val="false"/>
          <w:i w:val="false"/>
          <w:color w:val="000000"/>
          <w:sz w:val="20"/>
        </w:rPr>
        <w:t xml:space="preserve">, </w:t>
      </w:r>
      <w:r>
        <w:rPr>
          <w:rFonts w:ascii="Times New Roman" w:hAnsi="Times New Roman"/>
          <w:b w:val="false"/>
          <w:i/>
          <w:color w:val="000000"/>
          <w:sz w:val="20"/>
        </w:rPr>
        <w:t>however</w:t>
      </w:r>
      <w:r>
        <w:rPr>
          <w:rFonts w:ascii="Times New Roman" w:hAnsi="Times New Roman"/>
          <w:b w:val="false"/>
          <w:i w:val="false"/>
          <w:color w:val="000000"/>
          <w:sz w:val="20"/>
        </w:rPr>
        <w:t>, that if the Company has made any payment of Principal of or interest on any Securities because of the reinstatement of its obligations, the Company shall be subrogated to the rights of the Holders of such Securities to receive such payment from the monies or U.S. Government Obligations held by the Trustee or paying agent.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8.08 </w:t>
      </w:r>
      <w:r>
        <w:rPr>
          <w:rFonts w:ascii="Times New Roman" w:hAnsi="Times New Roman"/>
          <w:b w:val="false"/>
          <w:i/>
          <w:color w:val="000000"/>
          <w:sz w:val="20"/>
        </w:rPr>
        <w:t>Indemnity.</w:t>
      </w:r>
      <w:r>
        <w:rPr>
          <w:rFonts w:ascii="Times New Roman" w:hAnsi="Times New Roman"/>
          <w:b w:val="false"/>
          <w:i w:val="false"/>
          <w:color w:val="000000"/>
          <w:sz w:val="20"/>
        </w:rPr>
        <w:t xml:space="preserve"> The Company shall pay and indemnify the Trustee (or other qualifying trustee, collectively for purposes of this Section 8.08 and Section 8.02, the “</w:t>
      </w:r>
      <w:r>
        <w:rPr>
          <w:rFonts w:ascii="Times New Roman" w:hAnsi="Times New Roman"/>
          <w:b/>
          <w:i w:val="false"/>
          <w:color w:val="000000"/>
          <w:sz w:val="20"/>
        </w:rPr>
        <w:t>Trustee</w:t>
      </w:r>
      <w:r>
        <w:rPr>
          <w:rFonts w:ascii="Times New Roman" w:hAnsi="Times New Roman"/>
          <w:b w:val="false"/>
          <w:i w:val="false"/>
          <w:color w:val="000000"/>
          <w:sz w:val="20"/>
        </w:rPr>
        <w:t>”) against any tax, fee or other charge, imposed on or assessed against the U.S. Government Obligations deposited pursuant to Section 8.01, 8.05 or 8.06 or the principal or interest received in respect thereof other than any such tax, fee or other charge which by law is for the account of the Holders of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8.09 </w:t>
      </w:r>
      <w:r>
        <w:rPr>
          <w:rFonts w:ascii="Times New Roman" w:hAnsi="Times New Roman"/>
          <w:b w:val="false"/>
          <w:i/>
          <w:color w:val="000000"/>
          <w:sz w:val="20"/>
        </w:rPr>
        <w:t>Excess Funds.</w:t>
      </w:r>
      <w:r>
        <w:rPr>
          <w:rFonts w:ascii="Times New Roman" w:hAnsi="Times New Roman"/>
          <w:b w:val="false"/>
          <w:i w:val="false"/>
          <w:color w:val="000000"/>
          <w:sz w:val="20"/>
        </w:rPr>
        <w:t xml:space="preserve"> Anything in this Article 8 to the contrary notwithstanding, the Trustee shall deliver or pay to the Company from time to time upon request of the Company, any money or U.S. Government Obligations (or other property and any proceeds therefrom) held by it as provided in Section 8.01, 8.05 or 8.06 which, in the opinion of a nationally recognized firm of independent public accountants expressed in a written certification thereof delivered to the Trustee, are in excess of the amount thereof which would then be required to be deposited to effect a discharge or defeasance, as applicable, in accordance with this Article 8.</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8.10 </w:t>
      </w:r>
      <w:r>
        <w:rPr>
          <w:rFonts w:ascii="Times New Roman" w:hAnsi="Times New Roman"/>
          <w:b w:val="false"/>
          <w:i/>
          <w:color w:val="000000"/>
          <w:sz w:val="20"/>
        </w:rPr>
        <w:t>Qualifying Trustee.</w:t>
      </w:r>
      <w:r>
        <w:rPr>
          <w:rFonts w:ascii="Times New Roman" w:hAnsi="Times New Roman"/>
          <w:b w:val="false"/>
          <w:i w:val="false"/>
          <w:color w:val="000000"/>
          <w:sz w:val="20"/>
        </w:rPr>
        <w:t xml:space="preserve"> Any trustee appointed pursuant to Section 8.05 or 8.06 for the purpose of holding money or U.S. Government Obligations deposited pursuant to such Sections shall be appointed under an agreement in form acceptable to the Trustee and shall provide to the Trustee a certificate, upon which certificate the Trustee shall be entitled to conclusively rely, that all conditions precedent provided for herein to the related defeasance have been complied with. In no event shall the Trustee be liable for any acts or omissions of said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9</w:t>
      </w:r>
      <w:r>
        <w:br/>
      </w:r>
      <w:r>
        <w:rPr>
          <w:rFonts w:ascii="Times New Roman" w:hAnsi="Times New Roman"/>
          <w:b w:val="false"/>
          <w:i w:val="false"/>
          <w:color w:val="000000"/>
          <w:sz w:val="20"/>
        </w:rPr>
        <w:t xml:space="preserve"> Amendments, Supplements and Waivers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9.01 </w:t>
      </w:r>
      <w:r>
        <w:rPr>
          <w:rFonts w:ascii="Times New Roman" w:hAnsi="Times New Roman"/>
          <w:b w:val="false"/>
          <w:i/>
          <w:color w:val="000000"/>
          <w:sz w:val="20"/>
        </w:rPr>
        <w:t>Without Consent of Holders.</w:t>
      </w:r>
      <w:r>
        <w:rPr>
          <w:rFonts w:ascii="Times New Roman" w:hAnsi="Times New Roman"/>
          <w:b w:val="false"/>
          <w:i w:val="false"/>
          <w:color w:val="000000"/>
          <w:sz w:val="20"/>
        </w:rPr>
        <w:t xml:space="preserve"> The Company and the Trustee may amend or supplement this Indenture or the Securities of any series without notice to or the consent of any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to cure any ambiguity, defect or inconsistency in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to comply with Article 5;</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to maintain the qualification of this Indenture under the Trust Indenture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to evidence and provide for the acceptance of appointment hereunder with respect to the Securities of any or all series by a successor Trustee and to add to or change any of the provisions of this Indenture as shall be necessary to provide for or facilitate the administration of the trusts hereunder by more than one Trustee, pursuant to the requirements of Section 7.09;</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 to establish the form or forms or terms of Securities of any series as permitted by Section 2.03;</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 to provide for uncertificated Securities and to make all appropriate changes for such purpose;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(g) to conform any provision to the applicable corresponding provision set forth in the offering document for the offering of such series of Securities;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(h) to make any change that does not materially and adversely affect the rights of any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9.02 </w:t>
      </w:r>
      <w:r>
        <w:rPr>
          <w:rFonts w:ascii="Times New Roman" w:hAnsi="Times New Roman"/>
          <w:b w:val="false"/>
          <w:i/>
          <w:color w:val="000000"/>
          <w:sz w:val="20"/>
        </w:rPr>
        <w:t>With Consent of Holders.</w:t>
      </w:r>
      <w:r>
        <w:rPr>
          <w:rFonts w:ascii="Times New Roman" w:hAnsi="Times New Roman"/>
          <w:b w:val="false"/>
          <w:i w:val="false"/>
          <w:color w:val="000000"/>
          <w:sz w:val="20"/>
        </w:rPr>
        <w:t xml:space="preserve"> Subject to Sections 6.04 and 6.07, without prior notice to any Holders, the Company and the Trustee may amend this Indenture and the Securities of any series with the written consent of the Holders of a majority in Principal amount of the outstanding Securities of each series affected by such amendment (all such series voting together as a single class), and the Holders of a majority in Principal amount of the outstanding Securities of each series affected thereby (all such series voting together as a single class) by written notice to the Trustee may waive future compliance by the Company with any provision of this Indenture or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the provisions of this Section 9.02, without the consent of each Holder affected thereby, an amendment or waiver, including a waiver pursuant to Section 6.04, may not: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change the stated maturity of the Principal of, or any sinking fund obligation or any installment of interest on, such Holder’s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reduce the Principal amount thereof or the rate of interest thereon (including any amount in respect of original issue discount);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reduce the above stated percentage of outstanding Securities the consent of whose holders is necessary to modify or amend the Indenture with respect to the Securities of the relevant series;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reduce the percentage in Principal amount of outstanding Securities of the relevant series the consent of whose Holders is required for any supplemental indenture or for any waiver of compliance with certain provisions of this Indenture or certain Defaults and their consequences provided for in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supplemental indenture which changes or eliminates any covenant or other provision of this Indenture which has expressly been included solely for the benefit of one or more particular series of Securities, or which modifies the rights of Holders of Securities of such series with respect to such covenant or provision, shall be deemed not to affect the rights under this Indenture of the Holders of Securities of any other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It shall not be necessary for the consent of any Holder under this Section 9.02 to approve the particular form of any proposed amendment, supplement or waiver, but it shall be sufficient if such consent approves the substance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After an amendment, supplement or waiver under this Section 9.02 becomes effective, the Company shall give to the Holders affected thereby a notice briefly describing the amendment, supplement or waiver. The Company will mail supplemental indentures to Holders upon request. Any failure of the Company to mail such notice, or any defect therein, shall not, however, in any way impair or affect the validity of any such supplemental indenture or waiver.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9.03 </w:t>
      </w:r>
      <w:r>
        <w:rPr>
          <w:rFonts w:ascii="Times New Roman" w:hAnsi="Times New Roman"/>
          <w:b w:val="false"/>
          <w:i/>
          <w:color w:val="000000"/>
          <w:sz w:val="20"/>
        </w:rPr>
        <w:t>Revocation and Effect of Consent.</w:t>
      </w:r>
      <w:r>
        <w:rPr>
          <w:rFonts w:ascii="Times New Roman" w:hAnsi="Times New Roman"/>
          <w:b w:val="false"/>
          <w:i w:val="false"/>
          <w:color w:val="000000"/>
          <w:sz w:val="20"/>
        </w:rPr>
        <w:t xml:space="preserve"> Until an amendment or waiver becomes effective, a consent to it by a Holder is a continuing consent by the Holder and every subsequent Holder of a Security or portion of a Security that evidences the same debt as the Security of the consenting Holder, even if notation of the consent is not made on any Security. However, any such Holder or subsequent Holder may revoke the consent as to its Security or portion of its Security. Such revocation shall be effective only if the Trustee receives the notice of revocation before the date the amendment, supplement or waiver becomes effective. An amendment, supplement or waiver shall become effective with respect to any Securities affected thereby on receipt by the Trustee of written consents from the requisite Holders of outstanding Securities affected thereby.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may, but shall not be obligated to, fix a record date (which may be not less than five nor more than 60 days prior to the solicitation of consents) for the purpose of determining the Holders of the Securities of any series affected entitled to consent to any amendment, supplement or waiver. If a record date is fixed, then, notwithstanding the immediately preceding paragraph, those Persons who were such Holders at such record date (or their duly designated proxies) and only those Persons shall be entitled to consent to such amendment, supplement or waiver or to revoke any consent previously given, whether or not such Persons continue to be such Holders after such record date. No such consent shall be valid or effective for more than 90 days after such record date.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After an amendment, supplement or waiver becomes effective with respect to the Securities of any series affected thereby, it shall bind every Holder of such Securities unless it is of the type described in any of clauses (a) through (d) of Section 9.02. In case of an amendment or waiver of the type described in clauses (a) through (d) of Section 9.02, the amendment or waiver shall bind each such Holder who has consented to it and every subsequent Holder of a Security that evidences the same indebtedness as the Security of the consenting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9.04 </w:t>
      </w:r>
      <w:r>
        <w:rPr>
          <w:rFonts w:ascii="Times New Roman" w:hAnsi="Times New Roman"/>
          <w:b w:val="false"/>
          <w:i/>
          <w:color w:val="000000"/>
          <w:sz w:val="20"/>
        </w:rPr>
        <w:t>Notation on or Exchange of Securities.</w:t>
      </w:r>
      <w:r>
        <w:rPr>
          <w:rFonts w:ascii="Times New Roman" w:hAnsi="Times New Roman"/>
          <w:b w:val="false"/>
          <w:i w:val="false"/>
          <w:color w:val="000000"/>
          <w:sz w:val="20"/>
        </w:rPr>
        <w:t xml:space="preserve"> If an amendment, supplement or waiver changes the terms of any Security, the Trustee may require the Holder thereof to deliver it to the Trustee. The Trustee may place an appropriate notation on the Security about the changed terms and return it to the Holder and the Trustee may place an appropriate notation on any Security of such series thereafter authenticated. Alternatively, if the Company or the Trustee so determines, the Company in exchange for the Security shall issue and the Trustee shall authenticate a new Security of the same series and tenor that reflects the changed terms.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9.05 </w:t>
      </w:r>
      <w:r>
        <w:rPr>
          <w:rFonts w:ascii="Times New Roman" w:hAnsi="Times New Roman"/>
          <w:b w:val="false"/>
          <w:i/>
          <w:color w:val="000000"/>
          <w:sz w:val="20"/>
        </w:rPr>
        <w:t>Trustee to Sign Amendments, Etc.</w:t>
      </w:r>
      <w:r>
        <w:rPr>
          <w:rFonts w:ascii="Times New Roman" w:hAnsi="Times New Roman"/>
          <w:b w:val="false"/>
          <w:i w:val="false"/>
          <w:color w:val="000000"/>
          <w:sz w:val="20"/>
        </w:rPr>
        <w:t xml:space="preserve"> The Trustee shall be entitled to receive, and shall be fully protected in relying upon, an Opinion of Counsel stating that the execution of any amendment, supplement or waiver authorized pursuant to this Article 9 is authorized or permitted by this Indenture, stating that all requisite consents have been obtained or that no consents are required and stating that such supplemental indenture constitutes the legal, valid and binding obligation of the Company, enforceable against the Company in accordance with its terms, subject to customary exceptions. The Trustee may, but shall not be obligated to, execute any such amendment, supplement or waiver that affects the Trustee’s own rights, duties or immunities under this Indenture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9.06 </w:t>
      </w:r>
      <w:r>
        <w:rPr>
          <w:rFonts w:ascii="Times New Roman" w:hAnsi="Times New Roman"/>
          <w:b w:val="false"/>
          <w:i/>
          <w:color w:val="000000"/>
          <w:sz w:val="20"/>
        </w:rPr>
        <w:t>Conformity with Trust Indenture Act.</w:t>
      </w:r>
      <w:r>
        <w:rPr>
          <w:rFonts w:ascii="Times New Roman" w:hAnsi="Times New Roman"/>
          <w:b w:val="false"/>
          <w:i w:val="false"/>
          <w:color w:val="000000"/>
          <w:sz w:val="20"/>
        </w:rPr>
        <w:t xml:space="preserve"> Every supplemental indenture executed pursuant to this Article 9 shall conform to the requirements of the Trust Indenture Act as then in effect.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10</w:t>
      </w:r>
      <w:r>
        <w:br/>
      </w:r>
      <w:r>
        <w:rPr>
          <w:rFonts w:ascii="Times New Roman" w:hAnsi="Times New Roman"/>
          <w:b w:val="false"/>
          <w:i w:val="false"/>
          <w:color w:val="000000"/>
          <w:sz w:val="20"/>
        </w:rPr>
        <w:t xml:space="preserve"> Miscellaneous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10.01 </w:t>
      </w:r>
      <w:r>
        <w:rPr>
          <w:rFonts w:ascii="Times New Roman" w:hAnsi="Times New Roman"/>
          <w:b w:val="false"/>
          <w:i/>
          <w:color w:val="000000"/>
          <w:sz w:val="20"/>
        </w:rPr>
        <w:t>Trust Indenture Act of 1939.</w:t>
      </w:r>
      <w:r>
        <w:rPr>
          <w:rFonts w:ascii="Times New Roman" w:hAnsi="Times New Roman"/>
          <w:b w:val="false"/>
          <w:i w:val="false"/>
          <w:color w:val="000000"/>
          <w:sz w:val="20"/>
        </w:rPr>
        <w:t xml:space="preserve"> This Indenture shall incorporate and be governed by the provisions of the Trust Indenture Act that are required to be part of and to govern indentures qualified under the Trust Indenture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10.02 </w:t>
      </w:r>
      <w:r>
        <w:rPr>
          <w:rFonts w:ascii="Times New Roman" w:hAnsi="Times New Roman"/>
          <w:b w:val="false"/>
          <w:i/>
          <w:color w:val="000000"/>
          <w:sz w:val="20"/>
        </w:rPr>
        <w:t>Notices.</w:t>
      </w:r>
      <w:r>
        <w:rPr>
          <w:rFonts w:ascii="Times New Roman" w:hAnsi="Times New Roman"/>
          <w:b w:val="false"/>
          <w:i w:val="false"/>
          <w:color w:val="000000"/>
          <w:sz w:val="20"/>
        </w:rPr>
        <w:t xml:space="preserve"> Any notice or communication shall be sufficiently given if written and (a) if delivered in person, when received, (b) if mailed by first class mail, five days after mailing, or (c) as between the Company and the Trustee if delivered electronically, when delivery is confirmed, in each case addressed as follows: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819"/>
        <w:gridCol w:w="545"/>
        <w:gridCol w:w="12270"/>
      </w:tblGrid>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if to the Company:</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InflaRx N.V.</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Winzerlaer Str. 2</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07745 Jena, Germany</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Email: [●]</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Attention: Chief Financial Officer</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819"/>
        <w:gridCol w:w="545"/>
        <w:gridCol w:w="12270"/>
      </w:tblGrid>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if to the Trustee:</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Email: [●]</w:t>
            </w:r>
          </w:p>
        </w:tc>
      </w:tr>
      <w:tr>
        <w:trPr>
          <w:trHeight w:val="210" w:hRule="atLeast"/>
        </w:trPr>
        <w:tc>
          <w:tcPr>
            <w:tcW w:w="81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4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27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Attention: [●]</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or the Trustee by written notice to the other may designate additional or different addresses for subsequent notices or communications.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Any notice or communication shall be sufficiently given to Holders by mailing to such Holders at their addresses as they shall appear on the Security Register. Notice mailed shall be sufficiently given if so mailed within the time prescribed. Copies of any such communication or notice to a Holder shall also be mailed to the Trustee and each Agent at the same time.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Failure to mail a notice or communication to a Holder or any defect in it shall not affect its sufficiency with respect to other Holders. Except as otherwise provided in this Indenture, if a notice or communication is mailed in the manner provided in this Section 10.02, it is duly given, whether or not the addressee receives it.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Where this Indenture provides for notice in any manner, such notice may be waived in writing by the Person entitled to receive such notice, either before or after the event, and such waiver shall be the equivalent of such notice. Waivers of notice by Holders shall be filed with the Trustee, but such filing shall not be a condition precedent to the validity of any action taken in reliance upon such waiver.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case it shall be impracticable to give notice as herein contemplated, then such notification as shall be made with the approval of the Trustee shall constitute a sufficient notification for every purpose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10.03 </w:t>
      </w:r>
      <w:r>
        <w:rPr>
          <w:rFonts w:ascii="Times New Roman" w:hAnsi="Times New Roman"/>
          <w:b w:val="false"/>
          <w:i/>
          <w:color w:val="000000"/>
          <w:sz w:val="20"/>
        </w:rPr>
        <w:t>Certificate and Opinion as to Conditions Precedent.</w:t>
      </w:r>
      <w:r>
        <w:rPr>
          <w:rFonts w:ascii="Times New Roman" w:hAnsi="Times New Roman"/>
          <w:b w:val="false"/>
          <w:i w:val="false"/>
          <w:color w:val="000000"/>
          <w:sz w:val="20"/>
        </w:rPr>
        <w:t xml:space="preserve"> Upon any request or application by the Company to the Trustee to take any action under this Indenture, the Company shall furnish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an Officers’ Certificate stating that, in the opinion of the signers, all conditions precedent, if any, provided for in this Indenture relating to the proposed action have been complied with;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an Opinion of Counsel stating that, in the opinion of such counsel, all such conditions precedent have been complied with.</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10.04 </w:t>
      </w:r>
      <w:r>
        <w:rPr>
          <w:rFonts w:ascii="Times New Roman" w:hAnsi="Times New Roman"/>
          <w:b w:val="false"/>
          <w:i/>
          <w:color w:val="000000"/>
          <w:sz w:val="20"/>
        </w:rPr>
        <w:t>Statements Required in Certificate or Opinion.</w:t>
      </w:r>
      <w:r>
        <w:rPr>
          <w:rFonts w:ascii="Times New Roman" w:hAnsi="Times New Roman"/>
          <w:b w:val="false"/>
          <w:i w:val="false"/>
          <w:color w:val="000000"/>
          <w:sz w:val="20"/>
        </w:rPr>
        <w:t xml:space="preserve"> Each certificate or opinion with respect to compliance with a condition or covenant provided for in this Indenture (other than the certificate required by Section 4.04) shall include: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a statement that each person signing such certificate or opinion has read such covenant or condition and the definitions herein relating thereto;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 a brief statement as to the nature and scope of the examination or investigation upon which the statement or opinion contained in such certificate or opinion is based;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 a statement that, in the opinion of each such person, he has made such examination or investigation as is necessary to enable him to express an informed opinion as to whether or not such covenant or condition has been complied with;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(d) a statement as to whether or not, in the opinion of each such person, such condition or covenant has been complied with; </w:t>
      </w:r>
      <w:r>
        <w:rPr>
          <w:rFonts w:ascii="Times New Roman" w:hAnsi="Times New Roman"/>
          <w:b w:val="false"/>
          <w:i/>
          <w:color w:val="000000"/>
          <w:sz w:val="20"/>
        </w:rPr>
        <w:t>provided</w:t>
      </w:r>
      <w:r>
        <w:rPr>
          <w:rFonts w:ascii="Times New Roman" w:hAnsi="Times New Roman"/>
          <w:b w:val="false"/>
          <w:i w:val="false"/>
          <w:color w:val="000000"/>
          <w:sz w:val="20"/>
        </w:rPr>
        <w:t>, however, that, with respect to matters of fact, an Opinion of Counsel may rely on an Officers’ Certificate or certificates of public officials.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10.05 </w:t>
      </w:r>
      <w:r>
        <w:rPr>
          <w:rFonts w:ascii="Times New Roman" w:hAnsi="Times New Roman"/>
          <w:b w:val="false"/>
          <w:i/>
          <w:color w:val="000000"/>
          <w:sz w:val="20"/>
        </w:rPr>
        <w:t>Evidence of Ownership.</w:t>
      </w:r>
      <w:r>
        <w:rPr>
          <w:rFonts w:ascii="Times New Roman" w:hAnsi="Times New Roman"/>
          <w:b w:val="false"/>
          <w:i w:val="false"/>
          <w:color w:val="000000"/>
          <w:sz w:val="20"/>
        </w:rPr>
        <w:t xml:space="preserve"> The Company, the Trustee and any agent of the Company or the Trustee may deem and treat the person in whose name any Security shall be registered upon the Security Register for such series as the absolute owner of such Security (whether or not such Security shall be overdue and notwithstanding any notation of ownership or other writing thereon) for the purpose of receiving payment of or on account of the Principal of and, subject to the provisions of this Indenture, interest on such Security and for all other purposes; and neither the Company nor the Trustee nor any agent of the Company or the Trustee shall be affected by any notice to the contrary.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10.06 </w:t>
      </w:r>
      <w:r>
        <w:rPr>
          <w:rFonts w:ascii="Times New Roman" w:hAnsi="Times New Roman"/>
          <w:b w:val="false"/>
          <w:i/>
          <w:color w:val="000000"/>
          <w:sz w:val="20"/>
        </w:rPr>
        <w:t>Rules by Trustee, Paying Agent or Registrar.</w:t>
      </w:r>
      <w:r>
        <w:rPr>
          <w:rFonts w:ascii="Times New Roman" w:hAnsi="Times New Roman"/>
          <w:b w:val="false"/>
          <w:i w:val="false"/>
          <w:color w:val="000000"/>
          <w:sz w:val="20"/>
        </w:rPr>
        <w:t xml:space="preserve"> The Trustee may make reasonable rules for action by or at a meeting of Holders. The Paying Agent or Registrar may make reasonable rules for its functions.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10.07 </w:t>
      </w:r>
      <w:r>
        <w:rPr>
          <w:rFonts w:ascii="Times New Roman" w:hAnsi="Times New Roman"/>
          <w:b w:val="false"/>
          <w:i/>
          <w:color w:val="000000"/>
          <w:sz w:val="20"/>
        </w:rPr>
        <w:t>Payment Date Other Than a Business Day.</w:t>
      </w:r>
      <w:r>
        <w:rPr>
          <w:rFonts w:ascii="Times New Roman" w:hAnsi="Times New Roman"/>
          <w:b w:val="false"/>
          <w:i w:val="false"/>
          <w:color w:val="000000"/>
          <w:sz w:val="20"/>
        </w:rPr>
        <w:t xml:space="preserve"> Except as otherwise provided with respect to a series of Securities, if any date for payment of Principal or interest on any Security shall not be a Business Day at any place of payment, then payment of Principal of or interest on such Security, as the case may be, need not be made on such date, but may be made on the next succeeding Business Day at any place of payment with the same force and effect as if made on such date and no interest shall accrue in respect of such payment for the period from and after such date.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10.08 </w:t>
      </w:r>
      <w:r>
        <w:rPr>
          <w:rFonts w:ascii="Times New Roman" w:hAnsi="Times New Roman"/>
          <w:b w:val="false"/>
          <w:i/>
          <w:color w:val="000000"/>
          <w:sz w:val="20"/>
        </w:rPr>
        <w:t>Governing Law.</w:t>
      </w:r>
      <w:r>
        <w:rPr>
          <w:rFonts w:ascii="Times New Roman" w:hAnsi="Times New Roman"/>
          <w:b w:val="false"/>
          <w:i w:val="false"/>
          <w:color w:val="000000"/>
          <w:sz w:val="20"/>
        </w:rPr>
        <w:t xml:space="preserve"> The laws of the State of New York shall govern this Indenture and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10.09 </w:t>
      </w:r>
      <w:r>
        <w:rPr>
          <w:rFonts w:ascii="Times New Roman" w:hAnsi="Times New Roman"/>
          <w:b w:val="false"/>
          <w:i/>
          <w:color w:val="000000"/>
          <w:sz w:val="20"/>
        </w:rPr>
        <w:t>No Adverse Interpretation of Other Agreements.</w:t>
      </w:r>
      <w:r>
        <w:rPr>
          <w:rFonts w:ascii="Times New Roman" w:hAnsi="Times New Roman"/>
          <w:b w:val="false"/>
          <w:i w:val="false"/>
          <w:color w:val="000000"/>
          <w:sz w:val="20"/>
        </w:rPr>
        <w:t xml:space="preserve"> This Indenture may not be used to interpret another indenture or loan or debt agreement of the Company or any Subsidiary of the Company. Any such indenture or agreement may not be used to interpret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10.10 </w:t>
      </w:r>
      <w:r>
        <w:rPr>
          <w:rFonts w:ascii="Times New Roman" w:hAnsi="Times New Roman"/>
          <w:b w:val="false"/>
          <w:i/>
          <w:color w:val="000000"/>
          <w:sz w:val="20"/>
        </w:rPr>
        <w:t>Successors.</w:t>
      </w:r>
      <w:r>
        <w:rPr>
          <w:rFonts w:ascii="Times New Roman" w:hAnsi="Times New Roman"/>
          <w:b w:val="false"/>
          <w:i w:val="false"/>
          <w:color w:val="000000"/>
          <w:sz w:val="20"/>
        </w:rPr>
        <w:t xml:space="preserve"> All agreements of the Company in this Indenture and the Securities shall bind its successors. All agreements of the Trustee in this Indenture shall bind its successors.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10.11 </w:t>
      </w:r>
      <w:r>
        <w:rPr>
          <w:rFonts w:ascii="Times New Roman" w:hAnsi="Times New Roman"/>
          <w:b w:val="false"/>
          <w:i/>
          <w:color w:val="000000"/>
          <w:sz w:val="20"/>
        </w:rPr>
        <w:t>Counterparts; Electronic Signatures</w:t>
      </w:r>
      <w:r>
        <w:rPr>
          <w:rFonts w:ascii="Times New Roman" w:hAnsi="Times New Roman"/>
          <w:b w:val="false"/>
          <w:i w:val="false"/>
          <w:color w:val="000000"/>
          <w:sz w:val="20"/>
        </w:rPr>
        <w:t>. This Indenture constitutes the entire agreement of the parties and supersedes all prior written or oral and all contemporaneous oral agreements, understandings and negotiations with respect to the subject matter hereof. This Indenture may be executed in two or more counterparts, each one of which shall be an original, with the same effect as if the signatures thereto and hereto were upon the same instrument. Delivery of an executed counterpart of a signature page of this Indenture by electronic transmission (e.g., a “pdf” or “tif”) will be effective as delivery of a manually executed counterpart hereof. The use of electronic signatures and electronic records complying with shall be of the same legal effect, validity and enforceability as a manually executed signature or use of a paper-based record-keeping system to the fullest extent permitted by applicable law, including the Federal Electronic Signatures in Global and National Commerce Act, the New York Electronic Signature and Records Act and any other applicable law. Each of the parties represents and warrants to the other parties that it has the corporate capacity and authority to execute this Indenture through electronic means and there are no restrictions for doing so in that party’s constitutive documents.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10.12 </w:t>
      </w:r>
      <w:r>
        <w:rPr>
          <w:rFonts w:ascii="Times New Roman" w:hAnsi="Times New Roman"/>
          <w:b w:val="false"/>
          <w:i/>
          <w:color w:val="000000"/>
          <w:sz w:val="20"/>
        </w:rPr>
        <w:t>Separability.</w:t>
      </w:r>
      <w:r>
        <w:rPr>
          <w:rFonts w:ascii="Times New Roman" w:hAnsi="Times New Roman"/>
          <w:b w:val="false"/>
          <w:i w:val="false"/>
          <w:color w:val="000000"/>
          <w:sz w:val="20"/>
        </w:rPr>
        <w:t xml:space="preserve"> In case any provision in this Indenture or in the Securities shall be invalid, illegal or unenforceable, the validity, legality and enforceability of the remaining provisions shall not in any way be affected or impaired thereby.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10.13 </w:t>
      </w:r>
      <w:r>
        <w:rPr>
          <w:rFonts w:ascii="Times New Roman" w:hAnsi="Times New Roman"/>
          <w:b w:val="false"/>
          <w:i/>
          <w:color w:val="000000"/>
          <w:sz w:val="20"/>
        </w:rPr>
        <w:t>Table of Contents, Headings, Etc.</w:t>
      </w:r>
      <w:r>
        <w:rPr>
          <w:rFonts w:ascii="Times New Roman" w:hAnsi="Times New Roman"/>
          <w:b w:val="false"/>
          <w:i w:val="false"/>
          <w:color w:val="000000"/>
          <w:sz w:val="20"/>
        </w:rPr>
        <w:t xml:space="preserve"> The Table of Contents and headings of the Articles and Sections of this Indenture have been inserted for convenience of reference only, are not to be considered a part hereof and shall in no way modify or restrict any of the terms and provisions 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10.14 </w:t>
      </w:r>
      <w:r>
        <w:rPr>
          <w:rFonts w:ascii="Times New Roman" w:hAnsi="Times New Roman"/>
          <w:b w:val="false"/>
          <w:i/>
          <w:color w:val="000000"/>
          <w:sz w:val="20"/>
        </w:rPr>
        <w:t>Incorporators, Stockholders, Officers and Directors of Company Exempt from Individual Liability.</w:t>
      </w:r>
      <w:r>
        <w:rPr>
          <w:rFonts w:ascii="Times New Roman" w:hAnsi="Times New Roman"/>
          <w:b w:val="false"/>
          <w:i w:val="false"/>
          <w:color w:val="000000"/>
          <w:sz w:val="20"/>
        </w:rPr>
        <w:t xml:space="preserve"> No recourse under or upon any obligation, covenant or agreement contained in this Indenture or any indenture supplemental hereto, or in any Security, or because of any indebtedness evidenced thereby, shall be had against any incorporator, as such or against any past, present or future stockholder, officer, director or employee, as such, of the Company or of any successor, either directly or through the Company or any successor, under any rule of law, statute or constitutional provision or by the enforcement of any assessment or by any legal or equitable proceeding or otherwise, all such liability being expressly waived and released by the acceptance of the Securities by the holders thereof and as part of the consideration for the issue of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10.15 </w:t>
      </w:r>
      <w:r>
        <w:rPr>
          <w:rFonts w:ascii="Times New Roman" w:hAnsi="Times New Roman"/>
          <w:b w:val="false"/>
          <w:i/>
          <w:color w:val="000000"/>
          <w:sz w:val="20"/>
        </w:rPr>
        <w:t>Judgment Currency.</w:t>
      </w:r>
      <w:r>
        <w:rPr>
          <w:rFonts w:ascii="Times New Roman" w:hAnsi="Times New Roman"/>
          <w:b w:val="false"/>
          <w:i w:val="false"/>
          <w:color w:val="000000"/>
          <w:sz w:val="20"/>
        </w:rPr>
        <w:t xml:space="preserve"> The Company agrees, to the fullest extent that it may effectively do so under applicable law, that (a) if for the purpose of obtaining judgment in any court it is necessary to convert the sum due in respect of the Principal of or interest on the Securities of any series (the “</w:t>
      </w:r>
      <w:r>
        <w:rPr>
          <w:rFonts w:ascii="Times New Roman" w:hAnsi="Times New Roman"/>
          <w:b/>
          <w:i w:val="false"/>
          <w:color w:val="000000"/>
          <w:sz w:val="20"/>
        </w:rPr>
        <w:t>Required Currency</w:t>
      </w:r>
      <w:r>
        <w:rPr>
          <w:rFonts w:ascii="Times New Roman" w:hAnsi="Times New Roman"/>
          <w:b w:val="false"/>
          <w:i w:val="false"/>
          <w:color w:val="000000"/>
          <w:sz w:val="20"/>
        </w:rPr>
        <w:t>”) into a currency in which a judgment will be rendered (the “Judgment Currency”), the rate of exchange used shall be the rate at which in accordance with normal banking procedures the Trustee could purchase in The City of New York the Required Currency with the Judgment Currency on the day on which final unappealable judgment is entered, unless such day is not a Business Day, then, to the extent permitted by applicable law, the rate of exchange used shall be the rate at which in accordance with normal banking procedures the Trustee could purchase in The City of New York the Required Currency with the Judgment Currency on the Business Day preceding the day on which final unappealable judgment is entered and (b) its obligations under this Indenture to make payments in the Required Currency (i) shall not be discharged or satisfied by any tender, or any recovery pursuant to any judgment (whether or not entered in accordance with subsection (a)), in any currency other than the Required Currency, except to the extent that such tender or recovery shall result in the actual receipt, by the payee, of the full amount of the Required Currency expressed to be payable in respect of such payments, (ii) shall be enforceable as an alternative or additional cause of action for the purpose of recovering in the Required Currency the amount, if any, by which such actual receipt shall fall short of the full amount of the Required Currency so expressed to be payable and (iii) shall not be affected by judgment being obtained for any other sum due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10.16 </w:t>
      </w:r>
      <w:r>
        <w:rPr>
          <w:rFonts w:ascii="Times New Roman" w:hAnsi="Times New Roman"/>
          <w:b w:val="false"/>
          <w:i/>
          <w:color w:val="000000"/>
          <w:sz w:val="20"/>
        </w:rPr>
        <w:t>Waiver of Jury Trial.</w:t>
      </w:r>
      <w:r>
        <w:rPr>
          <w:rFonts w:ascii="Times New Roman" w:hAnsi="Times New Roman"/>
          <w:b w:val="false"/>
          <w:i w:val="false"/>
          <w:color w:val="000000"/>
          <w:sz w:val="20"/>
        </w:rPr>
        <w:t xml:space="preserve"> EACH OF THE COMPANY AND THE TRUSTEE IRREVOCABLY WAIVES, TO THE FULLEST EXTENT PERMITTED BY APPLICABLE LAW, ANY AND ALL RIGHT TO TRIAL BY JURY IN ANY LEGAL PROCEEDING ARISING OUT OF OR RELATING TO THIS INDENTURE, THE SECURITIES OR THE TRANSACTIONS CONTEMPLATED HEREBY.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Section 10.17 </w:t>
      </w:r>
      <w:r>
        <w:rPr>
          <w:rFonts w:ascii="Times New Roman" w:hAnsi="Times New Roman"/>
          <w:b w:val="false"/>
          <w:i/>
          <w:color w:val="000000"/>
          <w:sz w:val="20"/>
        </w:rPr>
        <w:t>Force Majeure.</w:t>
      </w:r>
      <w:r>
        <w:rPr>
          <w:rFonts w:ascii="Times New Roman" w:hAnsi="Times New Roman"/>
          <w:b w:val="false"/>
          <w:i w:val="false"/>
          <w:color w:val="000000"/>
          <w:sz w:val="20"/>
        </w:rPr>
        <w:t xml:space="preserve"> In no event shall the Trustee be responsible or liable for any failure or delay in the performance of its obligations hereunder arising out of or caused by, directly or indirectly, forces beyond its control, including, strikes, work stoppages, accidents, acts of war or terrorism, civil or military disturbances, nuclear or natural catastrophes or acts of God, and interruptions,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SIGNATURES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WITNESS WHEREOF, the parties hereto have caused this Indenture to be duly executed, all as of the date first written above.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953"/>
        <w:gridCol w:w="9954"/>
      </w:tblGrid>
      <w:tr>
        <w:trPr>
          <w:trHeight w:val="210" w:hRule="atLeast"/>
        </w:trPr>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INFLARX N.V.</w:t>
            </w:r>
          </w:p>
        </w:tc>
      </w:tr>
      <w:tr>
        <w:trPr>
          <w:trHeight w:val="210" w:hRule="atLeast"/>
        </w:trPr>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as the Company</w:t>
            </w:r>
          </w:p>
        </w:tc>
      </w:tr>
      <w:tr>
        <w:trPr>
          <w:trHeight w:val="210" w:hRule="atLeast"/>
        </w:trPr>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40" w:hRule="atLeast"/>
        </w:trPr>
        <w:tc>
          <w:tcPr>
            <w:tcW w:w="953" w:type="dxa"/>
            <w:tcBorders/>
            <w:tcMar>
              <w:top w:w="15" w:type="dxa"/>
              <w:left w:w="15" w:type="dxa"/>
              <w:bottom w:w="23" w:type="dxa"/>
              <w:right w:w="15" w:type="dxa"/>
            </w:tcMar>
            <w:vAlign w:val="top"/>
          </w:tcPr>
          <w:p>
            <w:pPr>
              <w:spacing w:before="0" w:after="0"/>
              <w:ind w:left="0"/>
              <w:jc w:val="left"/>
            </w:pPr>
            <w:r>
              <w:rPr>
                <w:rFonts w:ascii="Times New Roman" w:hAnsi="Times New Roman"/>
                <w:b w:val="false"/>
                <w:i w:val="false"/>
                <w:color w:val="000000"/>
                <w:sz w:val="20"/>
              </w:rPr>
              <w:t>By:</w:t>
            </w:r>
          </w:p>
        </w:tc>
        <w:tc>
          <w:tcPr>
            <w:tcW w:w="9954" w:type="dxa"/>
            <w:tcBorders>
              <w:bottom w:val="single" w:color="000000" w:sz="11"/>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25" w:hRule="atLeast"/>
        </w:trPr>
        <w:tc>
          <w:tcPr>
            <w:tcW w:w="9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Name:</w:t>
            </w:r>
          </w:p>
        </w:tc>
      </w:tr>
      <w:tr>
        <w:trPr>
          <w:trHeight w:val="210" w:hRule="atLeast"/>
        </w:trPr>
        <w:tc>
          <w:tcPr>
            <w:tcW w:w="9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Title:</w:t>
            </w:r>
          </w:p>
        </w:tc>
      </w:tr>
      <w:tr>
        <w:trPr>
          <w:trHeight w:val="210" w:hRule="atLeast"/>
        </w:trPr>
        <w:tc>
          <w:tcPr>
            <w:tcW w:w="9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40" w:hRule="atLeast"/>
        </w:trPr>
        <w:tc>
          <w:tcPr>
            <w:tcW w:w="953" w:type="dxa"/>
            <w:tcBorders/>
            <w:tcMar>
              <w:top w:w="15" w:type="dxa"/>
              <w:left w:w="15" w:type="dxa"/>
              <w:bottom w:w="23"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bottom w:val="single" w:color="000000" w:sz="11"/>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25" w:hRule="atLeast"/>
        </w:trPr>
        <w:tc>
          <w:tcPr>
            <w:tcW w:w="9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Name:</w:t>
            </w:r>
          </w:p>
        </w:tc>
      </w:tr>
      <w:tr>
        <w:trPr>
          <w:trHeight w:val="210" w:hRule="atLeast"/>
        </w:trPr>
        <w:tc>
          <w:tcPr>
            <w:tcW w:w="9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Title:</w:t>
            </w:r>
          </w:p>
        </w:tc>
      </w:tr>
      <w:tr>
        <w:trPr>
          <w:trHeight w:val="210" w:hRule="atLeast"/>
        </w:trPr>
        <w:tc>
          <w:tcPr>
            <w:tcW w:w="9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r>
      <w:tr>
        <w:trPr>
          <w:trHeight w:val="210" w:hRule="atLeast"/>
        </w:trPr>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as the Trustee</w:t>
            </w:r>
          </w:p>
        </w:tc>
      </w:tr>
      <w:tr>
        <w:trPr>
          <w:trHeight w:val="210" w:hRule="atLeast"/>
        </w:trPr>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40" w:hRule="atLeast"/>
        </w:trPr>
        <w:tc>
          <w:tcPr>
            <w:tcW w:w="953" w:type="dxa"/>
            <w:tcBorders/>
            <w:tcMar>
              <w:top w:w="15" w:type="dxa"/>
              <w:left w:w="15" w:type="dxa"/>
              <w:bottom w:w="23" w:type="dxa"/>
              <w:right w:w="15" w:type="dxa"/>
            </w:tcMar>
            <w:vAlign w:val="top"/>
          </w:tcPr>
          <w:p>
            <w:pPr>
              <w:spacing w:before="0" w:after="0"/>
              <w:ind w:left="0"/>
              <w:jc w:val="left"/>
            </w:pPr>
            <w:r>
              <w:rPr>
                <w:rFonts w:ascii="Times New Roman" w:hAnsi="Times New Roman"/>
                <w:b w:val="false"/>
                <w:i w:val="false"/>
                <w:color w:val="000000"/>
                <w:sz w:val="20"/>
              </w:rPr>
              <w:t>By:</w:t>
            </w:r>
          </w:p>
        </w:tc>
        <w:tc>
          <w:tcPr>
            <w:tcW w:w="9954" w:type="dxa"/>
            <w:tcBorders>
              <w:bottom w:val="single" w:color="000000" w:sz="11"/>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25" w:hRule="atLeast"/>
        </w:trPr>
        <w:tc>
          <w:tcPr>
            <w:tcW w:w="9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Name:</w:t>
            </w:r>
          </w:p>
        </w:tc>
      </w:tr>
      <w:tr>
        <w:trPr>
          <w:trHeight w:val="210" w:hRule="atLeast"/>
        </w:trPr>
        <w:tc>
          <w:tcPr>
            <w:tcW w:w="95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95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Title:</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br/>
      </w:r>
    </w:p>
    <w:p>
      <w:pPr>
        <w:spacing w:before="0" w:after="0"/>
        <w:ind w:left="120"/>
        <w:jc w:val="left"/>
      </w:pPr>
    </w:p>
    <w:p>
      <w:pPr>
        <w:spacing w:before="0" w:after="0"/>
        <w:ind w:left="120"/>
        <w:jc w:val="center"/>
      </w:pPr>
      <w:r>
        <w:rPr>
          <w:rFonts w:ascii="Times New Roman" w:hAnsi="Times New Roman"/>
          <w:b w:val="false"/>
          <w:i w:val="false"/>
          <w:color w:val="000000"/>
          <w:sz w:val="20"/>
        </w:rPr>
        <w:t> </w:t>
      </w:r>
      <w:r>
        <w:rPr>
          <w:rFonts w:ascii="Times New Roman" w:hAnsi="Times New Roman"/>
          <w:b w:val="false"/>
          <w:i w:val="false"/>
          <w:color w:val="000000"/>
          <w:sz w:val="20"/>
        </w:rPr>
        <w:t>38</w:t>
      </w:r>
    </w:p>
    <w:p>
      <w:pPr>
        <w:spacing w:before="0" w:after="0"/>
        <w:ind w:left="120"/>
        <w:jc w:val="left"/>
      </w:pPr>
    </w:p>
    <w:p>
      <w:pPr>
        <w:spacing w:before="0" w:after="0"/>
        <w:ind w:left="120"/>
        <w:jc w:val="center"/>
      </w:pPr>
      <w:r>
        <w:rPr>
          <w:rFonts w:ascii="Times New Roman" w:hAnsi="Times New Roman"/>
          <w:b w:val="false"/>
          <w:i w:val="false"/>
          <w:color w:val="000000"/>
          <w:sz w:val="10"/>
        </w:rPr>
        <w:t xml:space="preserve"> </w:t>
      </w:r>
      <w:r>
        <w:br/>
      </w:r>
    </w:p>
    <w:p>
      <w:pPr>
        <w:spacing w:before="0" w:after="0"/>
        <w:ind w:left="120"/>
        <w:jc w:val="left"/>
      </w:pPr>
    </w:p>
    <w:p>
      <w:pPr>
        <w:pBdr>
          <w:top w:val="single" w:color="000000" w:sz="21"/>
        </w:pBdr>
        <w:spacing w:before="0" w:after="0"/>
        <w:ind w:left="120"/>
        <w:jc w:val="left"/>
      </w:pPr>
      <w:r>
        <w:rPr>
          <w:rFonts w:ascii="Times New Roman" w:hAnsi="Times New Roman"/>
          <w:b w:val="false"/>
          <w:i w:val="false"/>
          <w:color w:val="000000"/>
          <w:sz w:val="2"/>
        </w:rPr>
        <w:t xml:space="preserve">   </w:t>
      </w:r>
    </w:p>
    <w:p>
      <w:pPr>
        <w:spacing w:before="0" w:after="0"/>
        <w:ind w:left="120"/>
        <w:jc w:val="left"/>
      </w:pPr>
    </w:p>
    <w:p>
      <w:pPr>
        <w:spacing w:before="0" w:after="0"/>
        <w:ind w:left="120"/>
        <w:jc w:val="left"/>
      </w:pP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EX-4.6 </w:t>
      </w:r>
      <w:r>
        <w:rPr>
          <w:rFonts w:ascii="Times New Roman" w:hAnsi="Times New Roman"/>
          <w:b w:val="false"/>
          <w:i w:val="false"/>
          <w:color w:val="000000"/>
          <w:sz w:val="20"/>
        </w:rPr>
        <w:t xml:space="preserve">3 </w:t>
      </w:r>
      <w:r>
        <w:rPr>
          <w:rFonts w:ascii="Times New Roman" w:hAnsi="Times New Roman"/>
          <w:b w:val="false"/>
          <w:i w:val="false"/>
          <w:color w:val="000000"/>
          <w:sz w:val="20"/>
        </w:rPr>
        <w:t xml:space="preserve">ny20075001x1_ex4-6.htm </w:t>
      </w:r>
      <w:r>
        <w:rPr>
          <w:rFonts w:ascii="Times New Roman" w:hAnsi="Times New Roman"/>
          <w:b w:val="false"/>
          <w:i w:val="false"/>
          <w:color w:val="000000"/>
          <w:sz w:val="20"/>
        </w:rPr>
        <w:t xml:space="preserve">EXHIBIT 4.6 </w:t>
      </w:r>
    </w:p>
    <w:p>
      <w:pPr>
        <w:pBdr>
          <w:top w:val="single" w:color="000000" w:sz="43"/>
        </w:pBdr>
        <w:spacing w:before="0" w:after="0"/>
        <w:ind w:left="120"/>
        <w:jc w:val="left"/>
      </w:pPr>
      <w:r>
        <w:rPr>
          <w:rFonts w:ascii="Times New Roman" w:hAnsi="Times New Roman"/>
          <w:b w:val="false"/>
          <w:i w:val="false"/>
          <w:color w:val="000000"/>
          <w:sz w:val="2"/>
        </w:rPr>
        <w:t xml:space="preserve">   </w:t>
      </w:r>
    </w:p>
    <w:p>
      <w:pPr>
        <w:spacing w:before="0" w:after="0"/>
        <w:ind w:left="120"/>
        <w:jc w:val="left"/>
      </w:pPr>
    </w:p>
    <w:p>
      <w:pPr>
        <w:spacing w:before="0" w:after="0"/>
        <w:ind w:left="120"/>
        <w:jc w:val="right"/>
      </w:pPr>
      <w:r>
        <w:rPr>
          <w:rFonts w:ascii="Times New Roman" w:hAnsi="Times New Roman"/>
          <w:b/>
          <w:i w:val="false"/>
          <w:color w:val="000000"/>
          <w:sz w:val="20"/>
        </w:rPr>
        <w:t>Exhibit 4.6</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pBdr>
          <w:top w:val="single" w:color="000000" w:sz="11"/>
        </w:pBdr>
        <w:spacing w:before="0" w:after="0"/>
        <w:ind w:left="120"/>
        <w:jc w:val="left"/>
      </w:pPr>
      <w:r>
        <w:rPr>
          <w:rFonts w:ascii="Times New Roman" w:hAnsi="Times New Roman"/>
          <w:b w:val="false"/>
          <w:i w:val="false"/>
          <w:color w:val="000000"/>
          <w:sz w:val="2"/>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InflaRx N.V.,</w:t>
      </w:r>
      <w:r>
        <w:br/>
      </w:r>
      <w:r>
        <w:rPr>
          <w:rFonts w:ascii="Times New Roman" w:hAnsi="Times New Roman"/>
          <w:b/>
          <w:i w:val="false"/>
          <w:color w:val="000000"/>
          <w:sz w:val="20"/>
        </w:rPr>
        <w:t xml:space="preserve"> as the Company</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and</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w:t>
      </w:r>
      <w:r>
        <w:br/>
      </w:r>
      <w:r>
        <w:rPr>
          <w:rFonts w:ascii="Times New Roman" w:hAnsi="Times New Roman"/>
          <w:b/>
          <w:i w:val="false"/>
          <w:color w:val="000000"/>
          <w:sz w:val="20"/>
        </w:rPr>
        <w:t xml:space="preserve"> as Trustee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pBdr>
          <w:top w:val="single" w:color="000000" w:sz="11"/>
        </w:pBdr>
        <w:spacing w:before="0" w:after="0"/>
        <w:ind w:left="120"/>
        <w:jc w:val="left"/>
      </w:pPr>
      <w:r>
        <w:rPr>
          <w:rFonts w:ascii="Times New Roman" w:hAnsi="Times New Roman"/>
          <w:b w:val="false"/>
          <w:i w:val="false"/>
          <w:color w:val="000000"/>
          <w:sz w:val="2"/>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Subordinated Indenture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Dated as of [●], [●]</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pBdr>
          <w:top w:val="single" w:color="000000" w:sz="11"/>
        </w:pBdr>
        <w:spacing w:before="0" w:after="0"/>
        <w:ind w:left="120"/>
        <w:jc w:val="left"/>
      </w:pPr>
      <w:r>
        <w:rPr>
          <w:rFonts w:ascii="Times New Roman" w:hAnsi="Times New Roman"/>
          <w:b w:val="false"/>
          <w:i w:val="false"/>
          <w:color w:val="000000"/>
          <w:sz w:val="2"/>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u w:val="single"/>
        </w:rPr>
        <w:t>TABLE OF CONTENTS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2817"/>
        <w:gridCol w:w="10297"/>
        <w:gridCol w:w="520"/>
      </w:tblGrid>
      <w:tr>
        <w:trPr>
          <w:trHeight w:val="240" w:hRule="atLeast"/>
        </w:trPr>
        <w:tc>
          <w:tcPr>
            <w:tcW w:w="2817" w:type="dxa"/>
            <w:tcBorders/>
            <w:tcMar>
              <w:top w:w="15" w:type="dxa"/>
              <w:left w:w="15" w:type="dxa"/>
              <w:bottom w:w="23" w:type="dxa"/>
              <w:right w:w="15" w:type="dxa"/>
            </w:tcMar>
            <w:vAlign w:val="top"/>
          </w:tcPr>
          <w:p>
            <w:pPr>
              <w:spacing w:before="0" w:after="0"/>
              <w:ind w:left="0"/>
              <w:jc w:val="left"/>
            </w:pPr>
            <w:r>
              <w:rPr>
                <w:rFonts w:ascii="Times New Roman" w:hAnsi="Times New Roman"/>
                <w:b w:val="false"/>
                <w:i w:val="false"/>
                <w:color w:val="000000"/>
                <w:sz w:val="20"/>
              </w:rPr>
              <w:t> </w:t>
            </w:r>
          </w:p>
        </w:tc>
        <w:tc>
          <w:tcPr>
            <w:tcW w:w="10297" w:type="dxa"/>
            <w:tcBorders/>
            <w:tcMar>
              <w:top w:w="15" w:type="dxa"/>
              <w:left w:w="15" w:type="dxa"/>
              <w:bottom w:w="23" w:type="dxa"/>
              <w:right w:w="15" w:type="dxa"/>
            </w:tcMar>
            <w:vAlign w:val="top"/>
          </w:tcPr>
          <w:p>
            <w:pPr>
              <w:spacing w:before="0" w:after="0"/>
              <w:ind w:left="0"/>
              <w:jc w:val="left"/>
            </w:pPr>
            <w:r>
              <w:rPr>
                <w:rFonts w:ascii="Times New Roman" w:hAnsi="Times New Roman"/>
                <w:b w:val="false"/>
                <w:i w:val="false"/>
                <w:color w:val="000000"/>
                <w:sz w:val="20"/>
              </w:rPr>
              <w:t> </w:t>
            </w:r>
          </w:p>
        </w:tc>
        <w:tc>
          <w:tcPr>
            <w:tcW w:w="520" w:type="dxa"/>
            <w:tcBorders>
              <w:bottom w:val="single" w:color="000000" w:sz="11"/>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Page</w:t>
            </w:r>
          </w:p>
        </w:tc>
      </w:tr>
      <w:tr>
        <w:trPr>
          <w:trHeight w:val="225"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1</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Definitions And Incorporation By Reference</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Definitions</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1.02</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Other Definitions</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1.03</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Incorporation by Reference of Trust Indenture Act</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5</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1.04</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Rules of Construction</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5</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2</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The Securities</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2.01</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Form and Dating</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6</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2.02</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Execution and Authentication</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6</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2.03</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Amount Unlimited; Issuable in Series</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7</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2.04</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Denomination and Date of Securities; Payments of Interest</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9</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2.05</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Registrar and Paying Agent; Agents Generally</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10</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2.06</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Paying Agent to Hold Money in Trust</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10</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2.07</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Transfer and Exchange</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11</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2.08</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Replacement Securities</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12</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2.09</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Outstanding Securities</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13</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2.10</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Temporary Securities</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13</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2.11</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Cancellation</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14</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2.12</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CUSIP Numbers</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14</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2.13</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Defaulted Interest</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14</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2.14</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Series May Include Tranches</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14</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3</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Redemption</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2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3.01</w:t>
            </w:r>
          </w:p>
        </w:tc>
        <w:tc>
          <w:tcPr>
            <w:tcW w:w="1029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Applicability of Article</w:t>
            </w:r>
          </w:p>
        </w:tc>
        <w:tc>
          <w:tcPr>
            <w:tcW w:w="520"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14</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2864"/>
        <w:gridCol w:w="10498"/>
        <w:gridCol w:w="272"/>
      </w:tblGrid>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Notice of Redemption; Partial Redemptions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Payment of Securities Called for Redemption</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Exclusion of Certain Securities from Eligibility for Selection for Redemption</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16</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3.05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Mandatory and Optional Sinking Funds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16</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4</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Covenants</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Payment of Securities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Maintenance of Office or Agency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Securityholders’ Lists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Certificate to Trustee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Reports by the Company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4.06</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Additional Amounts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5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Successor Corporation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5.01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When Company May Merge, Etc.</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19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5.02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Successor Substituted</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20</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6</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Default and Remedies</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Events of Default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20</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Acceleration</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21</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Other Remedies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22</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Waiver of Past Defaults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22</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Control by Majority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22</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6.06</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Limitation on Suits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22</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6.07</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Rights of Holders to Receive Payment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23</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6.08</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Collection Suit by Trustee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23</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6.09</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Trustee May File Proofs of Claim</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23</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6.10</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Application of Proceeds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23</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Restoration of Rights and Remedies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24</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Undertaking for Costs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24</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Rights and Remedies Cumulative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24</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6.14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Delay or Omission not Waiver</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7</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Trustee</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General</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Certain Rights of Trustee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Individual Rights of Trustee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26</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Trustee’s Disclaimer</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26</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Notice of Default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7.06</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Reports by Trustee to Holders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7.07</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Compensation and Indemnity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7.08</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Replacement of Trustee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7.09</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Acceptance of Appointment by Successor</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7.10</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Successor Trustee By Merger, Etc.</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7.11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Eligibility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7.12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Money Held in Trust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29</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2864"/>
        <w:gridCol w:w="10498"/>
        <w:gridCol w:w="272"/>
      </w:tblGrid>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8</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Satisfaction and Discharge of Indenture; Unclaimed Moneys</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Satisfaction and Discharge of Indenture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29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Application by Trustee of Funds Deposited for Payment of Securities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30</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Repayment of Moneys Held by Paying Agent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30</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Return of Moneys Held by Trustee and Paying Agent Unclaimed for Two Years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30</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Defeasance and Discharge of Indenture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31</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8.06</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Defeasance of Certain Obligations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32</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8.07</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Reinstatement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32</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8.08</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Indemnity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33</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8.09</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Excess Funds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33</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8.10</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Qualifying Trustee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33</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9</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Amendments, Supplements and Waivers</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Without Consent of Holders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33</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With Consent of Holders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34</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Revocation and Effect of Consent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34</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Notation on or Exchange of Securities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Trustee to Sign Amendments, Etc.</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9.06</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Conformity with Trust Indenture Act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10</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Miscellaneous</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 Indenture Act of 1939</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Notices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35</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Certificate and Opinion as to Conditions Precedent</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Statements Required in Certificate or Opinion</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36</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Evidence of Ownership</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10.06</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Rules by Trustee, Paying Agent or Registrar</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10.07</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Payment Date Other Than a Business Day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10.08</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Governing Law</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10.09</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 Adverse Interpretation of Other Agreements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10.10</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Successors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Duplicate Originals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37</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Separability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Table of Contents, Headings, Etc.</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38</w:t>
            </w:r>
          </w:p>
        </w:tc>
      </w:tr>
      <w:tr>
        <w:trPr>
          <w:trHeight w:val="435"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Incorporators, Stockholders, Officers and Directors of Company Exempt from Individual Liability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Judgment Currency</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10.16</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Waiver of Jury Trial</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10.17</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Force Majeure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38</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ARTICLE 11</w:t>
            </w:r>
          </w:p>
        </w:tc>
      </w:tr>
      <w:tr>
        <w:trPr>
          <w:trHeight w:val="210" w:hRule="atLeast"/>
        </w:trPr>
        <w:tc>
          <w:tcPr>
            <w:tcW w:w="0" w:type="auto"/>
            <w:gridSpan w:val="3"/>
            <w:tcBorders/>
            <w:tcMar>
              <w:top w:w="15" w:type="dxa"/>
              <w:left w:w="15" w:type="dxa"/>
              <w:bottom w:w="15" w:type="dxa"/>
              <w:right w:w="15" w:type="dxa"/>
            </w:tcMar>
            <w:vAlign w:val="top"/>
          </w:tcPr>
          <w:p>
            <w:pPr>
              <w:spacing w:before="0" w:after="0"/>
              <w:ind w:left="0"/>
              <w:jc w:val="center"/>
            </w:pPr>
            <w:r>
              <w:rPr>
                <w:rFonts w:ascii="Times New Roman" w:hAnsi="Times New Roman"/>
                <w:b w:val="false"/>
                <w:i w:val="false"/>
                <w:color w:val="000000"/>
                <w:sz w:val="20"/>
              </w:rPr>
              <w:t>Subordination</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 </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11.01</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Agreement to Subordinate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11.02</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Payments to Securityholders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39</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11.03</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Subrogation</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40</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11.04</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Authorization by Securityholders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41</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11.05</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Notice to Trustee</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41</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11.06</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Trustee’s Relation to Senior Indebtedness</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42</w:t>
            </w:r>
          </w:p>
        </w:tc>
      </w:tr>
      <w:tr>
        <w:trPr>
          <w:trHeight w:val="210" w:hRule="atLeast"/>
        </w:trPr>
        <w:tc>
          <w:tcPr>
            <w:tcW w:w="2864"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Section 11.07</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No Impairment of Subordination</w:t>
            </w:r>
          </w:p>
        </w:tc>
        <w:tc>
          <w:tcPr>
            <w:tcW w:w="272" w:type="dxa"/>
            <w:tcBorders/>
            <w:tcMar>
              <w:top w:w="15" w:type="dxa"/>
              <w:left w:w="15" w:type="dxa"/>
              <w:bottom w:w="15" w:type="dxa"/>
              <w:right w:w="15" w:type="dxa"/>
            </w:tcMar>
            <w:vAlign w:val="top"/>
          </w:tcPr>
          <w:p>
            <w:pPr>
              <w:spacing w:before="0" w:after="0"/>
              <w:ind w:left="0"/>
              <w:jc w:val="right"/>
            </w:pPr>
            <w:r>
              <w:rPr>
                <w:rFonts w:ascii="Times New Roman" w:hAnsi="Times New Roman"/>
                <w:b w:val="false"/>
                <w:i w:val="false"/>
                <w:color w:val="000000"/>
                <w:sz w:val="20"/>
              </w:rPr>
              <w:t>42</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SUBORDINATED INDENTURE, dated as of [●], between InflaRx N.V., a Dutch public company with limited liability (</w:t>
      </w:r>
      <w:r>
        <w:rPr>
          <w:rFonts w:ascii="Times New Roman" w:hAnsi="Times New Roman"/>
          <w:b w:val="false"/>
          <w:i/>
          <w:color w:val="000000"/>
          <w:sz w:val="20"/>
        </w:rPr>
        <w:t>naamloze vennootschap</w:t>
      </w:r>
      <w:r>
        <w:rPr>
          <w:rFonts w:ascii="Times New Roman" w:hAnsi="Times New Roman"/>
          <w:b w:val="false"/>
          <w:i w:val="false"/>
          <w:color w:val="000000"/>
          <w:sz w:val="20"/>
        </w:rPr>
        <w:t>), as the Company, and [●], as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RECITALS OF THE COMPANY</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WHEREAS, the Company has duly authorized the issue from time to time of its subordinated debentures, notes or other evidences of indebtedness to be issued in one or more series (the “</w:t>
      </w:r>
      <w:r>
        <w:rPr>
          <w:rFonts w:ascii="Times New Roman" w:hAnsi="Times New Roman"/>
          <w:b/>
          <w:i w:val="false"/>
          <w:color w:val="000000"/>
          <w:sz w:val="20"/>
        </w:rPr>
        <w:t>Securities</w:t>
      </w:r>
      <w:r>
        <w:rPr>
          <w:rFonts w:ascii="Times New Roman" w:hAnsi="Times New Roman"/>
          <w:b w:val="false"/>
          <w:i w:val="false"/>
          <w:color w:val="000000"/>
          <w:sz w:val="20"/>
        </w:rPr>
        <w:t>”) up to such principal amount or amounts as may from time to time be authorized in accordance with the terms of this Indenture and to provide, among other things, for the authentication, delivery and administration thereof, the Company has duly authorized the execution and delivery of this Indenture;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WHEREAS, all things necessary to make this Indenture a valid indenture and agreement according to its terms have been done;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NOW, THEREFORE: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consideration of the premises and the purchases of the Securities by the holders thereof, the Company and the Trustee mutually covenant and agree for the equal and proportionate benefit of the respective holders from time to time of the Securities or of any and all series thereof as follows: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1</w:t>
      </w:r>
      <w:r>
        <w:br/>
      </w:r>
      <w:r>
        <w:rPr>
          <w:rFonts w:ascii="Times New Roman" w:hAnsi="Times New Roman"/>
          <w:b w:val="false"/>
          <w:i w:val="false"/>
          <w:color w:val="000000"/>
          <w:sz w:val="20"/>
        </w:rPr>
        <w:t xml:space="preserve"> Definitions And Incorporation By Reference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w:t>
      </w:r>
      <w:r>
        <w:rPr>
          <w:rFonts w:ascii="Times New Roman" w:hAnsi="Times New Roman"/>
          <w:b w:val="false"/>
          <w:i w:val="false"/>
          <w:color w:val="000000"/>
          <w:sz w:val="20"/>
        </w:rPr>
        <w:t> </w:t>
      </w:r>
      <w:r>
        <w:rPr>
          <w:rFonts w:ascii="Times New Roman" w:hAnsi="Times New Roman"/>
          <w:b w:val="false"/>
          <w:i/>
          <w:color w:val="000000"/>
          <w:sz w:val="20"/>
        </w:rPr>
        <w:t>Definitions</w:t>
      </w:r>
      <w:r>
        <w:rPr>
          <w:rFonts w:ascii="Times New Roman" w:hAnsi="Times New Roman"/>
          <w:b w:val="false"/>
          <w:i w:val="false"/>
          <w:color w:val="000000"/>
          <w:sz w:val="20"/>
        </w:rPr>
        <w: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Affiliate</w:t>
      </w:r>
      <w:r>
        <w:rPr>
          <w:rFonts w:ascii="Times New Roman" w:hAnsi="Times New Roman"/>
          <w:b w:val="false"/>
          <w:i w:val="false"/>
          <w:color w:val="000000"/>
          <w:sz w:val="20"/>
        </w:rPr>
        <w:t>” of any Person means any other Person directly or indirectly controlling or controlled by or under direct or indirect common control with such Person. For the purposes of this definition, “control” (including, with correlative meanings, the terms “controlling”, “controlled by” and “under common control with”) when used with respect to any Person means the possession, directly or indirectly, of the power to direct or cause the direction of the management and policies of such Person, whether through the ownership of voting securities, by contract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Agent</w:t>
      </w:r>
      <w:r>
        <w:rPr>
          <w:rFonts w:ascii="Times New Roman" w:hAnsi="Times New Roman"/>
          <w:b w:val="false"/>
          <w:i w:val="false"/>
          <w:color w:val="000000"/>
          <w:sz w:val="20"/>
        </w:rPr>
        <w:t>” means any Registrar, Paying Agent, transfer agent or Authenticating Agent.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Board Resolution</w:t>
      </w:r>
      <w:r>
        <w:rPr>
          <w:rFonts w:ascii="Times New Roman" w:hAnsi="Times New Roman"/>
          <w:b w:val="false"/>
          <w:i w:val="false"/>
          <w:color w:val="000000"/>
          <w:sz w:val="20"/>
        </w:rPr>
        <w:t>” means one or more resolutions of the board of directors of the Company or any authorized committee thereof, certified by the secretary or an assistant secretary to have been duly adopted and to be in full force and effect on the date of certification, and delivered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Business Day</w:t>
      </w:r>
      <w:r>
        <w:rPr>
          <w:rFonts w:ascii="Times New Roman" w:hAnsi="Times New Roman"/>
          <w:b w:val="false"/>
          <w:i w:val="false"/>
          <w:color w:val="000000"/>
          <w:sz w:val="20"/>
        </w:rPr>
        <w:t>” means any day, other than a Saturday or Sunday, that is neither a legal holiday nor a day on which banking institutions are authorized or required by law or regulation to close (i) with respect to any Security the interest on which is based on the offered quotations in the interbank Eurodollar market for dollar deposits in London or in The City of New York or (ii) with respect to Securities denominated in a specified currency other than United States dollars, in the principal financial center of the country of the specified currency.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Commission</w:t>
      </w:r>
      <w:r>
        <w:rPr>
          <w:rFonts w:ascii="Times New Roman" w:hAnsi="Times New Roman"/>
          <w:b w:val="false"/>
          <w:i w:val="false"/>
          <w:color w:val="000000"/>
          <w:sz w:val="20"/>
        </w:rPr>
        <w:t>” means the Securities and Exchange Commission, as from time to time constituted, created under the Exchange Act or, if at any time after the execution of this instrument such Commission is not existing and performing the duties now assigned to it under the Trust Indenture Act, then the body performing such duties at such time.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Company</w:t>
      </w:r>
      <w:r>
        <w:rPr>
          <w:rFonts w:ascii="Times New Roman" w:hAnsi="Times New Roman"/>
          <w:b w:val="false"/>
          <w:i w:val="false"/>
          <w:color w:val="000000"/>
          <w:sz w:val="20"/>
        </w:rPr>
        <w:t>” means the party named as such in the first paragraph of this Indenture until a successor replaces it pursuant to Article 5 of this Indenture and thereafter means the successor.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Corporate Trust Office</w:t>
      </w:r>
      <w:r>
        <w:rPr>
          <w:rFonts w:ascii="Times New Roman" w:hAnsi="Times New Roman"/>
          <w:b w:val="false"/>
          <w:i w:val="false"/>
          <w:color w:val="000000"/>
          <w:sz w:val="20"/>
        </w:rPr>
        <w:t>” means the office of the Trustee at which the corporate trust business of the Trustee shall, at any particular time, be administered, which office is, at the date of this Indenture, located at [●].</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Default</w:t>
      </w:r>
      <w:r>
        <w:rPr>
          <w:rFonts w:ascii="Times New Roman" w:hAnsi="Times New Roman"/>
          <w:b w:val="false"/>
          <w:i w:val="false"/>
          <w:color w:val="000000"/>
          <w:sz w:val="20"/>
        </w:rPr>
        <w:t>” means any event that is, or after notice or passage of time or both would be, an Event of Default.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Depositary</w:t>
      </w:r>
      <w:r>
        <w:rPr>
          <w:rFonts w:ascii="Times New Roman" w:hAnsi="Times New Roman"/>
          <w:b w:val="false"/>
          <w:i w:val="false"/>
          <w:color w:val="000000"/>
          <w:sz w:val="20"/>
        </w:rPr>
        <w:t>” means, with respect to the Securities of any series issuable or issued in the form of one or more Registered Global Securities, the Person designated as Depositary by the Company pursuant to Section 2.03 until a successor Depositary shall have become such pursuant to the applicable provisions of this Indenture, and thereafter “</w:t>
      </w:r>
      <w:r>
        <w:rPr>
          <w:rFonts w:ascii="Times New Roman" w:hAnsi="Times New Roman"/>
          <w:b/>
          <w:i w:val="false"/>
          <w:color w:val="000000"/>
          <w:sz w:val="20"/>
        </w:rPr>
        <w:t>Depositary</w:t>
      </w:r>
      <w:r>
        <w:rPr>
          <w:rFonts w:ascii="Times New Roman" w:hAnsi="Times New Roman"/>
          <w:b w:val="false"/>
          <w:i w:val="false"/>
          <w:color w:val="000000"/>
          <w:sz w:val="20"/>
        </w:rPr>
        <w:t>” shall mean or include each Person who is then a Depositary hereunder, and if at any time there is more than one such Person, “</w:t>
      </w:r>
      <w:r>
        <w:rPr>
          <w:rFonts w:ascii="Times New Roman" w:hAnsi="Times New Roman"/>
          <w:b/>
          <w:i w:val="false"/>
          <w:color w:val="000000"/>
          <w:sz w:val="20"/>
        </w:rPr>
        <w:t>Depositary</w:t>
      </w:r>
      <w:r>
        <w:rPr>
          <w:rFonts w:ascii="Times New Roman" w:hAnsi="Times New Roman"/>
          <w:b w:val="false"/>
          <w:i w:val="false"/>
          <w:color w:val="000000"/>
          <w:sz w:val="20"/>
        </w:rPr>
        <w:t>” as used with respect to the Securities of any such series shall mean the Depositary with respect to the Registered Global Securities of that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Exchange Act</w:t>
      </w:r>
      <w:r>
        <w:rPr>
          <w:rFonts w:ascii="Times New Roman" w:hAnsi="Times New Roman"/>
          <w:b w:val="false"/>
          <w:i w:val="false"/>
          <w:color w:val="000000"/>
          <w:sz w:val="20"/>
        </w:rPr>
        <w:t>” means the Securities Exchange Act of 1934, as amended.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Guarantee</w:t>
      </w:r>
      <w:r>
        <w:rPr>
          <w:rFonts w:ascii="Times New Roman" w:hAnsi="Times New Roman"/>
          <w:b w:val="false"/>
          <w:i w:val="false"/>
          <w:color w:val="000000"/>
          <w:sz w:val="20"/>
        </w:rPr>
        <w:t>” by any Person means any obligation, contingent or otherwise, of such Person directly or indirectly guaranteeing any Indebtedness or other obligation of any other Person and, without limiting the generality of the foregoing, any obligation, direct or indirect, contingent or otherwise, of such Person (i) to purchase or pay (or advance or supply funds for the purchase or payment of) such Indebtedness or other obligation (whether arising by virtue of partnership arrangements, by agreement to keep-well, to purchase assets, goods, securities or services, to take-or-pay, or to maintain financial statement conditions or otherwise) or (ii) entered into for the purpose of assuring in any other manner the obligee of such Indebtedness or other obligation of the payment thereof or to protect such obligee against loss in respect thereof (in whole or in part), provided that the term Guarantee shall not include endorsements for collection or deposit in the ordinary course of business. The term “Guarantee” when used as a verb has a corresponding meaning.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Holder</w:t>
      </w:r>
      <w:r>
        <w:rPr>
          <w:rFonts w:ascii="Times New Roman" w:hAnsi="Times New Roman"/>
          <w:b w:val="false"/>
          <w:i w:val="false"/>
          <w:color w:val="000000"/>
          <w:sz w:val="20"/>
        </w:rPr>
        <w:t>” or “</w:t>
      </w:r>
      <w:r>
        <w:rPr>
          <w:rFonts w:ascii="Times New Roman" w:hAnsi="Times New Roman"/>
          <w:b/>
          <w:i w:val="false"/>
          <w:color w:val="000000"/>
          <w:sz w:val="20"/>
        </w:rPr>
        <w:t>Securityholder</w:t>
      </w:r>
      <w:r>
        <w:rPr>
          <w:rFonts w:ascii="Times New Roman" w:hAnsi="Times New Roman"/>
          <w:b w:val="false"/>
          <w:i w:val="false"/>
          <w:color w:val="000000"/>
          <w:sz w:val="20"/>
        </w:rPr>
        <w:t>” means the registered holder of any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Indebtedness</w:t>
      </w:r>
      <w:r>
        <w:rPr>
          <w:rFonts w:ascii="Times New Roman" w:hAnsi="Times New Roman"/>
          <w:b w:val="false"/>
          <w:i w:val="false"/>
          <w:color w:val="000000"/>
          <w:sz w:val="20"/>
        </w:rPr>
        <w:t>” of any Person means at any date, without duplication (i) all obligations of such Person for borrowed money, (ii) all obligations of such Person evidenced by bonds, debentures, notes or similar instruments, (iii) all obligations of such Person in respect of letters of credit or other similar instruments (or reimbursement obligations with respect thereto), (iv) all obligations of such Person to pay the deferred purchase price of property or services, except Trade Payables, (v) all obligations of such Person as a lessee under capital leases, (vi) all Indebtedness of others secured by a lien on any asset of such Person, whether or not such Indebtedness is assumed by such Person, (vii) all Indebtedness of others Guaranteed by such Person.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IFRS</w:t>
      </w:r>
      <w:r>
        <w:rPr>
          <w:rFonts w:ascii="Times New Roman" w:hAnsi="Times New Roman"/>
          <w:b w:val="false"/>
          <w:i w:val="false"/>
          <w:color w:val="000000"/>
          <w:sz w:val="20"/>
        </w:rPr>
        <w:t>” means International Financial Reporting Standards as issued by the International Accounting Standards Board, as in effect as of the date 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w:t>
      </w:r>
      <w:r>
        <w:rPr>
          <w:rFonts w:ascii="Times New Roman" w:hAnsi="Times New Roman"/>
          <w:b w:val="false"/>
          <w:i w:val="false"/>
          <w:color w:val="000000"/>
          <w:sz w:val="20"/>
        </w:rPr>
        <w:t>” means this Indenture as originally executed and delivered or as it may be amended or supplemented from time to time by one or more indentures supplemental to this Indenture entered into pursuant to the applicable provisions of this Indenture and shall include the forms and terms of the Securities of each series established as contemplated pursuant to Sections 2.01 and 2.03.</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w:t>
      </w:r>
      <w:r>
        <w:rPr>
          <w:rFonts w:ascii="Times New Roman" w:hAnsi="Times New Roman"/>
          <w:b w:val="false"/>
          <w:i w:val="false"/>
          <w:color w:val="000000"/>
          <w:sz w:val="20"/>
        </w:rPr>
        <w:t>“</w:t>
      </w:r>
      <w:r>
        <w:rPr>
          <w:rFonts w:ascii="Times New Roman" w:hAnsi="Times New Roman"/>
          <w:b/>
          <w:i w:val="false"/>
          <w:color w:val="000000"/>
          <w:sz w:val="20"/>
        </w:rPr>
        <w:t>Officer</w:t>
      </w:r>
      <w:r>
        <w:rPr>
          <w:rFonts w:ascii="Times New Roman" w:hAnsi="Times New Roman"/>
          <w:b w:val="false"/>
          <w:i w:val="false"/>
          <w:color w:val="000000"/>
          <w:sz w:val="20"/>
        </w:rPr>
        <w:t>” means, with respect to the Company, the chairman of the board of directors, the president or chief executive officer, any executive vice president, any senior vice president, any vice president, the chief financial officer, the treasurer or any assistant treasurer, or the secretary or any assistant secretary.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Officers’ Certificate</w:t>
      </w:r>
      <w:r>
        <w:rPr>
          <w:rFonts w:ascii="Times New Roman" w:hAnsi="Times New Roman"/>
          <w:b w:val="false"/>
          <w:i w:val="false"/>
          <w:color w:val="000000"/>
          <w:sz w:val="20"/>
        </w:rPr>
        <w:t>” means a certificate signed in the name of the Company (i) by the chairman of the board of directors, president or chief executive officer, an executive vice president, a senior vice president or a vice president, and (ii) by the chief financial officer, the treasurer or any assistant treasurer, or the secretary or any assistant secretary, and delivered to the Trustee. Each such certificate shall comply with Section 314 of the Trust Indenture Act, if applicable, and include (except as otherwise expressly provided in this Indenture) the statements provided in Section 10.04, if applicable.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Opinion of Counsel</w:t>
      </w:r>
      <w:r>
        <w:rPr>
          <w:rFonts w:ascii="Times New Roman" w:hAnsi="Times New Roman"/>
          <w:b w:val="false"/>
          <w:i w:val="false"/>
          <w:color w:val="000000"/>
          <w:sz w:val="20"/>
        </w:rPr>
        <w:t>” means a written opinion signed by legal counsel, who may be an employee of or counsel to the Company, satisfactory to the Trustee. Each such opinion shall comply with Section 314 of the Trust Indenture Act, if applicable, and include the statements provided in Section 10.04, if and to the extent required thereby.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original issue date</w:t>
      </w:r>
      <w:r>
        <w:rPr>
          <w:rFonts w:ascii="Times New Roman" w:hAnsi="Times New Roman"/>
          <w:b w:val="false"/>
          <w:i w:val="false"/>
          <w:color w:val="000000"/>
          <w:sz w:val="20"/>
        </w:rPr>
        <w:t>” of any Security (or portion thereof) means the earlier of (a) the date of authentication of such Security or (b) the date of any Security (or portion thereof) for which such Security was issued (directly or indirectly) on registration of transfer, exchange or substitution.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Original Issue Discount Security</w:t>
      </w:r>
      <w:r>
        <w:rPr>
          <w:rFonts w:ascii="Times New Roman" w:hAnsi="Times New Roman"/>
          <w:b w:val="false"/>
          <w:i w:val="false"/>
          <w:color w:val="000000"/>
          <w:sz w:val="20"/>
        </w:rPr>
        <w:t>” means any Security that provides for an amount less than the Principal amount thereof to be due and payable upon a declaration of acceleration of the maturity thereof pursuant to Section 6.02.</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Periodic Offering</w:t>
      </w:r>
      <w:r>
        <w:rPr>
          <w:rFonts w:ascii="Times New Roman" w:hAnsi="Times New Roman"/>
          <w:b w:val="false"/>
          <w:i w:val="false"/>
          <w:color w:val="000000"/>
          <w:sz w:val="20"/>
        </w:rPr>
        <w:t>” means an offering of Securities of a series from time to time, the specific terms of which Securities, including, without limitation, the rate or rates of interest, if any, thereon, the stated maturity or maturities thereof and the redemption provisions, if any, with respect thereto, are to be determined by the Company or its agents upon the issuance of such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Person</w:t>
      </w:r>
      <w:r>
        <w:rPr>
          <w:rFonts w:ascii="Times New Roman" w:hAnsi="Times New Roman"/>
          <w:b w:val="false"/>
          <w:i w:val="false"/>
          <w:color w:val="000000"/>
          <w:sz w:val="20"/>
        </w:rPr>
        <w:t>” means an individual, a corporation, a partnership, a limited liability company, an association, a trust or any other entity or organization, including a government or political subdivision or an agency or instrumentality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Principal</w:t>
      </w:r>
      <w:r>
        <w:rPr>
          <w:rFonts w:ascii="Times New Roman" w:hAnsi="Times New Roman"/>
          <w:b w:val="false"/>
          <w:i w:val="false"/>
          <w:color w:val="000000"/>
          <w:sz w:val="20"/>
        </w:rPr>
        <w:t>” of a Security means the principal amount of, and, unless the context indicates otherwise, includes any premium payable on, the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Registered Global Security</w:t>
      </w:r>
      <w:r>
        <w:rPr>
          <w:rFonts w:ascii="Times New Roman" w:hAnsi="Times New Roman"/>
          <w:b w:val="false"/>
          <w:i w:val="false"/>
          <w:color w:val="000000"/>
          <w:sz w:val="20"/>
        </w:rPr>
        <w:t>” means a Security evidencing all or a part of a series of Securities, issued to the Depositary for such series in accordance with Section 2.02, and bearing the legend prescribed in Section 2.02.</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Responsible Officer</w:t>
      </w:r>
      <w:r>
        <w:rPr>
          <w:rFonts w:ascii="Times New Roman" w:hAnsi="Times New Roman"/>
          <w:b w:val="false"/>
          <w:i w:val="false"/>
          <w:color w:val="000000"/>
          <w:sz w:val="20"/>
        </w:rPr>
        <w:t>” when used with respect to the Trustee, shall mean an officer of the Trustee in the Corporate Trust Office, having direct responsibility for the administration of this Indenture, and also, with respect to a particular matter, any other officer to whom such matter is referred because of such officer’s knowledge of and familiarity with the particular subject.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Securities</w:t>
      </w:r>
      <w:r>
        <w:rPr>
          <w:rFonts w:ascii="Times New Roman" w:hAnsi="Times New Roman"/>
          <w:b w:val="false"/>
          <w:i w:val="false"/>
          <w:color w:val="000000"/>
          <w:sz w:val="20"/>
        </w:rPr>
        <w:t>” means any of the securities, as defined in the first paragraph of the recitals hereof, that are authenticated and delivered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Securities Act</w:t>
      </w:r>
      <w:r>
        <w:rPr>
          <w:rFonts w:ascii="Times New Roman" w:hAnsi="Times New Roman"/>
          <w:b w:val="false"/>
          <w:i w:val="false"/>
          <w:color w:val="000000"/>
          <w:sz w:val="20"/>
        </w:rPr>
        <w:t>” means the Securities Act of 1933, as amended.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w:t>
      </w:r>
      <w:r>
        <w:rPr>
          <w:rFonts w:ascii="Times New Roman" w:hAnsi="Times New Roman"/>
          <w:b w:val="false"/>
          <w:i w:val="false"/>
          <w:color w:val="000000"/>
          <w:sz w:val="20"/>
        </w:rPr>
        <w:t>“</w:t>
      </w:r>
      <w:r>
        <w:rPr>
          <w:rFonts w:ascii="Times New Roman" w:hAnsi="Times New Roman"/>
          <w:b/>
          <w:i w:val="false"/>
          <w:color w:val="000000"/>
          <w:sz w:val="20"/>
        </w:rPr>
        <w:t>Senior Indebtedness</w:t>
      </w:r>
      <w:r>
        <w:rPr>
          <w:rFonts w:ascii="Times New Roman" w:hAnsi="Times New Roman"/>
          <w:b w:val="false"/>
          <w:i w:val="false"/>
          <w:color w:val="000000"/>
          <w:sz w:val="20"/>
        </w:rPr>
        <w:t>” means all Indebtedness of the Company (other than the Securities) including principal and interest (including, without limitation, any interest that would accrue but for the filing of a petition initiating any proceeding referred to in Section 11.02 hereof) on such Indebtedness, created, incurred or assumed on or after the date of the first issuance of any Securities, unless such Indebtedness, but its terms or the terms of the instrument creating or evidencing it, is subordinate in right of payment to, or pari passu with, the Securities; provided, that the term Senior Indebtedness shall not include (a) any Indebtedness of the Company which, when incurred and without respect to any election under Section 111(b) of Title II, United States Code, with or without recourse to the Company, (b) any Indebtedness of the Company to a Subsidiary, (c) Indebtedness to any employee of the Company and (d) Trade Payables.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Subsidiary</w:t>
      </w:r>
      <w:r>
        <w:rPr>
          <w:rFonts w:ascii="Times New Roman" w:hAnsi="Times New Roman"/>
          <w:b w:val="false"/>
          <w:i w:val="false"/>
          <w:color w:val="000000"/>
          <w:sz w:val="20"/>
        </w:rPr>
        <w:t>” means, with respect to any Person, any corporation, association or other business entity of which a majority of the capital stock or other ownership interests having ordinary voting power to elect a majority of the board of directors or other persons performing similar functions are at the time directly or indirectly owned by such Person.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Trade Payables</w:t>
      </w:r>
      <w:r>
        <w:rPr>
          <w:rFonts w:ascii="Times New Roman" w:hAnsi="Times New Roman"/>
          <w:b w:val="false"/>
          <w:i w:val="false"/>
          <w:color w:val="000000"/>
          <w:sz w:val="20"/>
        </w:rPr>
        <w:t>” means accounts payable for any other indebtedness or monetary obligations to trade creditors created or assumed by the Company or any subsidiary of the Company in the ordinary course of business in connection with the obtaining of materials or services.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Trustee</w:t>
      </w:r>
      <w:r>
        <w:rPr>
          <w:rFonts w:ascii="Times New Roman" w:hAnsi="Times New Roman"/>
          <w:b w:val="false"/>
          <w:i w:val="false"/>
          <w:color w:val="000000"/>
          <w:sz w:val="20"/>
        </w:rPr>
        <w:t>” means the party named as such in the first paragraph of this Indenture until a successor replaces it in accordance with the provisions of Article 7 and thereafter shall mean or include each Person who is then a Trustee hereunder, and if at any time there is more than one such Person, “Trustee” as used with respect to the Securities of any series shall mean the Trustee with respect to Securities of that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Trust Indenture Act</w:t>
      </w:r>
      <w:r>
        <w:rPr>
          <w:rFonts w:ascii="Times New Roman" w:hAnsi="Times New Roman"/>
          <w:b w:val="false"/>
          <w:i w:val="false"/>
          <w:color w:val="000000"/>
          <w:sz w:val="20"/>
        </w:rPr>
        <w:t>” means the Trust Indenture Act of 1939, as amended (15 U.S. Code §§ 77aaa-77bbbb), as it may be amended from time to time.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U.S. Government Obligations</w:t>
      </w:r>
      <w:r>
        <w:rPr>
          <w:rFonts w:ascii="Times New Roman" w:hAnsi="Times New Roman"/>
          <w:b w:val="false"/>
          <w:i w:val="false"/>
          <w:color w:val="000000"/>
          <w:sz w:val="20"/>
        </w:rPr>
        <w:t>” means securities that are (i) direct obligations of the United States of America for the payment of which its full faith and credit is pledged or (ii) obligations of an agency or instrumentality of the United States of America the payment of which is unconditionally guaranteed as a full faith and credit obligation by the United States of America, and shall also include a depository receipt issued by a bank or trust company as custodian with respect to any such U.S. Government Obligation or a specific payment of interest on or principal of any such U.S. Government Obligation held by such custodian for the account of the holder of a depository receipt.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Yield to Maturity</w:t>
      </w:r>
      <w:r>
        <w:rPr>
          <w:rFonts w:ascii="Times New Roman" w:hAnsi="Times New Roman"/>
          <w:b w:val="false"/>
          <w:i w:val="false"/>
          <w:color w:val="000000"/>
          <w:sz w:val="20"/>
        </w:rPr>
        <w:t>” means, as the context may require, the yield to maturity (i) on a series of Securities or (ii) if the Securities of a series are issuable from time to time, on a Security of such series, calculated at the time of issuance of such series in the case of clause (i) or at the time of issuance of such Security of such series in the case of clause (ii), or, if applicable, at the most recent redetermination of interest on such series or on such Security, and calculated in accordance with the constant interest method or such other accepted financial practice as is specified in the terms of such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1.02</w:t>
      </w:r>
      <w:r>
        <w:rPr>
          <w:rFonts w:ascii="Times New Roman" w:hAnsi="Times New Roman"/>
          <w:b w:val="false"/>
          <w:i w:val="false"/>
          <w:color w:val="000000"/>
          <w:sz w:val="20"/>
        </w:rPr>
        <w:t> </w:t>
      </w:r>
      <w:r>
        <w:rPr>
          <w:rFonts w:ascii="Times New Roman" w:hAnsi="Times New Roman"/>
          <w:b w:val="false"/>
          <w:i/>
          <w:color w:val="000000"/>
          <w:sz w:val="20"/>
        </w:rPr>
        <w:t>Other Definitions</w:t>
      </w:r>
      <w:r>
        <w:rPr>
          <w:rFonts w:ascii="Times New Roman" w:hAnsi="Times New Roman"/>
          <w:b w:val="false"/>
          <w:i w:val="false"/>
          <w:color w:val="000000"/>
          <w:sz w:val="20"/>
        </w:rPr>
        <w:t>. Each of the following terms is defined in the section set forth opposite such term:</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tbl>
      <w:tblPr>
        <w:tblW w:w="0" w:type="auto"/>
        <w:tblCellSpacing w:w="0" w:type="dxa"/>
        <w:tblBorders>
          <w:top w:val="none"/>
          <w:left w:val="none"/>
          <w:bottom w:val="none"/>
          <w:right w:val="none"/>
          <w:insideH w:val="none"/>
          <w:insideV w:val="none"/>
        </w:tblBorders>
      </w:tblPr>
      <w:tblGrid>
        <w:gridCol w:w="11180"/>
        <w:gridCol w:w="137"/>
        <w:gridCol w:w="136"/>
        <w:gridCol w:w="2045"/>
        <w:gridCol w:w="136"/>
      </w:tblGrid>
      <w:tr>
        <w:trPr>
          <w:trHeight w:val="240" w:hRule="atLeast"/>
        </w:trPr>
        <w:tc>
          <w:tcPr>
            <w:tcW w:w="11180" w:type="dxa"/>
            <w:tcBorders>
              <w:bottom w:val="single" w:color="000000" w:sz="11"/>
            </w:tcBorders>
            <w:tcMar>
              <w:top w:w="15" w:type="dxa"/>
              <w:left w:w="15" w:type="dxa"/>
              <w:bottom w:w="15" w:type="dxa"/>
              <w:right w:w="15" w:type="dxa"/>
            </w:tcMar>
            <w:vAlign w:val="bottom"/>
          </w:tcPr>
          <w:p>
            <w:pPr>
              <w:spacing w:before="0" w:after="0"/>
              <w:ind w:left="0"/>
              <w:jc w:val="left"/>
            </w:pPr>
            <w:r>
              <w:rPr>
                <w:rFonts w:ascii="Times New Roman" w:hAnsi="Times New Roman"/>
                <w:b/>
                <w:i w:val="false"/>
                <w:color w:val="000000"/>
                <w:sz w:val="20"/>
              </w:rPr>
              <w:t>Term</w:t>
            </w:r>
          </w:p>
        </w:tc>
        <w:tc>
          <w:tcPr>
            <w:tcW w:w="137" w:type="dxa"/>
            <w:tcBorders/>
            <w:tcMar>
              <w:top w:w="15" w:type="dxa"/>
              <w:left w:w="15" w:type="dxa"/>
              <w:bottom w:w="23"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0" w:type="auto"/>
            <w:gridSpan w:val="2"/>
            <w:tcBorders>
              <w:bottom w:val="single" w:color="000000" w:sz="11"/>
            </w:tcBorders>
            <w:tcMar>
              <w:top w:w="15" w:type="dxa"/>
              <w:left w:w="15" w:type="dxa"/>
              <w:bottom w:w="15" w:type="dxa"/>
              <w:right w:w="15" w:type="dxa"/>
            </w:tcMar>
            <w:vAlign w:val="bottom"/>
          </w:tcPr>
          <w:p>
            <w:pPr>
              <w:spacing w:before="0" w:after="0"/>
              <w:ind w:left="0"/>
              <w:jc w:val="center"/>
            </w:pPr>
            <w:r>
              <w:rPr>
                <w:rFonts w:ascii="Times New Roman" w:hAnsi="Times New Roman"/>
                <w:b/>
                <w:i w:val="false"/>
                <w:color w:val="000000"/>
                <w:sz w:val="20"/>
              </w:rPr>
              <w:t>Section</w:t>
            </w:r>
          </w:p>
        </w:tc>
        <w:tc>
          <w:tcPr>
            <w:tcW w:w="136" w:type="dxa"/>
            <w:tcBorders/>
            <w:tcMar>
              <w:top w:w="15" w:type="dxa"/>
              <w:left w:w="15" w:type="dxa"/>
              <w:bottom w:w="23"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Authenticating Agent</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2.02</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cash transaction</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7.03</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Event of Default</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6.01</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Judgment Currency</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10.15(a</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mandatory sinking fund payment</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3.05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optional sinking fund payment</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3.05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Paying Agent</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record date</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2.04</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Registrar</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Required Currency</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10.15(a</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Security Register</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self-liquidating paper</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7.03</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sinking fund payment date</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3.05</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Surviving Entity</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5.01(a</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w:t>
            </w:r>
          </w:p>
        </w:tc>
      </w:tr>
      <w:tr>
        <w:trPr>
          <w:trHeight w:val="210" w:hRule="atLeast"/>
        </w:trPr>
        <w:tc>
          <w:tcPr>
            <w:tcW w:w="1118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tranche</w:t>
            </w:r>
          </w:p>
        </w:tc>
        <w:tc>
          <w:tcPr>
            <w:tcW w:w="137"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2045" w:type="dxa"/>
            <w:tcBorders/>
            <w:tcMar>
              <w:top w:w="15" w:type="dxa"/>
              <w:left w:w="15" w:type="dxa"/>
              <w:bottom w:w="15" w:type="dxa"/>
              <w:right w:w="15" w:type="dxa"/>
            </w:tcMar>
            <w:vAlign w:val="bottom"/>
          </w:tcPr>
          <w:p>
            <w:pPr>
              <w:spacing w:before="0" w:after="0"/>
              <w:ind w:left="0"/>
              <w:jc w:val="right"/>
            </w:pPr>
            <w:r>
              <w:rPr>
                <w:rFonts w:ascii="Times New Roman" w:hAnsi="Times New Roman"/>
                <w:b w:val="false"/>
                <w:i w:val="false"/>
                <w:color w:val="000000"/>
                <w:sz w:val="20"/>
              </w:rPr>
              <w:t>2.14</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1.03</w:t>
      </w:r>
      <w:r>
        <w:rPr>
          <w:rFonts w:ascii="Times New Roman" w:hAnsi="Times New Roman"/>
          <w:b w:val="false"/>
          <w:i w:val="false"/>
          <w:color w:val="000000"/>
          <w:sz w:val="20"/>
        </w:rPr>
        <w:t> </w:t>
      </w:r>
      <w:r>
        <w:rPr>
          <w:rFonts w:ascii="Times New Roman" w:hAnsi="Times New Roman"/>
          <w:b w:val="false"/>
          <w:i/>
          <w:color w:val="000000"/>
          <w:sz w:val="20"/>
        </w:rPr>
        <w:t>Incorporation by Reference of Trust Indenture Act</w:t>
      </w:r>
      <w:r>
        <w:rPr>
          <w:rFonts w:ascii="Times New Roman" w:hAnsi="Times New Roman"/>
          <w:b w:val="false"/>
          <w:i w:val="false"/>
          <w:color w:val="000000"/>
          <w:sz w:val="20"/>
        </w:rPr>
        <w:t>. Whenever this Indenture refers to a provision of the Trust Indenture Act, the provision is incorporated by reference in and made a part of this Indenture. The following terms used in this Indenture that are defined by the Trust Indenture Act have the following meanings: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 securities</w:t>
      </w:r>
      <w:r>
        <w:rPr>
          <w:rFonts w:ascii="Times New Roman" w:hAnsi="Times New Roman"/>
          <w:b w:val="false"/>
          <w:i w:val="false"/>
          <w:color w:val="000000"/>
          <w:sz w:val="20"/>
        </w:rPr>
        <w:t>” means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 security holder</w:t>
      </w:r>
      <w:r>
        <w:rPr>
          <w:rFonts w:ascii="Times New Roman" w:hAnsi="Times New Roman"/>
          <w:b w:val="false"/>
          <w:i w:val="false"/>
          <w:color w:val="000000"/>
          <w:sz w:val="20"/>
        </w:rPr>
        <w:t>” means a Holder or a Securityholder;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 to be qualified</w:t>
      </w:r>
      <w:r>
        <w:rPr>
          <w:rFonts w:ascii="Times New Roman" w:hAnsi="Times New Roman"/>
          <w:b w:val="false"/>
          <w:i w:val="false"/>
          <w:color w:val="000000"/>
          <w:sz w:val="20"/>
        </w:rPr>
        <w:t>” means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indenture trustee</w:t>
      </w:r>
      <w:r>
        <w:rPr>
          <w:rFonts w:ascii="Times New Roman" w:hAnsi="Times New Roman"/>
          <w:b w:val="false"/>
          <w:i w:val="false"/>
          <w:color w:val="000000"/>
          <w:sz w:val="20"/>
        </w:rPr>
        <w:t>” or “</w:t>
      </w:r>
      <w:r>
        <w:rPr>
          <w:rFonts w:ascii="Times New Roman" w:hAnsi="Times New Roman"/>
          <w:b/>
          <w:i w:val="false"/>
          <w:color w:val="000000"/>
          <w:sz w:val="20"/>
        </w:rPr>
        <w:t>institutional trustee</w:t>
      </w:r>
      <w:r>
        <w:rPr>
          <w:rFonts w:ascii="Times New Roman" w:hAnsi="Times New Roman"/>
          <w:b w:val="false"/>
          <w:i w:val="false"/>
          <w:color w:val="000000"/>
          <w:sz w:val="20"/>
        </w:rPr>
        <w:t>” means the Trustee;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rPr>
          <w:rFonts w:ascii="Times New Roman" w:hAnsi="Times New Roman"/>
          <w:b/>
          <w:i w:val="false"/>
          <w:color w:val="000000"/>
          <w:sz w:val="20"/>
        </w:rPr>
        <w:t>obligor</w:t>
      </w:r>
      <w:r>
        <w:rPr>
          <w:rFonts w:ascii="Times New Roman" w:hAnsi="Times New Roman"/>
          <w:b w:val="false"/>
          <w:i w:val="false"/>
          <w:color w:val="000000"/>
          <w:sz w:val="20"/>
        </w:rPr>
        <w:t>” on the indenture securities means the Company or any other obligor on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All other terms used in this Indenture that are defined by the Trust Indenture Act, defined by reference in the Trust Indenture Act to another statute or defined by a rule of the Commission and not otherwise defined herein have the meanings assigned to them therein.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1.04</w:t>
      </w:r>
      <w:r>
        <w:rPr>
          <w:rFonts w:ascii="Times New Roman" w:hAnsi="Times New Roman"/>
          <w:b w:val="false"/>
          <w:i w:val="false"/>
          <w:color w:val="000000"/>
          <w:sz w:val="20"/>
        </w:rPr>
        <w:t> </w:t>
      </w:r>
      <w:r>
        <w:rPr>
          <w:rFonts w:ascii="Times New Roman" w:hAnsi="Times New Roman"/>
          <w:b w:val="false"/>
          <w:i/>
          <w:color w:val="000000"/>
          <w:sz w:val="20"/>
        </w:rPr>
        <w:t>Rules of Construction</w:t>
      </w:r>
      <w:r>
        <w:rPr>
          <w:rFonts w:ascii="Times New Roman" w:hAnsi="Times New Roman"/>
          <w:b w:val="false"/>
          <w:i w:val="false"/>
          <w:color w:val="000000"/>
          <w:sz w:val="20"/>
        </w:rPr>
        <w:t>. Unless the context otherwise requires: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an accounting term not otherwise defined has the meaning assigned to it in accordance with IFRS;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words in the singular include the plural, and words in the plural include the singular;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“herein,” “hereof” and other words of similar import refer to this Indenture as a whole and not to any particular Article, Section or other subdivision;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 “or” is not exclusive;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w:t>
      </w:r>
      <w:r>
        <w:rPr>
          <w:rFonts w:ascii="Times New Roman" w:hAnsi="Times New Roman"/>
          <w:b w:val="false"/>
          <w:i w:val="false"/>
          <w:color w:val="000000"/>
          <w:sz w:val="20"/>
        </w:rPr>
        <w:t>  </w:t>
      </w:r>
      <w:r>
        <w:rPr>
          <w:rFonts w:ascii="Times New Roman" w:hAnsi="Times New Roman"/>
          <w:b w:val="false"/>
          <w:i w:val="false"/>
          <w:color w:val="000000"/>
          <w:sz w:val="20"/>
        </w:rPr>
        <w:t>all references to Sections or Articles refer to Sections or Articles of this Indenture unless otherwise indicated;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w:t>
      </w:r>
      <w:r>
        <w:rPr>
          <w:rFonts w:ascii="Times New Roman" w:hAnsi="Times New Roman"/>
          <w:b w:val="false"/>
          <w:i w:val="false"/>
          <w:color w:val="000000"/>
          <w:sz w:val="20"/>
        </w:rPr>
        <w:t>  </w:t>
      </w:r>
      <w:r>
        <w:rPr>
          <w:rFonts w:ascii="Times New Roman" w:hAnsi="Times New Roman"/>
          <w:b w:val="false"/>
          <w:i w:val="false"/>
          <w:color w:val="000000"/>
          <w:sz w:val="20"/>
        </w:rPr>
        <w:t>use of masculine, feminine or neuter pronouns should not be deemed a limitation, and the use of any such pronouns should be construed to include, where appropriate, the other pronouns.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2</w:t>
      </w:r>
      <w:r>
        <w:br/>
      </w:r>
      <w:r>
        <w:rPr>
          <w:rFonts w:ascii="Times New Roman" w:hAnsi="Times New Roman"/>
          <w:b w:val="false"/>
          <w:i w:val="false"/>
          <w:color w:val="000000"/>
          <w:sz w:val="20"/>
        </w:rPr>
        <w:t xml:space="preserve"> The Securities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2.01</w:t>
      </w:r>
      <w:r>
        <w:rPr>
          <w:rFonts w:ascii="Times New Roman" w:hAnsi="Times New Roman"/>
          <w:b w:val="false"/>
          <w:i w:val="false"/>
          <w:color w:val="000000"/>
          <w:sz w:val="20"/>
        </w:rPr>
        <w:t> </w:t>
      </w:r>
      <w:r>
        <w:rPr>
          <w:rFonts w:ascii="Times New Roman" w:hAnsi="Times New Roman"/>
          <w:b w:val="false"/>
          <w:i/>
          <w:color w:val="000000"/>
          <w:sz w:val="20"/>
        </w:rPr>
        <w:t>Form and Dating</w:t>
      </w:r>
      <w:r>
        <w:rPr>
          <w:rFonts w:ascii="Times New Roman" w:hAnsi="Times New Roman"/>
          <w:b w:val="false"/>
          <w:i w:val="false"/>
          <w:color w:val="000000"/>
          <w:sz w:val="20"/>
        </w:rPr>
        <w:t>. The Securities of each series shall be substantially in such form or forms (not inconsistent with this Indenture) as shall be established by or pursuant to one or more Board Resolutions or in one or more indentures supplemental hereto, in each case with such appropriate insertions, omissions, substitutions and other variations as are required or permitted by this Indenture and may have imprinted or otherwise reproduced thereon such legend or legends or endorsements, not inconsistent with the provisions of this Indenture, as may be required to comply with any law, or with any rules of any securities exchange or usage, all as may be determined by the Officers executing such Securities as evidenced by their execution of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2.02</w:t>
      </w:r>
      <w:r>
        <w:rPr>
          <w:rFonts w:ascii="Times New Roman" w:hAnsi="Times New Roman"/>
          <w:b w:val="false"/>
          <w:i w:val="false"/>
          <w:color w:val="000000"/>
          <w:sz w:val="20"/>
        </w:rPr>
        <w:t> </w:t>
      </w:r>
      <w:r>
        <w:rPr>
          <w:rFonts w:ascii="Times New Roman" w:hAnsi="Times New Roman"/>
          <w:b w:val="false"/>
          <w:i/>
          <w:color w:val="000000"/>
          <w:sz w:val="20"/>
        </w:rPr>
        <w:t>Execution and Authentication</w:t>
      </w:r>
      <w:r>
        <w:rPr>
          <w:rFonts w:ascii="Times New Roman" w:hAnsi="Times New Roman"/>
          <w:b w:val="false"/>
          <w:i w:val="false"/>
          <w:color w:val="000000"/>
          <w:sz w:val="20"/>
        </w:rPr>
        <w:t>. Two Officers shall execute the Securities for the Company by electronic or manual signature in the name and on behalf of the Company. If an Officer whose signature is on a Security no longer holds that office at the time the Security is authenticated, the Security shall nevertheless be valid.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at the expense of the Company, may appoint an authenticating agent (the “Authenticating Agent”) to authenticate Securities. The Authenticating Agent may authenticate Securities whenever the Trustee may do so. Each reference in this Indenture to authentication by the Trustee includes authentication by such Authenticating Agent.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Security shall not be valid until the Trustee or Authenticating Agent signs, electronically or manually, the certificate of authentication on the Security. The signature shall be conclusive evidence that the Security has been authenticated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At any time and from time to time after the execution and delivery of this Indenture, the Company may deliver Securities of any series executed by the Company to the Trustee for authentication together with the applicable documents referred to below in this Section, and the Trustee shall thereupon authenticate and deliver such Securities to or upon the written order of the Company. In authenticating any Securities of a series, the Trustee shall be entitled to receive prior to the authentication of any Securities of such series, and (subject to Article 7) shall be fully protected in relying upon, unless and until such documents have been superseded or revoked: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any Board Resolution and/or executed supplemental indenture referred to in Sections 2.01 and 2.03 by or pursuant to which the forms and terms of the Securities of that series were established;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an Officers’ Certificate setting forth the form or forms and terms of the Securities, stating that the form or forms and terms of the Securities of such series have been, or, in the case of a Periodic Offering, will be when established in accordance with such procedures as shall be referred to therein, established in compliance with this Indenture;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an Opinion of Counsel substantially to the effect that the form or forms and terms of the Securities of such series have been, or, in the case of a Periodic Offering, will be when established in accordance with such procedures as shall be referred to therein, established in compliance with this Indenture and that the supplemental indenture, to the extent applicable, and Securities have been duly authorized and, if executed and authenticated in accordance with the provisions of the Indenture and delivered to and duly paid for by the purchasers thereof on the date of such opinion, would be entitled to the benefits of the Indenture and would be valid and binding obligations of the Company, enforceable against the Company in accordance with their respective terms, subject to bankruptcy, insolvency, reorganization, receivership, moratorium and other similar laws affecting creditors’ rights generally, general principles of equity, and covering such other matters as shall be specified therein and as shall be reasonably requested by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shall not be required to authenticate such Securities if the issue of such Securities pursuant to this Indenture will affect the Trustee’s own rights, duties or immunities under the Securities and this Indenture or otherwise in a manner which is not reasonably acceptable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the provisions of Sections 2.01 and 2.02, if, in connection with a Periodic Offering, all Securities of a series are not to be originally issued at one time, it shall not be necessary to deliver the Board Resolution otherwise required pursuant to Section 2.01 or the written order, Officers’ Certificate and Opinion of Counsel otherwise required pursuant to Section 2.02 at or prior to the authentication of each Security of such series if such documents are delivered at or prior to the authentication upon original issuance of the first Security of such series to be issued.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With respect to Securities of a series offered in a Periodic Offering, the Trustee may rely, as to the authorization by the Company of any of such Securities, the forms and terms thereof and the legality, validity, binding effect and enforceability thereof, upon the Opinion of Counsel and the other documents delivered pursuant to Sections 2.01 and 2.02, as applicable, in connection with the first authentication of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 Company shall establish pursuant to Section 2.03 that the Securities of a series or a portion thereof are to be issued in the form of one or more Registered Global Securities, then the Company shall execute and the Trustee shall authenticate and deliver one or more Registered Global Securities that (i) shall represent and shall be denominated in an amount equal to the aggregate Principal amount of all of the Securities of such series issued in such form and not yet cancelled, (ii) shall be registered in the name of the Depositary for such Registered Global Security or Securities or the nominee of such Depositary, (iii) shall be delivered by the Trustee to such Depositary or its custodian or pursuant to such Depositary’s instructions and (iv) shall (unless provided otherwise in the form of such Security) bear a legend substantially to the following effect: “Unless and until it is exchanged in whole or in part for Securities in definitive registered form, this Security may not be transferred except as a whole by the Depositary to the nominee of the Depositary or by a nominee of the Depositary to the Depositary or another nominee of the Depositary or by the Depositary or any such nominee to a successor Depositary or a nominee of such successor Depositary.”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2.03</w:t>
      </w:r>
      <w:r>
        <w:rPr>
          <w:rFonts w:ascii="Times New Roman" w:hAnsi="Times New Roman"/>
          <w:b w:val="false"/>
          <w:i w:val="false"/>
          <w:color w:val="000000"/>
          <w:sz w:val="20"/>
        </w:rPr>
        <w:t> </w:t>
      </w:r>
      <w:r>
        <w:rPr>
          <w:rFonts w:ascii="Times New Roman" w:hAnsi="Times New Roman"/>
          <w:b w:val="false"/>
          <w:i/>
          <w:color w:val="000000"/>
          <w:sz w:val="20"/>
        </w:rPr>
        <w:t>Amount Unlimited; Issuable in Series</w:t>
      </w:r>
      <w:r>
        <w:rPr>
          <w:rFonts w:ascii="Times New Roman" w:hAnsi="Times New Roman"/>
          <w:b w:val="false"/>
          <w:i w:val="false"/>
          <w:color w:val="000000"/>
          <w:sz w:val="20"/>
        </w:rPr>
        <w:t>. The aggregate Principal amount of Securities that may be authenticated and delivered under this Indenture is unlimited.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Securities may be issued in one or more series and each such series shall rank equally and pari passu with the Securities of each other series, but all Securities hereunder shall be subordinate and junior in right of payment, to the extent and manner set forth in Article 11, to all Senior Indebtedness. There shall be established in or pursuant to a Board Resolution or one or more indentures supplemental hereto, prior to the initial issuance of Securities of any series, subject to the last sentence of this Section 2.03,</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the designation of the Securities of the series, which shall distinguish the Securities of the series from the Securities of all other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any limit upon the aggregate Principal amount of the Securities of the series that may be authenticated and delivered under this Indenture and any limitation on the ability of the Company to increase such aggregate Principal amount after the initial issuance of the Securities of that series (except for Securities authenticated and delivered upon registration of transfer of, or in exchange for, or in lieu of, or upon redemption of, other Securities of the series pursuant 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the date or dates on which the Principal of the Securities of the series is payable (which date or dates may be fixed or extendible);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w:t>
      </w:r>
      <w:r>
        <w:rPr>
          <w:rFonts w:ascii="Times New Roman" w:hAnsi="Times New Roman"/>
          <w:b w:val="false"/>
          <w:i w:val="false"/>
          <w:color w:val="000000"/>
          <w:sz w:val="20"/>
        </w:rPr>
        <w:t>the rate or rates (which may be fixed or variable) per annum at which the Securities of the series shall bear interest, if any, the date or dates from which such interest shall accrue, on which such interest shall be payable and on which a record shall be taken for the determination of Holders to whom interest is payable and/or the method by which such rate or rates or date or dates shall be determined;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w:t>
      </w:r>
      <w:r>
        <w:rPr>
          <w:rFonts w:ascii="Times New Roman" w:hAnsi="Times New Roman"/>
          <w:b w:val="false"/>
          <w:i w:val="false"/>
          <w:color w:val="000000"/>
          <w:sz w:val="20"/>
        </w:rPr>
        <w:t>  </w:t>
      </w:r>
      <w:r>
        <w:rPr>
          <w:rFonts w:ascii="Times New Roman" w:hAnsi="Times New Roman"/>
          <w:b w:val="false"/>
          <w:i w:val="false"/>
          <w:color w:val="000000"/>
          <w:sz w:val="20"/>
        </w:rPr>
        <w:t>if other than as provided in Section 4.02, the place or places where the Principal of and any interest on Securities of the series shall be payable, any Securities of the series may be surrendered for exchange, and notices and demands to or upon the Company in respect of the Securities of the series and this Indenture may be served;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w:t>
      </w:r>
      <w:r>
        <w:rPr>
          <w:rFonts w:ascii="Times New Roman" w:hAnsi="Times New Roman"/>
          <w:b w:val="false"/>
          <w:i w:val="false"/>
          <w:color w:val="000000"/>
          <w:sz w:val="20"/>
        </w:rPr>
        <w:t>  </w:t>
      </w:r>
      <w:r>
        <w:rPr>
          <w:rFonts w:ascii="Times New Roman" w:hAnsi="Times New Roman"/>
          <w:b w:val="false"/>
          <w:i w:val="false"/>
          <w:color w:val="000000"/>
          <w:sz w:val="20"/>
        </w:rPr>
        <w:t>the right, if any, of the Company to redeem Securities of the series, in whole or in part, at its option and the period or periods within which, the price or prices at which and any terms and conditions upon which Securities of the series may be so redeemed, pursuant to any sinking fund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(g)</w:t>
      </w:r>
      <w:r>
        <w:rPr>
          <w:rFonts w:ascii="Times New Roman" w:hAnsi="Times New Roman"/>
          <w:b w:val="false"/>
          <w:i w:val="false"/>
          <w:color w:val="000000"/>
          <w:sz w:val="20"/>
        </w:rPr>
        <w:t>  </w:t>
      </w:r>
      <w:r>
        <w:rPr>
          <w:rFonts w:ascii="Times New Roman" w:hAnsi="Times New Roman"/>
          <w:b w:val="false"/>
          <w:i w:val="false"/>
          <w:color w:val="000000"/>
          <w:sz w:val="20"/>
        </w:rPr>
        <w:t>the obligation, if any, of the Company to redeem, purchase or repay Securities of the series pursuant to any mandatory redemption, sinking fund or analogous provisions or at the option of a Holder thereof and the price or prices at which and the period or periods within which and any of the terms and conditions upon which Securities of the series shall be redeemed, purchased or repaid, in whole or in part, pursuant to such obligation;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(h)</w:t>
      </w:r>
      <w:r>
        <w:rPr>
          <w:rFonts w:ascii="Times New Roman" w:hAnsi="Times New Roman"/>
          <w:b w:val="false"/>
          <w:i w:val="false"/>
          <w:color w:val="000000"/>
          <w:sz w:val="20"/>
        </w:rPr>
        <w:t>  </w:t>
      </w:r>
      <w:r>
        <w:rPr>
          <w:rFonts w:ascii="Times New Roman" w:hAnsi="Times New Roman"/>
          <w:b w:val="false"/>
          <w:i w:val="false"/>
          <w:color w:val="000000"/>
          <w:sz w:val="20"/>
        </w:rPr>
        <w:t>if other than denominations of $2,000 and any higher integral multiple of $1,000, the denominations in which Securities of the series shall be issuable;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w:t>
      </w:r>
      <w:r>
        <w:rPr>
          <w:rFonts w:ascii="Times New Roman" w:hAnsi="Times New Roman"/>
          <w:b w:val="false"/>
          <w:i w:val="false"/>
          <w:color w:val="000000"/>
          <w:sz w:val="20"/>
        </w:rPr>
        <w:t>  </w:t>
      </w:r>
      <w:r>
        <w:rPr>
          <w:rFonts w:ascii="Times New Roman" w:hAnsi="Times New Roman"/>
          <w:b w:val="false"/>
          <w:i w:val="false"/>
          <w:color w:val="000000"/>
          <w:sz w:val="20"/>
        </w:rPr>
        <w:t>if other than the Principal amount thereof, the portion of the Principal amount of Securities of the series which shall be payable upon declaration of acceleration of the maturity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(j)</w:t>
      </w:r>
      <w:r>
        <w:rPr>
          <w:rFonts w:ascii="Times New Roman" w:hAnsi="Times New Roman"/>
          <w:b w:val="false"/>
          <w:i w:val="false"/>
          <w:color w:val="000000"/>
          <w:sz w:val="20"/>
        </w:rPr>
        <w:t>  </w:t>
      </w:r>
      <w:r>
        <w:rPr>
          <w:rFonts w:ascii="Times New Roman" w:hAnsi="Times New Roman"/>
          <w:b w:val="false"/>
          <w:i w:val="false"/>
          <w:color w:val="000000"/>
          <w:sz w:val="20"/>
        </w:rPr>
        <w:t>if other than the coin or currency in which the Securities of the series are denominated, the coin or currency in which payment of the Principal of or interest on the Securities of the series shall be payable or if the amount of payments of principal of and/or interest on the Securities of the series may be determined with reference to an index based on a coin or currency other than that in which the Securities of the series are denominated, the manner in which such amounts shall be determined;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(k)</w:t>
      </w:r>
      <w:r>
        <w:rPr>
          <w:rFonts w:ascii="Times New Roman" w:hAnsi="Times New Roman"/>
          <w:b w:val="false"/>
          <w:i w:val="false"/>
          <w:color w:val="000000"/>
          <w:sz w:val="20"/>
        </w:rPr>
        <w:t>  </w:t>
      </w:r>
      <w:r>
        <w:rPr>
          <w:rFonts w:ascii="Times New Roman" w:hAnsi="Times New Roman"/>
          <w:b w:val="false"/>
          <w:i w:val="false"/>
          <w:color w:val="000000"/>
          <w:sz w:val="20"/>
        </w:rPr>
        <w:t>if other than the currency of the United States of America, the currency or currencies, including composite currencies, in which payment of the Principal of and interest on the Securities of the series shall be payable, and the manner in which any such currencies shall be valued against other currencies in which any other Securities shall be payable;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(l)</w:t>
      </w:r>
      <w:r>
        <w:rPr>
          <w:rFonts w:ascii="Times New Roman" w:hAnsi="Times New Roman"/>
          <w:b w:val="false"/>
          <w:i w:val="false"/>
          <w:color w:val="000000"/>
          <w:sz w:val="20"/>
        </w:rPr>
        <w:t>  </w:t>
      </w:r>
      <w:r>
        <w:rPr>
          <w:rFonts w:ascii="Times New Roman" w:hAnsi="Times New Roman"/>
          <w:b w:val="false"/>
          <w:i w:val="false"/>
          <w:color w:val="000000"/>
          <w:sz w:val="20"/>
        </w:rPr>
        <w:t>whether the Securities of the series or any portion thereof will be issuable as Registered Global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(m)</w:t>
      </w:r>
      <w:r>
        <w:rPr>
          <w:rFonts w:ascii="Times New Roman" w:hAnsi="Times New Roman"/>
          <w:b w:val="false"/>
          <w:i w:val="false"/>
          <w:color w:val="000000"/>
          <w:sz w:val="20"/>
        </w:rPr>
        <w:t>  </w:t>
      </w:r>
      <w:r>
        <w:rPr>
          <w:rFonts w:ascii="Times New Roman" w:hAnsi="Times New Roman"/>
          <w:b w:val="false"/>
          <w:i w:val="false"/>
          <w:color w:val="000000"/>
          <w:sz w:val="20"/>
        </w:rPr>
        <w:t>whether the Securities of the series may be exchangeable for and/or convertible into the common stock of the Company or any other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w:t>
      </w:r>
      <w:r>
        <w:rPr>
          <w:rFonts w:ascii="Times New Roman" w:hAnsi="Times New Roman"/>
          <w:b w:val="false"/>
          <w:i w:val="false"/>
          <w:color w:val="000000"/>
          <w:sz w:val="20"/>
        </w:rPr>
        <w:t>  </w:t>
      </w:r>
      <w:r>
        <w:rPr>
          <w:rFonts w:ascii="Times New Roman" w:hAnsi="Times New Roman"/>
          <w:b w:val="false"/>
          <w:i w:val="false"/>
          <w:color w:val="000000"/>
          <w:sz w:val="20"/>
        </w:rPr>
        <w:t>whether and under what circumstances the Company will pay additional amounts on the Securities of the series held by a person who is not a U.S. person in respect of any tax, assessment or governmental charge withheld or deducted and, if so, whether the Company will have the option to redeem such Securities rather than pay such additional amounts;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(o)</w:t>
      </w:r>
      <w:r>
        <w:rPr>
          <w:rFonts w:ascii="Times New Roman" w:hAnsi="Times New Roman"/>
          <w:b w:val="false"/>
          <w:i w:val="false"/>
          <w:color w:val="000000"/>
          <w:sz w:val="20"/>
        </w:rPr>
        <w:t>  </w:t>
      </w:r>
      <w:r>
        <w:rPr>
          <w:rFonts w:ascii="Times New Roman" w:hAnsi="Times New Roman"/>
          <w:b w:val="false"/>
          <w:i w:val="false"/>
          <w:color w:val="000000"/>
          <w:sz w:val="20"/>
        </w:rPr>
        <w:t>if the Securities of the series are to be issuable in definitive form (whether upon original issue or upon exchange of a temporary Security of such series) only upon receipt of certain certificates or other documents or satisfaction of other conditions, the form and terms of such certificates, documents or conditions;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(p)</w:t>
      </w:r>
      <w:r>
        <w:rPr>
          <w:rFonts w:ascii="Times New Roman" w:hAnsi="Times New Roman"/>
          <w:b w:val="false"/>
          <w:i w:val="false"/>
          <w:color w:val="000000"/>
          <w:sz w:val="20"/>
        </w:rPr>
        <w:t>  </w:t>
      </w:r>
      <w:r>
        <w:rPr>
          <w:rFonts w:ascii="Times New Roman" w:hAnsi="Times New Roman"/>
          <w:b w:val="false"/>
          <w:i w:val="false"/>
          <w:color w:val="000000"/>
          <w:sz w:val="20"/>
        </w:rPr>
        <w:t>any trustees, depositaries, authenticating or paying agents, transfer agents or the registrar or any other agents with respect to the Securities of the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(q)</w:t>
      </w:r>
      <w:r>
        <w:rPr>
          <w:rFonts w:ascii="Times New Roman" w:hAnsi="Times New Roman"/>
          <w:b w:val="false"/>
          <w:i w:val="false"/>
          <w:color w:val="000000"/>
          <w:sz w:val="20"/>
        </w:rPr>
        <w:t>  </w:t>
      </w:r>
      <w:r>
        <w:rPr>
          <w:rFonts w:ascii="Times New Roman" w:hAnsi="Times New Roman"/>
          <w:b w:val="false"/>
          <w:i w:val="false"/>
          <w:color w:val="000000"/>
          <w:sz w:val="20"/>
        </w:rPr>
        <w:t>provisions, if any, for the defeasance of the Securities of the series (including provisions permitting defeasance of less than all Securities of the series), which provisions may be in addition to, in substitution for, or in modification of (or any combination of the foregoing) the provisions of Article 8;</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(r)</w:t>
      </w:r>
      <w:r>
        <w:rPr>
          <w:rFonts w:ascii="Times New Roman" w:hAnsi="Times New Roman"/>
          <w:b w:val="false"/>
          <w:i w:val="false"/>
          <w:color w:val="000000"/>
          <w:sz w:val="20"/>
        </w:rPr>
        <w:t>  </w:t>
      </w:r>
      <w:r>
        <w:rPr>
          <w:rFonts w:ascii="Times New Roman" w:hAnsi="Times New Roman"/>
          <w:b w:val="false"/>
          <w:i w:val="false"/>
          <w:color w:val="000000"/>
          <w:sz w:val="20"/>
        </w:rPr>
        <w:t>if the Securities of the series are issuable in whole or in part as one or more Registered Global Securities, the identity of the Depositary or common Depositary for such Registered Global Security or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w:t>
      </w:r>
      <w:r>
        <w:rPr>
          <w:rFonts w:ascii="Times New Roman" w:hAnsi="Times New Roman"/>
          <w:b w:val="false"/>
          <w:i w:val="false"/>
          <w:color w:val="000000"/>
          <w:sz w:val="20"/>
        </w:rPr>
        <w:t>  </w:t>
      </w:r>
      <w:r>
        <w:rPr>
          <w:rFonts w:ascii="Times New Roman" w:hAnsi="Times New Roman"/>
          <w:b w:val="false"/>
          <w:i w:val="false"/>
          <w:color w:val="000000"/>
          <w:sz w:val="20"/>
        </w:rPr>
        <w:t>any other or alternative Events of Default or covenants with respect to the Securities of the series;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w:t>
      </w:r>
      <w:r>
        <w:rPr>
          <w:rFonts w:ascii="Times New Roman" w:hAnsi="Times New Roman"/>
          <w:b w:val="false"/>
          <w:i w:val="false"/>
          <w:color w:val="000000"/>
          <w:sz w:val="20"/>
        </w:rPr>
        <w:t>  </w:t>
      </w:r>
      <w:r>
        <w:rPr>
          <w:rFonts w:ascii="Times New Roman" w:hAnsi="Times New Roman"/>
          <w:b w:val="false"/>
          <w:i w:val="false"/>
          <w:color w:val="000000"/>
          <w:sz w:val="20"/>
        </w:rPr>
        <w:t>any other terms of the Securities of the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All Securities of any one series shall be substantially identical, except as to date and denomination, except in the case of any Periodic Offering and except as may otherwise be provided by or pursuant to the Board Resolution referred to above or as set forth in any such indenture supplemental hereto. All Securities of any one series need not be issued at the same time and may be issued from time to time, consistent with the terms of this Indenture, if so provided by or pursuant to such Board Resolution or in any such indenture supplemental hereto and any forms and terms of Securities to be issued from time to time may be completed and established from time to time prior to the issuance thereof by procedures described in such Board Resolution or supplemental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Unless otherwise expressly provided with respect to a series of Securities, the aggregate principal amount of a series of Securities may be increased and additional Securities of such series may be issued up to the maximum aggregate principal amount authorized with respect to such series as increased.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2.04</w:t>
      </w:r>
      <w:r>
        <w:rPr>
          <w:rFonts w:ascii="Times New Roman" w:hAnsi="Times New Roman"/>
          <w:b w:val="false"/>
          <w:i w:val="false"/>
          <w:color w:val="000000"/>
          <w:sz w:val="20"/>
        </w:rPr>
        <w:t>  </w:t>
      </w:r>
      <w:r>
        <w:rPr>
          <w:rFonts w:ascii="Times New Roman" w:hAnsi="Times New Roman"/>
          <w:b w:val="false"/>
          <w:i/>
          <w:color w:val="000000"/>
          <w:sz w:val="20"/>
        </w:rPr>
        <w:t>Denomination and Date of Securities; Payments of Interest</w:t>
      </w:r>
      <w:r>
        <w:rPr>
          <w:rFonts w:ascii="Times New Roman" w:hAnsi="Times New Roman"/>
          <w:b w:val="false"/>
          <w:i w:val="false"/>
          <w:color w:val="000000"/>
          <w:sz w:val="20"/>
        </w:rPr>
        <w:t>. The Securities of each series shall be issuable in denominations established as contemplated by Section 2.03 or, if not so established with respect to Securities of any series, in denominations of $2,000 and any higher integral multiple of $1,000. The Securities of each series shall be numbered, lettered or otherwise distinguished in such manner or in accordance with such plan as the Officers of the Company executing the same may determine, as evidenced by their execution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Unless otherwise specified with respect to a series of Securities, each Security shall be dated the date of its authentication. The Securities of each series shall bear interest, if any, from the date, and such interest shall be payable on the dates, established as contemplated by Section 2.03.</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person in whose name any Security of any series is registered at the close of business on any record date applicable to a particular series with respect to any interest payment date for such series shall be entitled to receive the interest, if any, payable on such interest payment date notwithstanding any transfer or exchange of such Security subsequent to the record date and prior to such interest payment date, except if and to the extent the Company shall default in the payment of the interest due on such interest payment date for such series, in which case the provisions of Section 2.13 shall apply. The term “</w:t>
      </w:r>
      <w:r>
        <w:rPr>
          <w:rFonts w:ascii="Times New Roman" w:hAnsi="Times New Roman"/>
          <w:b/>
          <w:i w:val="false"/>
          <w:color w:val="000000"/>
          <w:sz w:val="20"/>
        </w:rPr>
        <w:t>record date</w:t>
      </w:r>
      <w:r>
        <w:rPr>
          <w:rFonts w:ascii="Times New Roman" w:hAnsi="Times New Roman"/>
          <w:b w:val="false"/>
          <w:i w:val="false"/>
          <w:color w:val="000000"/>
          <w:sz w:val="20"/>
        </w:rPr>
        <w:t>” as used with respect to any interest payment date (except a date for payment of defaulted interest) for the Securities of any series shall mean the date specified as such in the terms of the Securities of such series established as contemplated by Section 2.03, or, if no such date is so established, the fifteenth day next preceding such interest payment date, whether or not such record date is a Business Day.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2.05</w:t>
      </w:r>
      <w:r>
        <w:rPr>
          <w:rFonts w:ascii="Times New Roman" w:hAnsi="Times New Roman"/>
          <w:b w:val="false"/>
          <w:i w:val="false"/>
          <w:color w:val="000000"/>
          <w:sz w:val="20"/>
        </w:rPr>
        <w:t> </w:t>
      </w:r>
      <w:r>
        <w:rPr>
          <w:rFonts w:ascii="Times New Roman" w:hAnsi="Times New Roman"/>
          <w:b w:val="false"/>
          <w:i/>
          <w:color w:val="000000"/>
          <w:sz w:val="20"/>
        </w:rPr>
        <w:t>Registrar and Paying Agent; Agents Generally</w:t>
      </w:r>
      <w:r>
        <w:rPr>
          <w:rFonts w:ascii="Times New Roman" w:hAnsi="Times New Roman"/>
          <w:b w:val="false"/>
          <w:i w:val="false"/>
          <w:color w:val="000000"/>
          <w:sz w:val="20"/>
        </w:rPr>
        <w:t>. The Company shall maintain an office or agency where Securities may be presented for registration, registration of transfer or for exchange (the “</w:t>
      </w:r>
      <w:r>
        <w:rPr>
          <w:rFonts w:ascii="Times New Roman" w:hAnsi="Times New Roman"/>
          <w:b/>
          <w:i w:val="false"/>
          <w:color w:val="000000"/>
          <w:sz w:val="20"/>
        </w:rPr>
        <w:t>Registrar</w:t>
      </w:r>
      <w:r>
        <w:rPr>
          <w:rFonts w:ascii="Times New Roman" w:hAnsi="Times New Roman"/>
          <w:b w:val="false"/>
          <w:i w:val="false"/>
          <w:color w:val="000000"/>
          <w:sz w:val="20"/>
        </w:rPr>
        <w:t>”) and an office or agency where Securities may be presented for payment (the “</w:t>
      </w:r>
      <w:r>
        <w:rPr>
          <w:rFonts w:ascii="Times New Roman" w:hAnsi="Times New Roman"/>
          <w:b/>
          <w:i w:val="false"/>
          <w:color w:val="000000"/>
          <w:sz w:val="20"/>
        </w:rPr>
        <w:t>Paying Agent</w:t>
      </w:r>
      <w:r>
        <w:rPr>
          <w:rFonts w:ascii="Times New Roman" w:hAnsi="Times New Roman"/>
          <w:b w:val="false"/>
          <w:i w:val="false"/>
          <w:color w:val="000000"/>
          <w:sz w:val="20"/>
        </w:rPr>
        <w:t>”), which shall be in the United States of America. The Company shall cause the Registrar to keep a register of the Securities and of their registration, transfer and exchange (the “Security Register”). The Company may have one or more additional Paying Agents or transfer agents with respect to any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shall enter into an appropriate agency agreement with any Agent not a party to this Indenture. The agreement shall implement the provisions of this Indenture and the Trust Indenture Act that relate to such Agent. The Company shall give prompt written notice to the Trustee of the name and address of any Agent and any change in the name or address of an Agent. If the Company fails to maintain a Registrar or Paying Agent, the Trustee shall act as such. The Company may remove any Agent upon written notice to such Agent and the Trustee; provided that no such removal shall become effective until (i) the acceptance of an appointment by a successor Agent to such Agent as evidenced by an appropriate agency agreement entered into by the Company and such successor Agent and delivered to the Trustee or (ii) notification to the Trustee that the Trustee shall serve as such Agent until the appointment of a successor Agent in accordance with clause (i) of this proviso. The Company or any Affiliate of the Company may act as Paying Agent or Registrar; provided that neither the Company nor an Affiliate of the Company shall act as Paying Agent in connection with the defeasance of the Securities or the discharge of this Indenture under Article 8.</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initially appoints the Trustee as Registrar, Paying Agent and Authenticating Agent. If, at any time, the Trustee is not the Registrar, the Registrar shall make available to the Trustee 10 days prior to each interest payment date and at such other times as the Trustee may reasonably request the names and addresses of the Holders as they appear in the Security Register.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2.06</w:t>
      </w:r>
      <w:r>
        <w:rPr>
          <w:rFonts w:ascii="Times New Roman" w:hAnsi="Times New Roman"/>
          <w:b w:val="false"/>
          <w:i w:val="false"/>
          <w:color w:val="000000"/>
          <w:sz w:val="20"/>
        </w:rPr>
        <w:t> </w:t>
      </w:r>
      <w:r>
        <w:rPr>
          <w:rFonts w:ascii="Times New Roman" w:hAnsi="Times New Roman"/>
          <w:b w:val="false"/>
          <w:i/>
          <w:color w:val="000000"/>
          <w:sz w:val="20"/>
        </w:rPr>
        <w:t>Paying Agent to Hold Money in Trust</w:t>
      </w:r>
      <w:r>
        <w:rPr>
          <w:rFonts w:ascii="Times New Roman" w:hAnsi="Times New Roman"/>
          <w:b w:val="false"/>
          <w:i w:val="false"/>
          <w:color w:val="000000"/>
          <w:sz w:val="20"/>
        </w:rPr>
        <w:t>. Not later than 10:00 a.m. New York City time on each due date of any Principal or interest on any Securities, the Company shall deposit with the Paying Agent money in immediately available funds sufficient to pay such Principal or interest. The Company shall require each Paying Agent other than the Trustee to agree in writing that such Paying Agent shall hold in trust for the benefit of the Holders of such Securities or the Trustee all money held by the Paying Agent for the payment of Principal of and interest on such Securities and shall promptly notify the Trustee of any default by the Company in making any such payment. The Company at any time may require a Paying Agent to pay all money held by it to the Trustee and account for any funds disbursed, and the Trustee may at any time during the continuance of any payment default, upon written request to a Paying Agent, require such Paying Agent to pay all money held by it to the Trustee and to account for any funds disbursed. Upon doing so, the Paying Agent shall have no further liability for the money so paid over to the Trustee. If the Company or any affiliate of the Company acts as Paying Agent, it will, on or before each due date of any Principal of or interest on any Securities, segregate and hold in a separate trust fund for the benefit of the Holders thereof a sum of money sufficient to pay such Principal or interest so becoming due until such sum of money shall be paid to such Holders or otherwise disposed of as provided in this Indenture, and will promptly notify the Trustee in writing of its action or failure to act as required by this Section.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2.07</w:t>
      </w:r>
      <w:r>
        <w:rPr>
          <w:rFonts w:ascii="Times New Roman" w:hAnsi="Times New Roman"/>
          <w:b w:val="false"/>
          <w:i w:val="false"/>
          <w:color w:val="000000"/>
          <w:sz w:val="20"/>
        </w:rPr>
        <w:t> </w:t>
      </w:r>
      <w:r>
        <w:rPr>
          <w:rFonts w:ascii="Times New Roman" w:hAnsi="Times New Roman"/>
          <w:b w:val="false"/>
          <w:i/>
          <w:color w:val="000000"/>
          <w:sz w:val="20"/>
        </w:rPr>
        <w:t>Transfer and Exchange</w:t>
      </w:r>
      <w:r>
        <w:rPr>
          <w:rFonts w:ascii="Times New Roman" w:hAnsi="Times New Roman"/>
          <w:b w:val="false"/>
          <w:i w:val="false"/>
          <w:color w:val="000000"/>
          <w:sz w:val="20"/>
        </w:rPr>
        <w:t>. At the option of the Holder thereof, Securities of any series (other than a Registered Global Security, except as set forth below) may be exchanged for a Security or Securities of such series and tenor having authorized denominations and an equal aggregate Principal amount, upon surrender of such Securities to be exchanged at the agency of the Company that shall be maintained for such purpose in accordance with Section 2.05 and upon payment, if the Company shall so require, of the charges hereinafter provided. Whenever any Securities are so surrendered for exchange, the Company shall execute, and the Trustee shall authenticate and deliver, the Securities which the Holder making the exchange is entitled to receive. Upon surrender for registration of transfer of any Security of a series at the agency of the Company that shall be maintained for that purpose in accordance with Section 2.05 and upon payment, if the Company shall so require, of the charges hereinafter provided, the Company shall execute, and the Trustee shall authenticate and deliver, in the name of the designated transferee or transferees, one or more new Securities of the same series, of any authorized denominations and of like tenor and aggregate Principal amount.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All Securities presented for registration of transfer, exchange, redemption or payment shall be duly endorsed by, or be accompanied by a written instrument or instruments of transfer in form satisfactory to the Company and the Trustee duly executed by, the holder or his attorney duly authorized in writing.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may require payment of a sum sufficient to cover any tax or other governmental charge that may be imposed in connection with any exchange or registration of transfer of Securities. No service charge shall be made for any such transaction.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any other provision of this Section 2.07, unless and until it is exchanged in whole or in part for Securities in definitive registered form, a Registered Global Security representing all or a portion of the Securities of a series may not be transferred except as a whole by the Depositary for such series to a nominee of such Depositary or by a nominee of such Depositary to such Depositary or another nominee of such Depositary or by such Depositary or any such nominee to a successor Depositary for such series or a nominee of such successor Depositary.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at any time the Depositary for any Registered Global Securities of any series notifies the Company that it is unwilling or unable to continue as Depositary for such Registered Global Securities or if at any time the Depositary for such Registered Global Securities shall no longer be eligible under applicable law, the Company shall appoint a successor Depositary eligible under applicable law with respect to such Registered Global Securities. If a successor Depositary eligible under applicable law for such Registered Global Securities is not appointed by the Company within 90 days after the Company receives such notice or becomes aware of such ineligibility, the Company will execute, and the Trustee, upon receipt of the Company’s order for the authentication and delivery of definitive Securities of such series and tenor, will authenticate and deliver certificated Securities of such series and tenor, in any authorized denominations, in an aggregate Principal amount equal to the Principal amount of such Registered Global Securities, in exchange for such Registered Global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may at any time and in its sole discretion and subject to the procedures of the Depositary determine that any Registered Global Securities of any series shall no longer be maintained in global form. In such event the Company will execute, and the Trustee, upon receipt of the Company’s order for the authentication and delivery of definitive Securities of such series and tenor, will authenticate and deliver, certificated Securities of such series and tenor in any authorized denominations, in an aggregate Principal amount equal to the Principal amount of such Registered Global Securities, in exchange for such Registered Global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Any time the Securities of any series are not in the form of Registered Global Securities pursuant to the preceding two paragraphs, the Company agrees to supply the Trustee with a reasonable supply of certificated Securities without the legend required by Section 2.02 and the Trustee agrees to hold such Securities in safekeeping until authenticated and delivered pursuant to the terms of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established by the Company pursuant to Section 2.03 with respect to any Registered Global Security, the Depositary for such Registered Global Security may surrender such Registered Global Security in exchange in whole or in part for Securities of the same series and tenor in definitive registered form on such terms as are acceptable to the Company and such Depositary. Thereupon, the Company shall execute, and the Trustee shall authenticate and deliver, without service charge,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to the Person specified by such Depositary new certificated Securities of the same series and tenor, of any authorized denominations as requested by such Person, in an aggregate Principal amount equal to and in exchange for such Person’s beneficial interest in the Registered Global Security;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to such Depositary a new Registered Global Security in a denomination equal to the difference, if any, between the Principal amount of the surrendered Registered Global Security and the aggregate Principal amount of certificated Securities authenticated and delivered pursuant to clause (a) above.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Certificated Securities issued in exchange for a Registered Global Security pursuant to this Section 2.07 shall be registered in such names and in such authorized denominations as the Depositary for such Registered Global Security, pursuant to instructions from its direct or indirect participants or otherwise, shall instruct the Trustee or an agent of the Company or the Trustee. The Trustee or such agent shall deliver such Securities to or as directed by the Persons in whose names such Securities are so registered.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All Securities issued upon any transfer or exchange of Securities shall be valid obligations of the Company, evidencing the same debt, and entitled to the same benefits under this Indenture, as the Securities surrendered upon such transfer or exchange.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Registrar shall not be required (i) to issue, authenticate, register the transfer of or exchange Securities of any series for a period of 15 days before a selection of such Securities to be redeemed or (ii) to register the transfer of or exchange any Security selected for redemption in whole or in part.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2.08</w:t>
      </w:r>
      <w:r>
        <w:rPr>
          <w:rFonts w:ascii="Times New Roman" w:hAnsi="Times New Roman"/>
          <w:b w:val="false"/>
          <w:i w:val="false"/>
          <w:color w:val="000000"/>
          <w:sz w:val="20"/>
        </w:rPr>
        <w:t> </w:t>
      </w:r>
      <w:r>
        <w:rPr>
          <w:rFonts w:ascii="Times New Roman" w:hAnsi="Times New Roman"/>
          <w:b w:val="false"/>
          <w:i/>
          <w:color w:val="000000"/>
          <w:sz w:val="20"/>
        </w:rPr>
        <w:t>Replacement Securities</w:t>
      </w:r>
      <w:r>
        <w:rPr>
          <w:rFonts w:ascii="Times New Roman" w:hAnsi="Times New Roman"/>
          <w:b w:val="false"/>
          <w:i w:val="false"/>
          <w:color w:val="000000"/>
          <w:sz w:val="20"/>
        </w:rPr>
        <w:t>. If any mutilated Security is surrendered to the Trustee, the Company shall execute and the Trustee shall authenticate and deliver, in exchange for such mutilated Security, a new Security of the same series and of like tenor and Principal amount and bearing a number not contemporaneously outstanding.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there shall be delivered to the Company and the Trustee (i) evidence to their satisfaction of the destruction, loss or theft of any Security and (ii) such security or indemnity as may be required by them to save each of them and any agent of any of them harmless, then, in the absence of notice to the Company or the Trustee that such Security has been acquired by a bona fide purchaser, the Company shall execute and the Trustee shall authenticate and deliver, in lieu of any such destroyed, lost or stolen Security, a new Security of the same series and of like tenor and Principal amount and bearing a number not contemporaneously outstanding.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case any such mutilated, destroyed, lost or stolen Security has become or is about to become due and payable, the Company in its discretion may, instead of issuing a new Security, pay such Security (without surrender thereof except in the case of a mutilated Security) if the applicant for such payment shall furnish to the Company and the Trustee such security or indemnity as may be required by them to save each of them and any agent of any of them harmless, and in the case of destruction, loss or theft, evidence satisfactory to the Company and the Trustee and any agent of them of the destruction, loss or theft of such Security and the ownership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the issuance of any new Security under this Section, the Company may require payment of a sum sufficient to cover any tax or other governmental charge that may be imposed in relation thereto and any other expenses (including the fees and expenses of the Trustee) connected therewith.</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Every new Security of any series issued pursuant to this Section in lieu of any destroyed, lost or stolen Security or in exchange for any mutilated Security shall constitute an original additional contractual obligation of the Company, whether or not the mutilated, destroyed, lost or stolen Security shall be at any time enforceable by anyone, and any such new Security shall be entitled to all the benefits of this Indenture equally and proportionately with any and all other Securities of that series duly issued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provisions of this Section are exclusive and shall preclude (to the extent lawful) any other rights and remedies with respect to the replacement or payment of mutilated, destroyed, lost or stolen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2.09</w:t>
      </w:r>
      <w:r>
        <w:rPr>
          <w:rFonts w:ascii="Times New Roman" w:hAnsi="Times New Roman"/>
          <w:b w:val="false"/>
          <w:i w:val="false"/>
          <w:color w:val="000000"/>
          <w:sz w:val="20"/>
        </w:rPr>
        <w:t> </w:t>
      </w:r>
      <w:r>
        <w:rPr>
          <w:rFonts w:ascii="Times New Roman" w:hAnsi="Times New Roman"/>
          <w:b w:val="false"/>
          <w:i/>
          <w:color w:val="000000"/>
          <w:sz w:val="20"/>
        </w:rPr>
        <w:t>Outstanding Securities</w:t>
      </w:r>
      <w:r>
        <w:rPr>
          <w:rFonts w:ascii="Times New Roman" w:hAnsi="Times New Roman"/>
          <w:b w:val="false"/>
          <w:i w:val="false"/>
          <w:color w:val="000000"/>
          <w:sz w:val="20"/>
        </w:rPr>
        <w:t>. Securities outstanding at any time are all Securities that have been authenticated by the Trustee except for those cancelled by it, those delivered to it for cancellation, those described in this Section as not outstanding and those that have been defeased pursuant to Section 8.05. If a Security is replaced pursuant to Section 2.08, it ceases to be outstanding unless and until the Trustee and the Company receive proof satisfactory to them that the replaced Security is held by a holder in due course.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 Paying Agent (other than the Company or an affiliate of the Company) holds on the maturity date or any redemption date or date for repurchase of the Securities money sufficient to pay Securities payable or to be redeemed or repurchased on that date, then on and after that date such Securities cease to be outstanding and interest on them shall cease to accrue.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Security does not cease to be outstanding because the Company or one of its affiliates holds such Security, </w:t>
      </w:r>
      <w:r>
        <w:rPr>
          <w:rFonts w:ascii="Times New Roman" w:hAnsi="Times New Roman"/>
          <w:b w:val="false"/>
          <w:i/>
          <w:color w:val="000000"/>
          <w:sz w:val="20"/>
        </w:rPr>
        <w:t>provided, however</w:t>
      </w:r>
      <w:r>
        <w:rPr>
          <w:rFonts w:ascii="Times New Roman" w:hAnsi="Times New Roman"/>
          <w:b w:val="false"/>
          <w:i w:val="false"/>
          <w:color w:val="000000"/>
          <w:sz w:val="20"/>
        </w:rPr>
        <w:t>, that, in determining whether the Holders of the requisite Principal amount of the outstanding Securities have given any request, demand, authorization, direction, notice, consent or waiver hereunder, Securities owned by the Company or any affiliate of the Company shall be disregarded and deemed not to be outstanding, except that, in determining whether the Trustee shall be protected in relying upon any such request, demand, authorization, direction, notice, consent or waiver, only Securities as to which a Responsible Officer of the Trustee has received written notice to be so owned shall be so disregarded. Any Securities so owned which are pledged by the Company, or by any affiliate of the Company, as security for loans or other obligations, otherwise than to another such affiliate of the Company, shall be deemed to be outstanding, if the pledgee is entitled pursuant to the terms of its pledge agreement and is free to exercise in its or his discretion the right to vote such securities, uncontrolled by the Company or by any such affiliate.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2.10</w:t>
      </w:r>
      <w:r>
        <w:rPr>
          <w:rFonts w:ascii="Times New Roman" w:hAnsi="Times New Roman"/>
          <w:b w:val="false"/>
          <w:i w:val="false"/>
          <w:color w:val="000000"/>
          <w:sz w:val="20"/>
        </w:rPr>
        <w:t> </w:t>
      </w:r>
      <w:r>
        <w:rPr>
          <w:rFonts w:ascii="Times New Roman" w:hAnsi="Times New Roman"/>
          <w:b w:val="false"/>
          <w:i/>
          <w:color w:val="000000"/>
          <w:sz w:val="20"/>
        </w:rPr>
        <w:t>Temporary Securities</w:t>
      </w:r>
      <w:r>
        <w:rPr>
          <w:rFonts w:ascii="Times New Roman" w:hAnsi="Times New Roman"/>
          <w:b w:val="false"/>
          <w:i w:val="false"/>
          <w:color w:val="000000"/>
          <w:sz w:val="20"/>
        </w:rPr>
        <w:t>. Until definitive Securities of any series are ready for delivery, the Company may prepare and the Trustee shall authenticate temporary Securities of such series. Temporary Securities of any series shall be substantially in the form of definitive Securities of such series but may have insertions, substitutions, omissions and other variations determined to be appropriate by the Officers executing the temporary Securities, as evidenced by their execution of such temporary Securities. If temporary Securities of any series are issued, the Company will cause definitive Securities of such series to be prepared without unreasonable delay. After the preparation of definitive Securities of any series, the temporary Securities of such series shall be exchangeable for definitive Securities of such series and tenor upon surrender of such temporary Securities at the office or agency of the Company designated for such purpose pursuant to Section 4.02, without charge to the Holder. Upon surrender for cancellation of any one or more temporary Securities of any series the Company shall execute and the Trustee shall authenticate and deliver in exchange therefor a like Principal amount of definitive Securities of such series and tenor and authorized denominations. Until so exchanged, the temporary Securities of any series shall be entitled to the same benefits under this Indenture as definitive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2.11</w:t>
      </w:r>
      <w:r>
        <w:rPr>
          <w:rFonts w:ascii="Times New Roman" w:hAnsi="Times New Roman"/>
          <w:b w:val="false"/>
          <w:i w:val="false"/>
          <w:color w:val="000000"/>
          <w:sz w:val="20"/>
        </w:rPr>
        <w:t> </w:t>
      </w:r>
      <w:r>
        <w:rPr>
          <w:rFonts w:ascii="Times New Roman" w:hAnsi="Times New Roman"/>
          <w:b w:val="false"/>
          <w:i/>
          <w:color w:val="000000"/>
          <w:sz w:val="20"/>
        </w:rPr>
        <w:t>Cancellation</w:t>
      </w:r>
      <w:r>
        <w:rPr>
          <w:rFonts w:ascii="Times New Roman" w:hAnsi="Times New Roman"/>
          <w:b w:val="false"/>
          <w:i w:val="false"/>
          <w:color w:val="000000"/>
          <w:sz w:val="20"/>
        </w:rPr>
        <w:t>. The Company at any time may deliver to the Trustee for cancellation any Securities previously authenticated and delivered hereunder which the Company may have acquired in any manner whatsoever, and may deliver to the Trustee for cancellation any Securities previously authenticated hereunder which the Company has not issued and sold. The Registrar, any transfer agent and the Paying Agent shall forward to the Trustee any Securities surrendered to them for transfer, exchange or payment. The Trustee shall cancel and dispose of in accordance with its customary procedures all Securities surrendered for transfer, exchange, payment or cancellation and shall deliver a certificate of disposition to the Company. The Company may not issue new Securities to replace Securities it has paid in full or delivered to the Trustee for cancellation.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2.12</w:t>
      </w:r>
      <w:r>
        <w:rPr>
          <w:rFonts w:ascii="Times New Roman" w:hAnsi="Times New Roman"/>
          <w:b w:val="false"/>
          <w:i w:val="false"/>
          <w:color w:val="000000"/>
          <w:sz w:val="20"/>
        </w:rPr>
        <w:t> </w:t>
      </w:r>
      <w:r>
        <w:rPr>
          <w:rFonts w:ascii="Times New Roman" w:hAnsi="Times New Roman"/>
          <w:b w:val="false"/>
          <w:i/>
          <w:color w:val="000000"/>
          <w:sz w:val="20"/>
        </w:rPr>
        <w:t>CUSIP Numbers</w:t>
      </w:r>
      <w:r>
        <w:rPr>
          <w:rFonts w:ascii="Times New Roman" w:hAnsi="Times New Roman"/>
          <w:b w:val="false"/>
          <w:i w:val="false"/>
          <w:color w:val="000000"/>
          <w:sz w:val="20"/>
        </w:rPr>
        <w:t>. The Company in issuing the Securities may use “CUSIP,” “ISIN” and/or “CINS” numbers (if then generally in use), and the Trustee shall use CUSIP numbers, ISIN numbers or CINS numbers, as the case may be, in notices of redemption or exchange as a convenience to Holders and no representation shall be made as to the correctness of such numbers either as printed on the Securities or as contained in any notice of redemption or exchange.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2.13</w:t>
      </w:r>
      <w:r>
        <w:rPr>
          <w:rFonts w:ascii="Times New Roman" w:hAnsi="Times New Roman"/>
          <w:b w:val="false"/>
          <w:i w:val="false"/>
          <w:color w:val="000000"/>
          <w:sz w:val="20"/>
        </w:rPr>
        <w:t> </w:t>
      </w:r>
      <w:r>
        <w:rPr>
          <w:rFonts w:ascii="Times New Roman" w:hAnsi="Times New Roman"/>
          <w:b w:val="false"/>
          <w:i/>
          <w:color w:val="000000"/>
          <w:sz w:val="20"/>
        </w:rPr>
        <w:t>Defaulted Interest</w:t>
      </w:r>
      <w:r>
        <w:rPr>
          <w:rFonts w:ascii="Times New Roman" w:hAnsi="Times New Roman"/>
          <w:b w:val="false"/>
          <w:i w:val="false"/>
          <w:color w:val="000000"/>
          <w:sz w:val="20"/>
        </w:rPr>
        <w:t>. If the Company defaults in a payment of interest on the Securities, it shall pay, or shall deposit with the Paying Agent money in immediately available funds sufficient to pay, the defaulted interest plus (to the extent lawful) any interest payable on the defaulted interest (as may be specified in the terms thereof, established pursuant to Section 2.03) to the Persons who are Holders on a subsequent special record date, which shall mean the 15th day next preceding the date fixed by the Company for the payment of defaulted interest, whether or not such day is a Business Day. At least 15 days before such special record date, the Company shall mail to each Holder of such Securities and to the Trustee a notice that states the special record date, the payment date and the amount of defaulted interest to be paid.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2.14</w:t>
      </w:r>
      <w:r>
        <w:rPr>
          <w:rFonts w:ascii="Times New Roman" w:hAnsi="Times New Roman"/>
          <w:b w:val="false"/>
          <w:i w:val="false"/>
          <w:color w:val="000000"/>
          <w:sz w:val="20"/>
        </w:rPr>
        <w:t> </w:t>
      </w:r>
      <w:r>
        <w:rPr>
          <w:rFonts w:ascii="Times New Roman" w:hAnsi="Times New Roman"/>
          <w:b w:val="false"/>
          <w:i/>
          <w:color w:val="000000"/>
          <w:sz w:val="20"/>
        </w:rPr>
        <w:t>Series May Include Tranches</w:t>
      </w:r>
      <w:r>
        <w:rPr>
          <w:rFonts w:ascii="Times New Roman" w:hAnsi="Times New Roman"/>
          <w:b w:val="false"/>
          <w:i w:val="false"/>
          <w:color w:val="000000"/>
          <w:sz w:val="20"/>
        </w:rPr>
        <w:t>. A series of Securities may include one or more tranches (each a “</w:t>
      </w:r>
      <w:r>
        <w:rPr>
          <w:rFonts w:ascii="Times New Roman" w:hAnsi="Times New Roman"/>
          <w:b/>
          <w:i w:val="false"/>
          <w:color w:val="000000"/>
          <w:sz w:val="20"/>
        </w:rPr>
        <w:t>tranche</w:t>
      </w:r>
      <w:r>
        <w:rPr>
          <w:rFonts w:ascii="Times New Roman" w:hAnsi="Times New Roman"/>
          <w:b w:val="false"/>
          <w:i w:val="false"/>
          <w:color w:val="000000"/>
          <w:sz w:val="20"/>
        </w:rPr>
        <w:t>”) of Securities, including Securities issued in a Periodic Offering. The Securities of different tranches may have one or more different terms, including authentication dates and public offering prices, but all the Securities within each such tranche shall have identical terms, including authentication date and public offering price. Notwithstanding any other provision of this Indenture, with respect to Sections 2.02 (other than the fourth, sixth and seventh paragraphs thereof) through 2.04, 2.07, 2.08, 2.10, 3.01 through 3.05, 4.02, 6.01 through 6.14, 8.01 through 8.07, 9.02 and 10.07, if any series of Securities includes more than one tranche, all provisions of such sections applicable to any series of Securities shall be deemed equally applicable to each tranche of any series of Securities in the same manner as though originally designated a series unless otherwise provided with respect to such series or tranche pursuant to Section 2.03. In particular, and without limiting the scope of the next preceding sentence, any of the provisions of such sections which provide for or permit action to be taken with respect to a series of Securities shall also be deemed to provide for and permit such action to be taken instead only with respect to Securities of one or more tranches within that series (and such provisions shall be deemed satisfied thereby), even if no comparable action is taken with respect to Securities in the remaining tranches of that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3</w:t>
      </w:r>
      <w:r>
        <w:br/>
      </w:r>
      <w:r>
        <w:rPr>
          <w:rFonts w:ascii="Times New Roman" w:hAnsi="Times New Roman"/>
          <w:b w:val="false"/>
          <w:i w:val="false"/>
          <w:color w:val="000000"/>
          <w:sz w:val="20"/>
        </w:rPr>
        <w:t xml:space="preserve"> Redemption</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3.01</w:t>
      </w:r>
      <w:r>
        <w:rPr>
          <w:rFonts w:ascii="Times New Roman" w:hAnsi="Times New Roman"/>
          <w:b w:val="false"/>
          <w:i w:val="false"/>
          <w:color w:val="000000"/>
          <w:sz w:val="20"/>
        </w:rPr>
        <w:t> </w:t>
      </w:r>
      <w:r>
        <w:rPr>
          <w:rFonts w:ascii="Times New Roman" w:hAnsi="Times New Roman"/>
          <w:b w:val="false"/>
          <w:i/>
          <w:color w:val="000000"/>
          <w:sz w:val="20"/>
        </w:rPr>
        <w:t>Applicability of Article</w:t>
      </w:r>
      <w:r>
        <w:rPr>
          <w:rFonts w:ascii="Times New Roman" w:hAnsi="Times New Roman"/>
          <w:b w:val="false"/>
          <w:i w:val="false"/>
          <w:color w:val="000000"/>
          <w:sz w:val="20"/>
        </w:rPr>
        <w:t>. The provisions of this Article shall be applicable to the Securities of any series that are redeemable before their maturity or to any sinking fund for the retirement of Securities of a series except as otherwise specified as contemplated by Section 2.03 for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3.02</w:t>
      </w:r>
      <w:r>
        <w:rPr>
          <w:rFonts w:ascii="Times New Roman" w:hAnsi="Times New Roman"/>
          <w:b w:val="false"/>
          <w:i w:val="false"/>
          <w:color w:val="000000"/>
          <w:sz w:val="20"/>
        </w:rPr>
        <w:t> </w:t>
      </w:r>
      <w:r>
        <w:rPr>
          <w:rFonts w:ascii="Times New Roman" w:hAnsi="Times New Roman"/>
          <w:b w:val="false"/>
          <w:i/>
          <w:color w:val="000000"/>
          <w:sz w:val="20"/>
        </w:rPr>
        <w:t>Notice of Redemption; Partial Redemptions</w:t>
      </w:r>
      <w:r>
        <w:rPr>
          <w:rFonts w:ascii="Times New Roman" w:hAnsi="Times New Roman"/>
          <w:b w:val="false"/>
          <w:i w:val="false"/>
          <w:color w:val="000000"/>
          <w:sz w:val="20"/>
        </w:rPr>
        <w:t>. Notice of redemption to the Holders of Securities of any series to be redeemed as a whole or in part at the option of the Company shall be given by mailing notice of such redemption by first class mail, postage prepaid, at least 30 days and not more than 60 days prior to the date fixed for redemption to such Holders of Securities of such series at their last addresses as they shall appear upon the Security Register. Any notice which is mailed in the manner herein provided shall be conclusively presumed to have been duly given, whether or not the Holder receives the notice. Failure to give notice by mail, or any defect in the notice to the Holder of any Security of a series designated for redemption as a whole or in part, shall not affect the validity of the proceedings for the redemption of any other Security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notice of redemption to each such Holder shall specify the Principal amount of each Security of such series held by such Holder to be redeemed, the CUSIP numbers of the Securities to be redeemed, the date fixed for redemption, the redemption price, or if not then ascertainable, the manner of calculation thereof, the place or places of payment, that payment will be made upon presentation and surrender of such Securities, that such redemption is pursuant to the mandatory or optional sinking fund, or both, if such be the case, that interest accrued to the date fixed for redemption will be paid as specified in such notice and that on and after said date interest thereon or on the portions thereof to be redeemed will cease to accrue. In case any Security of a series is to be redeemed in part only, the notice of redemption shall state the portion of the Principal amount thereof to be redeemed and shall state that on and after the date fixed for redemption, upon surrender of such Security, a new Security or Securities of such series and tenor in Principal amount equal to the unredeemed portion thereof will be issued.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notice of redemption of Securities of any series to be redeemed at the option of the Company shall be given by the Company or, at the Company’s request, by the Trustee in the name and at the expense of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On or before 10:00 a.m. New York City time on the redemption date specified in the notice of redemption given as provided in this Section, the Company will deposit with the Trustee or with one or more Paying Agents (or, if the Company is acting as its own Paying Agent, set aside, segregate and hold in trust as provided in Section 2.06) an amount of money sufficient to redeem on the redemption date all the Securities of such series so called for redemption at the appropriate redemption price, together with accrued interest to the date fixed for redemption. If all of the outstanding Securities of a series are to be redeemed, the Company will deliver to the Trustee at least 10 days prior to the last date on which notice of redemption may be given to Holders pursuant to the first paragraph of this Section 3.02 (or such shorter period as shall be acceptable to the Trustee) an Officers’ Certificate stating that all such Securities are to be redeemed. If less than all the outstanding Securities of a series are to be redeemed, the Company will deliver to the Trustee at least 15 days prior to the last date on which notice of redemption may be given to Holders pursuant to the first paragraph of this Section 3.02 (or such shorter period as shall be acceptable to the Trustee) an Officers’ Certificate stating the aggregate Principal amount of such Securities to be redeemed. In the case of any redemption of Securities (a) prior to the expiration of any restriction on such redemption provided in the terms of such Securities or elsewhere in this Indenture, or (b) pursuant to an election of the Company which is subject to a condition specified in the terms of such Securities or elsewhere in this Indenture, the Company shall deliver to the Trustee, prior to the giving of any notice of redemption to Holders pursuant to this Section, an Officers’ Certificate evidencing compliance with such restriction or condition.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less than all the Securities of a series are to be redeemed, the Trustee shall select, pro rata, by lot or in such manner as it shall deem appropriate and fair, Securities of such series to be redeemed in whole or in part. Securities may be redeemed in part in Principal amounts equal to authorized denominations for Securities of such series. The Trustee shall promptly notify the Company in writing of the Securities of such series selected for redemption and, in the case of any Securities of such series selected for partial redemption, the Principal amount thereof to be redeemed. For all purposes of this Indenture, unless the context otherwise requires, all provisions relating to the redemption of Securities shall relate, in the case of any Security redeemed or to be redeemed only in part, to the portion of the Principal amount of such Security which has been or is to be redeemed.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3.03</w:t>
      </w:r>
      <w:r>
        <w:rPr>
          <w:rFonts w:ascii="Times New Roman" w:hAnsi="Times New Roman"/>
          <w:b w:val="false"/>
          <w:i w:val="false"/>
          <w:color w:val="000000"/>
          <w:sz w:val="20"/>
        </w:rPr>
        <w:t> </w:t>
      </w:r>
      <w:r>
        <w:rPr>
          <w:rFonts w:ascii="Times New Roman" w:hAnsi="Times New Roman"/>
          <w:b w:val="false"/>
          <w:i/>
          <w:color w:val="000000"/>
          <w:sz w:val="20"/>
        </w:rPr>
        <w:t>Payment of Securities Called for Redemption</w:t>
      </w:r>
      <w:r>
        <w:rPr>
          <w:rFonts w:ascii="Times New Roman" w:hAnsi="Times New Roman"/>
          <w:b w:val="false"/>
          <w:i w:val="false"/>
          <w:color w:val="000000"/>
          <w:sz w:val="20"/>
        </w:rPr>
        <w:t>. If notice of redemption has been given as above provided, the Securities or portions of Securities specified in such notice shall become due and payable on the date and at the place stated in such notice at the applicable redemption price, together with interest accrued to the date fixed for redemption, and on and after such date (unless the Company shall default in the payment of such Securities at the redemption price, together with interest accrued to such date) interest on the Securities or portions of Securities so called for redemption shall cease to accrue, and, except as provided in Sections 7.12 and 8.02, such Securities shall cease from and after the date fixed for redemption to be entitled to any benefit under this Indenture, and the Holders thereof shall have no right in respect of such Securities except the right to receive the redemption price thereof and unpaid interest to the date fixed for redemption. On presentation and surrender of such Securities at a place of payment specified in said notice, said Securities or the specified portions thereof shall be paid and redeemed by the Company at the applicable redemption price, together with interest accrued thereon to the date fixed for redemption; provided that payment of interest becoming due on or prior to the date fixed for redemption shall be payable to the Holders registered as such on the relevant record date subject to the terms and provisions of Sections 2.04 and 2.13 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any Security called for redemption shall not be so paid upon surrender thereof for redemption, the principal shall, until paid or duly provided for, bear interest from the date fixed for redemption at the rate of interest or Yield to Maturity (in the case of an Original Issue Discount Security) borne by such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presentation of any Security of any series redeemed in part only, the Company shall execute and the Trustee shall authenticate and deliver to or on the order of the Holder thereof, at the expense of the Company, a new Security or Securities of such series and tenor, of authorized denominations, in Principal amount equal to the unredeemed portion of the Security so presented.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3.04</w:t>
      </w:r>
      <w:r>
        <w:rPr>
          <w:rFonts w:ascii="Times New Roman" w:hAnsi="Times New Roman"/>
          <w:b w:val="false"/>
          <w:i w:val="false"/>
          <w:color w:val="000000"/>
          <w:sz w:val="20"/>
        </w:rPr>
        <w:t> </w:t>
      </w:r>
      <w:r>
        <w:rPr>
          <w:rFonts w:ascii="Times New Roman" w:hAnsi="Times New Roman"/>
          <w:b w:val="false"/>
          <w:i/>
          <w:color w:val="000000"/>
          <w:sz w:val="20"/>
        </w:rPr>
        <w:t>Exclusion of Certain Securities from Eligibility for Selection for Redemption</w:t>
      </w:r>
      <w:r>
        <w:rPr>
          <w:rFonts w:ascii="Times New Roman" w:hAnsi="Times New Roman"/>
          <w:b w:val="false"/>
          <w:i w:val="false"/>
          <w:color w:val="000000"/>
          <w:sz w:val="20"/>
        </w:rPr>
        <w:t>. Unless otherwise provided with respect to any series of Securities, Securities shall be excluded from eligibility for selection for redemption if they are identified by registration and certificate number in a written statement signed by an authorized Officer of the Company and delivered to the Trustee at least 40 days prior to the last date on which notice of redemption may be given as being owned of record and beneficially by, and not pledged or hypothecated by, either (a) the Company or (b) an entity specifically identified in such written statement as directly or indirectly controlling or controlled by or under direct or indirect common control with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3.05</w:t>
      </w:r>
      <w:r>
        <w:rPr>
          <w:rFonts w:ascii="Times New Roman" w:hAnsi="Times New Roman"/>
          <w:b w:val="false"/>
          <w:i w:val="false"/>
          <w:color w:val="000000"/>
          <w:sz w:val="20"/>
        </w:rPr>
        <w:t> </w:t>
      </w:r>
      <w:r>
        <w:rPr>
          <w:rFonts w:ascii="Times New Roman" w:hAnsi="Times New Roman"/>
          <w:b w:val="false"/>
          <w:i/>
          <w:color w:val="000000"/>
          <w:sz w:val="20"/>
        </w:rPr>
        <w:t>Mandatory and Optional Sinking Funds</w:t>
      </w:r>
      <w:r>
        <w:rPr>
          <w:rFonts w:ascii="Times New Roman" w:hAnsi="Times New Roman"/>
          <w:b w:val="false"/>
          <w:i w:val="false"/>
          <w:color w:val="000000"/>
          <w:sz w:val="20"/>
        </w:rPr>
        <w:t>. The minimum amount of any sinking fund payment provided for by the terms of Securities of any series is herein referred to as a “mandatory sinking fund payment,” and any payment in excess of such minimum amount provided for by the terms of the Securities of any series is herein referred to as an “</w:t>
      </w:r>
      <w:r>
        <w:rPr>
          <w:rFonts w:ascii="Times New Roman" w:hAnsi="Times New Roman"/>
          <w:b/>
          <w:i w:val="false"/>
          <w:color w:val="000000"/>
          <w:sz w:val="20"/>
        </w:rPr>
        <w:t>optional sinking fund payment.</w:t>
      </w:r>
      <w:r>
        <w:rPr>
          <w:rFonts w:ascii="Times New Roman" w:hAnsi="Times New Roman"/>
          <w:b w:val="false"/>
          <w:i w:val="false"/>
          <w:color w:val="000000"/>
          <w:sz w:val="20"/>
        </w:rPr>
        <w:t>” The date on which a sinking fund payment is to be made is herein referred to as the “</w:t>
      </w:r>
      <w:r>
        <w:rPr>
          <w:rFonts w:ascii="Times New Roman" w:hAnsi="Times New Roman"/>
          <w:b/>
          <w:i w:val="false"/>
          <w:color w:val="000000"/>
          <w:sz w:val="20"/>
        </w:rPr>
        <w:t>sinking fund payment date.</w:t>
      </w:r>
      <w:r>
        <w:rPr>
          <w:rFonts w:ascii="Times New Roman" w:hAnsi="Times New Roman"/>
          <w:b w:val="false"/>
          <w:i w:val="false"/>
          <w:color w:val="000000"/>
          <w:sz w:val="20"/>
        </w:rPr>
        <w: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lieu of making all or any part of any mandatory sinking fund payment with respect to any series of Securities in cash, the Company may at its option (a) deliver to the Trustee Securities of such series theretofore purchased or otherwise acquired (except through a mandatory sinking fund payment) by the Company or receive credit for Securities of such series (not previously so credited) theretofore purchased or otherwise acquired (except as aforesaid) by the Company and delivered to the Trustee for cancellation pursuant to Section 2.11, (b) receive credit for optional sinking fund payments (not previously so credited) made pursuant to this Section, or (c) receive credit for Securities of such series (not previously so credited) redeemed by the Company at the option of the Company pursuant to the terms of such Securities or through any optional sinking fund payment. Securities so delivered or credited shall be received or credited by the Trustee at the sinking fund redemption price specified in such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On or before the sixtieth day next preceding each sinking fund payment date for any series, or such shorter period as shall be acceptable to the Trustee, the Company will deliver to the Trustee an Officers’ Certificate (a) specifying the portion of the mandatory sinking fund payment to be satisfied by payment of cash and the portion to be satisfied by credit of specified Securities of such series and the basis for such credit, (b) stating that none of the specified Securities of such series has theretofore been so credited, (c) stating that no defaults in the payment of interest or Events of Default with respect to such series have occurred (which have not been waived or cured) and are continuing and (d) stating whether or not the Company intends to exercise its right to make an optional sinking fund payment with respect to such series and, if so, specifying the amount of such optional sinking fund payment which the Company intends to pay on or before the next succeeding sinking fund payment date. Any Securities of such series to be credited and required to be delivered to the Trustee in order for the Company to be entitled to credit therefor as aforesaid which have not theretofore been delivered to the Trustee shall be delivered for cancellation pursuant to Section 2.11 to the Trustee with such Officers’ Certificate (or reasonably promptly thereafter if acceptable to the Trustee). Such Officers’ Certificate shall be irrevocable and upon its receipt by the Trustee the Company shall become unconditionally obligated to make all the cash payments or delivery of Securities therein referred to, if any, on or before the next succeeding sinking fund payment date. Failure of the Company, on or before any such 60th day, to deliver such Officer’s Certificate and Securities specified in this paragraph, if any, shall not constitute a default but shall constitute, on and as of such date, the irrevocable election of the Company (i) that the mandatory sinking fund payment for such series due on the next succeeding sinking fund payment date shall be paid entirely in cash without the option to deliver or credit Securities of such series in respect thereof and (ii) that the Company will make no optional sinking fund payment with respect to such series as provided in this Section.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 sinking fund payment or payments (mandatory or optional or both) to be made in cash on the next succeeding sinking fund payment date plus any unused balance of any preceding sinking fund payments made in cash shall exceed $50,000 (or a lesser sum if the Company shall so request with respect to the Securities of any series), such cash shall be applied on the next succeeding sinking fund payment date to the redemption of Securities of such series at the sinking fund redemption price thereof together with accrued interest thereon to the date fixed for redemption. If such amount shall be $50,000 (or such lesser sum) or less and the Company makes no such request then it shall be carried over until a sum in excess of $50,000 (or such lesser sum) is available. The Trustee shall select, in the manner provided in Section 3.02, for redemption on such sinking fund payment date a sufficient Principal amount of Securities of such series to absorb said cash, as nearly as may be, and shall (if requested in writing by the Company) inform the Company of the serial numbers of the Securities of such series (or portions thereof) so selected. Securities shall be excluded from eligibility for redemption under this Section if they are identified by registration and certificate number in an Officers’ Certificate delivered to the Trustee at least 60 days prior to the sinking fund payment date as being owned of record and beneficially by, and not pledged or hypothecated by either (a) the Company or (b) an entity specifically identified in such Officers’ Certificate as directly or indirectly controlling or controlled by or under direct or indirect common control with the Company. The Trustee, in the name and at the expense of the Company (or the Company, if it shall so request the Trustee in writing) shall cause notice of redemption of the Securities of such series to be given in substantially the manner provided in Section 3.02 (and with the effect provided in Section 3.03) for the redemption of Securities of such series in part at the option of the Company. The amount of any sinking fund payments not so applied or allocated to the redemption of Securities of such series shall be added to the next cash sinking fund payment for such series and, together with such payment, shall be applied in accordance with the provisions of this Section. Any and all sinking fund moneys held on the stated maturity date of the Securities of any particular series (or earlier, if such maturity is accelerated), which are not held for the payment or redemption of particular Securities of such series shall be applied, together with other moneys, if necessary, sufficient for the purpose, to the payment of the Principal of, and interest on, the Securities of such series at maturity.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On or before 10:00 a.m. New York City time on each sinking fund payment date, the Company shall pay to the Trustee in cash or shall otherwise provide for the payment of all interest accrued to the date fixed for redemption on Securities to be redeemed on the next following sinking fund payment date.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shall not redeem or cause to be redeemed any Securities of a series with sinking fund moneys or mail any notice of redemption of Securities of such series by operation of the sinking fund during the continuance of a Default in payment of interest on such Securities or of any Event of Default except that, where the mailing of notice of redemption of any Securities shall theretofore have been made, the Trustee shall redeem or cause to be redeemed such Securities, provided that it shall have received from the Company a sum sufficient for such redemption. Except as aforesaid, any moneys in the sinking fund for such series at the time when any such Default or Event of Default shall occur, and any moneys thereafter paid into the sinking fund, shall, during the continuance of such Default or Event of Default, be deemed to have been collected under Article 6 and held for the payment of all such Securities. In case such Event of Default shall have been waived as provided in Section 6.04 or the Default cured on or before the sixtieth day preceding the sinking fund payment date in any year, such moneys shall thereafter be applied on the next succeeding sinking fund payment date in accordance with this Section to the redemption of such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4</w:t>
      </w:r>
      <w:r>
        <w:br/>
      </w:r>
      <w:r>
        <w:rPr>
          <w:rFonts w:ascii="Times New Roman" w:hAnsi="Times New Roman"/>
          <w:b w:val="false"/>
          <w:i w:val="false"/>
          <w:color w:val="000000"/>
          <w:sz w:val="20"/>
        </w:rPr>
        <w:t xml:space="preserve"> Covenants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4.01</w:t>
      </w:r>
      <w:r>
        <w:rPr>
          <w:rFonts w:ascii="Times New Roman" w:hAnsi="Times New Roman"/>
          <w:b w:val="false"/>
          <w:i w:val="false"/>
          <w:color w:val="000000"/>
          <w:sz w:val="20"/>
        </w:rPr>
        <w:t> </w:t>
      </w:r>
      <w:r>
        <w:rPr>
          <w:rFonts w:ascii="Times New Roman" w:hAnsi="Times New Roman"/>
          <w:b w:val="false"/>
          <w:i/>
          <w:color w:val="000000"/>
          <w:sz w:val="20"/>
        </w:rPr>
        <w:t>Payment of Securities</w:t>
      </w:r>
      <w:r>
        <w:rPr>
          <w:rFonts w:ascii="Times New Roman" w:hAnsi="Times New Roman"/>
          <w:b w:val="false"/>
          <w:i w:val="false"/>
          <w:color w:val="000000"/>
          <w:sz w:val="20"/>
        </w:rPr>
        <w:t>. The Company shall pay the Principal of and interest on the Securities on the dates and in the manner provided in the Securities and this Indenture. The interest on Securities (together with any additional amounts payable pursuant to the terms of such Securities) shall be payable only to the Holders thereof (subject to Section 2.04) and at the option of the Company may be paid by mailing checks for such interest payable to or upon the written order of such Holders at their last addresses as they appear on the Security Register of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any provisions of this Indenture and the Securities of any series to the contrary, if the Company and a Holder of any Security so agree, payments of interest on, and any portion of the Principal of, such Holder’s Security (other than interest payable at maturity or on any redemption or repayment date or the final payment of Principal on such Security) shall be made by the Paying Agent, upon receipt from the Company of immediately available funds by 11:00 A.M., New York City time (or such other time as may be agreed to between the Company and the Paying Agent), directly to the Holder of such Security (by Federal funds wire transfer or otherwise) if the Holder has delivered written instructions to the Trustee 15 days prior to such payment date requesting that such payment will be so made and designating the bank account to which such payments shall be so made and in the case of payments of Principal, surrenders the same to the Trustee in exchange for a Security or Securities aggregating the same Principal amount as the unredeemed Principal amount of the Securities surrendered. The Trustee shall be entitled to rely on the last instruction delivered by the Holder pursuant to this Section 4.01 unless a new instruction is delivered 15 days prior to a payment date. The Company will indemnify and hold each of the Trustee and any Paying Agent harmless against any loss, liability or expense (including attorneys’ fees) resulting from any act or omission to act on the part of the Company or any such Holder in connection with any such agreement or from making any payment in accordance with any such agreement.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shall pay interest on overdue Principal, and interest on overdue installments of interest, to the extent lawful, at the rate per annum specified in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4.02</w:t>
      </w:r>
      <w:r>
        <w:rPr>
          <w:rFonts w:ascii="Times New Roman" w:hAnsi="Times New Roman"/>
          <w:b w:val="false"/>
          <w:i w:val="false"/>
          <w:color w:val="000000"/>
          <w:sz w:val="20"/>
        </w:rPr>
        <w:t> </w:t>
      </w:r>
      <w:r>
        <w:rPr>
          <w:rFonts w:ascii="Times New Roman" w:hAnsi="Times New Roman"/>
          <w:b w:val="false"/>
          <w:i/>
          <w:color w:val="000000"/>
          <w:sz w:val="20"/>
        </w:rPr>
        <w:t>Maintenance of Office or Agency</w:t>
      </w:r>
      <w:r>
        <w:rPr>
          <w:rFonts w:ascii="Times New Roman" w:hAnsi="Times New Roman"/>
          <w:b w:val="false"/>
          <w:i w:val="false"/>
          <w:color w:val="000000"/>
          <w:sz w:val="20"/>
        </w:rPr>
        <w:t>. The Company will maintain in the United States of America, an office or agency where Securities may be surrendered for registration of transfer or exchange or for presentation for payment and where notices and demands to or upon the Company in respect of the Securities and this Indenture may be served. The Company hereby initially designates [●], as such office or agency of the Company. The Company will give prompt written notice to the Trustee of the location, and any change in the location, of such office or agency. If at any time the Company shall fail to maintain any such required office or agency or shall fail to furnish the Trustee with the address thereof, such presentations, surrenders, notices and demands may be made or served at the address of the Trustee set forth in Section 10.02.</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may also from time to time designate one or more other offices or agencies where the Securities of any series may be presented or surrendered for any or all such purposes and may from time to time rescind such designations; provided that no such designation or rescission shall in any manner relieve the Company of its obligation to maintain an office or agency in the United States of America for such purposes. The Company will give prompt written notice to the Trustee of any such designation or rescission and of any change in the location of any such other office or agency.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4.03</w:t>
      </w:r>
      <w:r>
        <w:rPr>
          <w:rFonts w:ascii="Times New Roman" w:hAnsi="Times New Roman"/>
          <w:b w:val="false"/>
          <w:i w:val="false"/>
          <w:color w:val="000000"/>
          <w:sz w:val="20"/>
        </w:rPr>
        <w:t> </w:t>
      </w:r>
      <w:r>
        <w:rPr>
          <w:rFonts w:ascii="Times New Roman" w:hAnsi="Times New Roman"/>
          <w:b w:val="false"/>
          <w:i/>
          <w:color w:val="000000"/>
          <w:sz w:val="20"/>
        </w:rPr>
        <w:t>Securityholders’ Lists</w:t>
      </w:r>
      <w:r>
        <w:rPr>
          <w:rFonts w:ascii="Times New Roman" w:hAnsi="Times New Roman"/>
          <w:b w:val="false"/>
          <w:i w:val="false"/>
          <w:color w:val="000000"/>
          <w:sz w:val="20"/>
        </w:rPr>
        <w:t>. The Company will furnish or cause to be furnished to the Trustee a list in such form as the Trustee may reasonably require of the names and addresses of the holders of the Securities pursuant to Section 312 of the Trust Indenture Act (a) semi-annually not more than 15 days after each record date for the payment of semi-annual interest on the Securities, as hereinabove specified, as of such record date, and (b) at such other times as the Trustee may request in writing, within 30 days after receipt by the Company of any such request as of a date not more than 15 days prior to the time such information is furnished.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4.04</w:t>
      </w:r>
      <w:r>
        <w:rPr>
          <w:rFonts w:ascii="Times New Roman" w:hAnsi="Times New Roman"/>
          <w:b w:val="false"/>
          <w:i w:val="false"/>
          <w:color w:val="000000"/>
          <w:sz w:val="20"/>
        </w:rPr>
        <w:t> </w:t>
      </w:r>
      <w:r>
        <w:rPr>
          <w:rFonts w:ascii="Times New Roman" w:hAnsi="Times New Roman"/>
          <w:b w:val="false"/>
          <w:i/>
          <w:color w:val="000000"/>
          <w:sz w:val="20"/>
        </w:rPr>
        <w:t>Certificate to Trustee</w:t>
      </w:r>
      <w:r>
        <w:rPr>
          <w:rFonts w:ascii="Times New Roman" w:hAnsi="Times New Roman"/>
          <w:b w:val="false"/>
          <w:i w:val="false"/>
          <w:color w:val="000000"/>
          <w:sz w:val="20"/>
        </w:rPr>
        <w:t>. The Company will furnish to the Trustee annually, on or before a date not more than four months after the end of its fiscal year (which, on the date hereof, is a calendar year), a brief certificate (which need not contain the statements required by Section 10.04) from its principal executive, financial or accounting officer as to his or her knowledge of the compliance of the Company with all conditions and covenants under this Indenture (such compliance to be determined without regard to any period of grace or requirement of notice provided under this Indenture) which certificate shall comply with the requirements of the Trust Indenture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4.05</w:t>
      </w:r>
      <w:r>
        <w:rPr>
          <w:rFonts w:ascii="Times New Roman" w:hAnsi="Times New Roman"/>
          <w:b w:val="false"/>
          <w:i w:val="false"/>
          <w:color w:val="000000"/>
          <w:sz w:val="20"/>
        </w:rPr>
        <w:t> </w:t>
      </w:r>
      <w:r>
        <w:rPr>
          <w:rFonts w:ascii="Times New Roman" w:hAnsi="Times New Roman"/>
          <w:b w:val="false"/>
          <w:i/>
          <w:color w:val="000000"/>
          <w:sz w:val="20"/>
        </w:rPr>
        <w:t>Reports by the Company</w:t>
      </w:r>
      <w:r>
        <w:rPr>
          <w:rFonts w:ascii="Times New Roman" w:hAnsi="Times New Roman"/>
          <w:b w:val="false"/>
          <w:i w:val="false"/>
          <w:color w:val="000000"/>
          <w:sz w:val="20"/>
        </w:rPr>
        <w:t>. The Company covenants to file with the Trustee, within 15 days after the Company files the same with the Commission, copies of the annual reports and of the information, documents, and other reports which the Company may be required to file with the Commission pursuant to Section 13 or Section 15(d) of the Exchange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4.06</w:t>
      </w:r>
      <w:r>
        <w:rPr>
          <w:rFonts w:ascii="Times New Roman" w:hAnsi="Times New Roman"/>
          <w:b w:val="false"/>
          <w:i w:val="false"/>
          <w:color w:val="000000"/>
          <w:sz w:val="20"/>
        </w:rPr>
        <w:t> </w:t>
      </w:r>
      <w:r>
        <w:rPr>
          <w:rFonts w:ascii="Times New Roman" w:hAnsi="Times New Roman"/>
          <w:b w:val="false"/>
          <w:i/>
          <w:color w:val="000000"/>
          <w:sz w:val="20"/>
        </w:rPr>
        <w:t>Additional Amounts</w:t>
      </w:r>
      <w:r>
        <w:rPr>
          <w:rFonts w:ascii="Times New Roman" w:hAnsi="Times New Roman"/>
          <w:b w:val="false"/>
          <w:i w:val="false"/>
          <w:color w:val="000000"/>
          <w:sz w:val="20"/>
        </w:rPr>
        <w:t>. If the Securities of a series provide for the payment of additional amounts, at least 10 days prior to the first interest payment date with respect to that series of Securities and at least 10 days prior to each date of payment of Principal of or interest on the Securities of that series if there has been a change with respect to the matters set forth in the below-mentioned Officers’ Certificate, the Company shall furnish to the Trustee and the principal paying agent, if other than the Trustee, an Officers’ Certificate instructing the Trustee and such paying agent whether such payment of Principal of or interest on the Securities of that series shall be made to Holders of the Securities of that series without withholding or deduction for or on account of any tax, assessment or other governmental charge described in the Securities of that series. If any such withholding or deduction shall be required, then such Officers’ Certificate shall specify by country the amount, if any, required to be withheld or deducted on such payments to such Holders and shall certify the fact that additional amounts will be payable and the amounts so payable to each Holder, and the Company shall pay to the Trustee or such paying agent the additional amounts required to be paid by this Section. The Company covenants to indemnify the Trustee and any paying agent for, and to hold them harmless against, any loss, liability or expense reasonably incurred without negligence or bad faith on their part arising out of or in connection with actions taken or omitted by any of them in reliance on any Officers’ Certificate furnished pursuant to this Section.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Whenever in this Indenture there is mentioned, in any context, the payment of the Principal of or interest or any other amounts on, or in respect of, any Security of any series, such mention shall be deemed to include mention of the payment of additional amounts provided by the terms of such series established hereby or pursuant hereto to the extent that, in such context, additional amounts are, were or would be payable in respect thereof pursuant to such terms, and express mention of the payment of additional amounts (if applicable) in any provision hereof shall not be construed as excluding the payment of additional amounts in those provisions hereof where such express mention is not made.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5</w:t>
      </w:r>
      <w:r>
        <w:br/>
      </w:r>
      <w:r>
        <w:rPr>
          <w:rFonts w:ascii="Times New Roman" w:hAnsi="Times New Roman"/>
          <w:b w:val="false"/>
          <w:i w:val="false"/>
          <w:color w:val="000000"/>
          <w:sz w:val="20"/>
        </w:rPr>
        <w:t xml:space="preserve"> Successor Corporation</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5.01</w:t>
      </w:r>
      <w:r>
        <w:rPr>
          <w:rFonts w:ascii="Times New Roman" w:hAnsi="Times New Roman"/>
          <w:b w:val="false"/>
          <w:i w:val="false"/>
          <w:color w:val="000000"/>
          <w:sz w:val="20"/>
        </w:rPr>
        <w:t> </w:t>
      </w:r>
      <w:r>
        <w:rPr>
          <w:rFonts w:ascii="Times New Roman" w:hAnsi="Times New Roman"/>
          <w:b w:val="false"/>
          <w:i/>
          <w:color w:val="000000"/>
          <w:sz w:val="20"/>
        </w:rPr>
        <w:t>When Company May Merge, Etc.</w:t>
      </w:r>
      <w:r>
        <w:rPr>
          <w:rFonts w:ascii="Times New Roman" w:hAnsi="Times New Roman"/>
          <w:b w:val="false"/>
          <w:i w:val="false"/>
          <w:color w:val="000000"/>
          <w:sz w:val="20"/>
        </w:rPr>
        <w:t> Unless otherwise provided pursuant to Section 2.03 in connection with the establishment of a series, the Company shall not consolidate or combine with, merge with or into, directly or indirectly, or sell, assign, convey, transfer, lease or otherwise dispose of all or substantially all of its property and assets to any Person or Persons in a single transaction or through a series of transactions unless: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the Company shall be the continuing Person or, if the Company is not the continuing Person, the resulting, surviving or transferee Person (the “</w:t>
      </w:r>
      <w:r>
        <w:rPr>
          <w:rFonts w:ascii="Times New Roman" w:hAnsi="Times New Roman"/>
          <w:b/>
          <w:i w:val="false"/>
          <w:color w:val="000000"/>
          <w:sz w:val="20"/>
        </w:rPr>
        <w:t>Surviving Entity</w:t>
      </w:r>
      <w:r>
        <w:rPr>
          <w:rFonts w:ascii="Times New Roman" w:hAnsi="Times New Roman"/>
          <w:b w:val="false"/>
          <w:i w:val="false"/>
          <w:color w:val="000000"/>
          <w:sz w:val="20"/>
        </w:rPr>
        <w:t>”) is a company organized and existing under the laws of any member state of the European Union or the United States of America or any State or territory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19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the Surviving Entity shall expressly assume all of the Company’s obligations under the Securities and this Indenture, and shall, if required by law to effectuate the assumption, execute supplemental indentures which shall be delivered to the Trustee and shall be in form and substance reasonably satisfactory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immediately after giving effect to such transaction or series of transactions on a pro forma basis, no Default has occurred and is continuing;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w:t>
      </w:r>
      <w:r>
        <w:rPr>
          <w:rFonts w:ascii="Times New Roman" w:hAnsi="Times New Roman"/>
          <w:b w:val="false"/>
          <w:i w:val="false"/>
          <w:color w:val="000000"/>
          <w:sz w:val="20"/>
        </w:rPr>
        <w:t>the Company or the Surviving Entity shall have delivered to the Trustee an Officers’ Certificate and Opinion of Counsel stating that (x) the transaction or series of transactions and such supplemental indenture, if any, complies with this Section 5.01, (y) such supplemental indenture (if any) constitutes the legal, valid and binding obligation of the Company and such Surviving Entity enforceable against such Surviving Entity in accordance with its terms, subject to customary exceptions and (z) all conditions precedent in this Indenture relating to the transaction or series of transactions have been satisfied.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5.02</w:t>
      </w:r>
      <w:r>
        <w:rPr>
          <w:rFonts w:ascii="Times New Roman" w:hAnsi="Times New Roman"/>
          <w:b w:val="false"/>
          <w:i w:val="false"/>
          <w:color w:val="000000"/>
          <w:sz w:val="20"/>
        </w:rPr>
        <w:t> </w:t>
      </w:r>
      <w:r>
        <w:rPr>
          <w:rFonts w:ascii="Times New Roman" w:hAnsi="Times New Roman"/>
          <w:b w:val="false"/>
          <w:i/>
          <w:color w:val="000000"/>
          <w:sz w:val="20"/>
        </w:rPr>
        <w:t>Successor Substituted</w:t>
      </w:r>
      <w:r>
        <w:rPr>
          <w:rFonts w:ascii="Times New Roman" w:hAnsi="Times New Roman"/>
          <w:b w:val="false"/>
          <w:i w:val="false"/>
          <w:color w:val="000000"/>
          <w:sz w:val="20"/>
        </w:rPr>
        <w:t>. Upon any consolidation, combination or merger, or any sale, assignment, conveyance, transfer, lease or other disposition of all or substantially all of the property and assets of the Company in accordance with Section 5.01 of this Indenture, the Surviving Entity shall succeed to, and be substituted for, and may exercise every right and power of, the Company under this Indenture with the same effect as if such Surviving Entity had been named as the Company herein and thereafter the predecessor Person, except in the case of (x) a lease or (y) any sale, assignment, conveyance, transfer, lease or other disposition to one or more Subsidiaries of the Company, shall be discharged from all obligations and covenants under this Indenture and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6</w:t>
      </w:r>
      <w:r>
        <w:br/>
      </w:r>
      <w:r>
        <w:rPr>
          <w:rFonts w:ascii="Times New Roman" w:hAnsi="Times New Roman"/>
          <w:b w:val="false"/>
          <w:i w:val="false"/>
          <w:color w:val="000000"/>
          <w:sz w:val="20"/>
        </w:rPr>
        <w:t xml:space="preserve"> Default and Remedies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6.01</w:t>
      </w:r>
      <w:r>
        <w:rPr>
          <w:rFonts w:ascii="Times New Roman" w:hAnsi="Times New Roman"/>
          <w:b w:val="false"/>
          <w:i w:val="false"/>
          <w:color w:val="000000"/>
          <w:sz w:val="20"/>
        </w:rPr>
        <w:t> </w:t>
      </w:r>
      <w:r>
        <w:rPr>
          <w:rFonts w:ascii="Times New Roman" w:hAnsi="Times New Roman"/>
          <w:b w:val="false"/>
          <w:i/>
          <w:color w:val="000000"/>
          <w:sz w:val="20"/>
        </w:rPr>
        <w:t>Events of Default</w:t>
      </w:r>
      <w:r>
        <w:rPr>
          <w:rFonts w:ascii="Times New Roman" w:hAnsi="Times New Roman"/>
          <w:b w:val="false"/>
          <w:i w:val="false"/>
          <w:color w:val="000000"/>
          <w:sz w:val="20"/>
        </w:rPr>
        <w:t>. An “</w:t>
      </w:r>
      <w:r>
        <w:rPr>
          <w:rFonts w:ascii="Times New Roman" w:hAnsi="Times New Roman"/>
          <w:b/>
          <w:i w:val="false"/>
          <w:color w:val="000000"/>
          <w:sz w:val="20"/>
        </w:rPr>
        <w:t>Event of Default</w:t>
      </w:r>
      <w:r>
        <w:rPr>
          <w:rFonts w:ascii="Times New Roman" w:hAnsi="Times New Roman"/>
          <w:b w:val="false"/>
          <w:i w:val="false"/>
          <w:color w:val="000000"/>
          <w:sz w:val="20"/>
        </w:rPr>
        <w:t>” shall occur with respect to the Securities of any series if: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the Company defaults in the payment of the Principal of any Security of such series when the same becomes due and payable at maturity, upon acceleration, redemption or mandatory repurchase, including as a sinking fund installment,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the Company defaults in the payment of interest on any Security of such series when the same becomes due and payable, and such default continues for a period of 30 days;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the Company defaults in the performance of or breaches any other covenant or agreement of the Company in this Indenture with respect to any Security of such series or in the Securities of such series (other than a covenant or agreement in respect of which noncompliance by the Company would otherwise be an Event of Default) and such default or breach continues for a period of 90 consecutive days or more after written notice to the Company by the Trustee or to the Company and the Trustee by the Holders of 25% or more in aggregate Principal amount of the Securities of all series affected thereby specifying such default or breach and requiring it to be remedied and stating that such notice is a “Notice of Default”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xml:space="preserve">  </w:t>
      </w:r>
      <w:r>
        <w:rPr>
          <w:rFonts w:ascii="Times New Roman" w:hAnsi="Times New Roman"/>
          <w:b w:val="false"/>
          <w:i w:val="false"/>
          <w:color w:val="000000"/>
          <w:sz w:val="20"/>
        </w:rPr>
        <w:t>a court having jurisdiction in the premises shall enter a decree or order for relief in respect of the Company in an involuntary case under any applicable bankruptcy, insolvency or other similar law now or hereafter in effect, or appointing a receiver, liquidator, assignee, custodian, trustee, sequestrator (or similar official) of the Company or for any substantial part of its property or ordering the winding up or liquidation of its affairs, and such decree or order shall remain unstayed and in effect for a period of 60 consecutive days;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w:t>
      </w:r>
      <w:r>
        <w:rPr>
          <w:rFonts w:ascii="Times New Roman" w:hAnsi="Times New Roman"/>
          <w:b w:val="false"/>
          <w:i w:val="false"/>
          <w:color w:val="000000"/>
          <w:sz w:val="20"/>
        </w:rPr>
        <w:t>  </w:t>
      </w:r>
      <w:r>
        <w:rPr>
          <w:rFonts w:ascii="Times New Roman" w:hAnsi="Times New Roman"/>
          <w:b w:val="false"/>
          <w:i w:val="false"/>
          <w:color w:val="000000"/>
          <w:sz w:val="20"/>
        </w:rPr>
        <w:t>the Company (i) commences a voluntary case under any applicable bankruptcy, insolvency or other similar law now or hereafter in effect, or consents to the entry of an order for relief in an involuntary case under any such law, (ii) consents to the appointment of or taking possession by a receiver, liquidator, assignee, custodian, trustee, sequestrator or similar official of the Company or for all or substantially all of the property and assets of the Company or (iii) effects any general assignment for the benefit of creditors; or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w:t>
      </w:r>
      <w:r>
        <w:rPr>
          <w:rFonts w:ascii="Times New Roman" w:hAnsi="Times New Roman"/>
          <w:b w:val="false"/>
          <w:i w:val="false"/>
          <w:color w:val="000000"/>
          <w:sz w:val="20"/>
        </w:rPr>
        <w:t>  </w:t>
      </w:r>
      <w:r>
        <w:rPr>
          <w:rFonts w:ascii="Times New Roman" w:hAnsi="Times New Roman"/>
          <w:b w:val="false"/>
          <w:i w:val="false"/>
          <w:color w:val="000000"/>
          <w:sz w:val="20"/>
        </w:rPr>
        <w:t>any other Event of Default established pursuant to Section 2.03 with respect to the Securities of such series occurs.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6.02</w:t>
      </w:r>
      <w:r>
        <w:rPr>
          <w:rFonts w:ascii="Times New Roman" w:hAnsi="Times New Roman"/>
          <w:b w:val="false"/>
          <w:i w:val="false"/>
          <w:color w:val="000000"/>
          <w:sz w:val="20"/>
        </w:rPr>
        <w:t> </w:t>
      </w:r>
      <w:r>
        <w:rPr>
          <w:rFonts w:ascii="Times New Roman" w:hAnsi="Times New Roman"/>
          <w:b w:val="false"/>
          <w:i/>
          <w:color w:val="000000"/>
          <w:sz w:val="20"/>
        </w:rPr>
        <w:t>Acceleration</w:t>
      </w:r>
      <w:r>
        <w:rPr>
          <w:rFonts w:ascii="Times New Roman" w:hAnsi="Times New Roman"/>
          <w:b w:val="false"/>
          <w:i w:val="false"/>
          <w:color w:val="000000"/>
          <w:sz w:val="20"/>
        </w:rPr>
        <w:t>. (a) If an Event of Default other than as described in clauses (d) or (e) of Section 6.01 with respect to the Securities of any series then outstanding occurs and is continuing, then, and in each and every such case, except for any series of Securities the Principal of which shall have already become due and payable, either the Trustee or the Holders of not less than 25% in aggregate Principal amount of the Securities of all such series then outstanding hereunder in respect of which an Event of Default has occurred (all such series voting together as a single class) by notice in writing to the Company (and to the Trustee if given by Securityholders), may declare the entire Principal (or, if the Securities of any such series are Original Issue Discount Securities, such portion of the Principal amount as may be specified in the terms of such series established pursuant to Section 2.03) of all Securities of the affected series, and the interest accrued thereon, if any, to be due and payable immediately, and upon any such declaration the same shall become immediately due and payable.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If an Event of Default described in clause (d) or (e) of Section 6.01 occurs and is continuing, then the Principal amount (or, if any Securities are Original Issue Discount Securities, such portion of the Principal as may be specified in the terms thereof established pursuant to Section 2.03) of all the Securities then outstanding and interest accrued thereon, if any, shall be and become immediately due and payable, without any declaration, notice or other action by any Holder or the Trustee, to the full extent permitted by applicable law.</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foregoing provisions, however, are subject to the condition that if, at any time after the Principal (or, if the Securities are Original Issue Discount Securities, such portion of the Principal as may be specified in the terms thereof established pursuant to Section 2.03) of the Securities of any series (or of all the Securities, as the case may be) shall have been so declared or become due and payable, and before any judgment or decree for the payment of the moneys due shall have been obtained or entered as hereinafter provided, the Company shall pay or shall deposit with the Trustee a sum sufficient to pay all matured installments of interest upon all the Securities of each such series (or of all the Securities, as the case may be) and the Principal of any and all Securities of each such series (or of all the Securities, as the case may be) which shall have become due otherwise than by acceleration (with interest upon such Principal and, to the extent that payment of such interest is enforceable under applicable law, on overdue installments of interest, at the same rate as the rate of interest or Yield to Maturity (in the case of Original Issue Discount Securities) specified in the Securities of each such series to the date of such payment or deposit) and such amount as shall be sufficient to cover all amounts owing the Trustee under Section 7.07, and if any and all Events of Default under the Indenture, other than the non-payment of the Principal of and interest on Securities which shall have become due by acceleration, shall have been cured, waived or otherwise remedied as provided herein, then and in every such case the Holders of a majority in aggregate Principal amount of all the then outstanding Securities of all such series that have been accelerated (voting as a single class), by written notice to the Company and to the Trustee, may waive all defaults with respect to all such series (or with respect to all the Securities, as the case may be) and rescind and annul such declaration and its consequences, but no such waiver or rescission and annulment shall extend to or shall affect any subsequent default or shall impair any right consequent thereon.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w:t>
      </w:r>
      <w:r>
        <w:rPr>
          <w:rFonts w:ascii="Times New Roman" w:hAnsi="Times New Roman"/>
          <w:b w:val="false"/>
          <w:i w:val="false"/>
          <w:color w:val="000000"/>
          <w:sz w:val="20"/>
        </w:rPr>
        <w:t>For all purposes under this Indenture, if a portion of the Principal of any Original Issue Discount Securities shall have been accelerated and declared or become due and payable pursuant to the provisions hereof, then, from and after such declaration, unless such declaration has been rescinded and annulled, the Principal amount of such Original Issue Discount Securities shall be deemed, for all purposes hereunder, to be such portion of the Principal thereof as shall be due and payable as a result of such acceleration, and payment of such portion of the Principal thereof as shall be due and payable as a result of such acceleration, together with interest, if any, thereon and all other amounts owing thereunder, shall constitute payment in full of such Original Issue Discount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6.03</w:t>
      </w:r>
      <w:r>
        <w:rPr>
          <w:rFonts w:ascii="Times New Roman" w:hAnsi="Times New Roman"/>
          <w:b w:val="false"/>
          <w:i w:val="false"/>
          <w:color w:val="000000"/>
          <w:sz w:val="20"/>
        </w:rPr>
        <w:t> </w:t>
      </w:r>
      <w:r>
        <w:rPr>
          <w:rFonts w:ascii="Times New Roman" w:hAnsi="Times New Roman"/>
          <w:b w:val="false"/>
          <w:i/>
          <w:color w:val="000000"/>
          <w:sz w:val="20"/>
        </w:rPr>
        <w:t>Other Remedies</w:t>
      </w:r>
      <w:r>
        <w:rPr>
          <w:rFonts w:ascii="Times New Roman" w:hAnsi="Times New Roman"/>
          <w:b w:val="false"/>
          <w:i w:val="false"/>
          <w:color w:val="000000"/>
          <w:sz w:val="20"/>
        </w:rPr>
        <w:t>. If a payment default or an Event of Default with respect to the Securities of any series occurs and is continuing, the Trustee may pursue, in its own name or as trustee of an express trust, any available remedy by proceeding at law or in equity to collect the payment of Principal of and interest on the Securities of such series or to enforce the performance of any provision of the Securities of such series or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may maintain a proceeding even if it does not possess any of the Securities or does not produce any of them in the proceeding.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6.04</w:t>
      </w:r>
      <w:r>
        <w:rPr>
          <w:rFonts w:ascii="Times New Roman" w:hAnsi="Times New Roman"/>
          <w:b w:val="false"/>
          <w:i w:val="false"/>
          <w:color w:val="000000"/>
          <w:sz w:val="20"/>
        </w:rPr>
        <w:t> </w:t>
      </w:r>
      <w:r>
        <w:rPr>
          <w:rFonts w:ascii="Times New Roman" w:hAnsi="Times New Roman"/>
          <w:b w:val="false"/>
          <w:i/>
          <w:color w:val="000000"/>
          <w:sz w:val="20"/>
        </w:rPr>
        <w:t>Waiver of Past Defaults</w:t>
      </w:r>
      <w:r>
        <w:rPr>
          <w:rFonts w:ascii="Times New Roman" w:hAnsi="Times New Roman"/>
          <w:b w:val="false"/>
          <w:i w:val="false"/>
          <w:color w:val="000000"/>
          <w:sz w:val="20"/>
        </w:rPr>
        <w:t>. Subject to Sections 6.02, 6.07 and 9.02, the Holders of at least a majority in Principal amount (or, if the Securities are Original Issue Discount Securities, such portion of the Principal as is then accelerable under Section 6.02) of the outstanding Securities of all series affected (voting as a single class), by notice to the Trustee, may waive an existing Default or Event of Default with respect to the Securities of such series and its consequences, except a Default in the payment of Principal of or interest on any Security as specified in clauses (a) or (b) of Section 6.01 or in respect of a covenant or provision of this Indenture which cannot be modified or amended without the consent of the Holder of each outstanding Security affected. Upon any such waiver, such Default shall cease to exist, and any Event of Default with respect to the Securities of such series arising therefrom shall be deemed to have been cured, for every purpose of this Indenture; but no such waiver shall extend to any subsequent or other Default or Event of Default or impair any right consequent thereto.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6.05</w:t>
      </w:r>
      <w:r>
        <w:rPr>
          <w:rFonts w:ascii="Times New Roman" w:hAnsi="Times New Roman"/>
          <w:b w:val="false"/>
          <w:i w:val="false"/>
          <w:color w:val="000000"/>
          <w:sz w:val="20"/>
        </w:rPr>
        <w:t> </w:t>
      </w:r>
      <w:r>
        <w:rPr>
          <w:rFonts w:ascii="Times New Roman" w:hAnsi="Times New Roman"/>
          <w:b w:val="false"/>
          <w:i/>
          <w:color w:val="000000"/>
          <w:sz w:val="20"/>
        </w:rPr>
        <w:t>Control by Majority</w:t>
      </w:r>
      <w:r>
        <w:rPr>
          <w:rFonts w:ascii="Times New Roman" w:hAnsi="Times New Roman"/>
          <w:b w:val="false"/>
          <w:i w:val="false"/>
          <w:color w:val="000000"/>
          <w:sz w:val="20"/>
        </w:rPr>
        <w:t>. Subject to Sections 7.01 and 7.02(e), the Holders of at least a majority in aggregate Principal amount (or, if any Securities are Original Issue Discount Securities, such portion of the Principal as is then accelerable under Section 6.02) of the outstanding Securities of all series affected (voting as a single class) may direct the time, method and place of conducting any proceeding for any remedy available to the Trustee or exercising any trust or power conferred on the Trustee with respect to the Securities of such series by this Indenture; provided, that the Trustee may refuse to follow any direction that conflicts with law or this Indenture, that may involve the Trustee in personal liability or that the Trustee determines in good faith may be unduly prejudicial to the rights of Holders not joining in the giving of such direction; and provided further, that the Trustee may take any other action it deems proper that is not inconsistent with any directions received from Holders of Securities pursuant to this Section 6.05</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6.06</w:t>
      </w:r>
      <w:r>
        <w:rPr>
          <w:rFonts w:ascii="Times New Roman" w:hAnsi="Times New Roman"/>
          <w:b w:val="false"/>
          <w:i w:val="false"/>
          <w:color w:val="000000"/>
          <w:sz w:val="20"/>
        </w:rPr>
        <w:t> </w:t>
      </w:r>
      <w:r>
        <w:rPr>
          <w:rFonts w:ascii="Times New Roman" w:hAnsi="Times New Roman"/>
          <w:b w:val="false"/>
          <w:i/>
          <w:color w:val="000000"/>
          <w:sz w:val="20"/>
        </w:rPr>
        <w:t>Limitation on Suits</w:t>
      </w:r>
      <w:r>
        <w:rPr>
          <w:rFonts w:ascii="Times New Roman" w:hAnsi="Times New Roman"/>
          <w:b w:val="false"/>
          <w:i w:val="false"/>
          <w:color w:val="000000"/>
          <w:sz w:val="20"/>
        </w:rPr>
        <w:t>. No Holder of any Security of any series may institute any proceeding, judicial or otherwise, with respect to this Indenture or the Securities of such series, or for the appointment of a receiver or trustee, or for any other remedy hereunder, unless: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such Holder has previously given to the Trustee written notice of a continuing Event of Default with respect to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the Holders of at least 25% in aggregate Principal amount of outstanding Securities of all such series affected shall have made written request to the Trustee to institute proceedings in respect of such Event of Default in its own name as Trustee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such Holder or Holders have offered to the Trustee indemnity or security reasonably satisfactory to it against any costs, liabilities or expenses to be incurred in compliance with such request;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w:t>
      </w:r>
      <w:r>
        <w:rPr>
          <w:rFonts w:ascii="Times New Roman" w:hAnsi="Times New Roman"/>
          <w:b w:val="false"/>
          <w:i w:val="false"/>
          <w:color w:val="000000"/>
          <w:sz w:val="20"/>
        </w:rPr>
        <w:t>the Trustee for 60 days after its receipt of such notice, request and offer of indemnity has failed to institute any such proceeding;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w:t>
      </w:r>
      <w:r>
        <w:rPr>
          <w:rFonts w:ascii="Times New Roman" w:hAnsi="Times New Roman"/>
          <w:b w:val="false"/>
          <w:i w:val="false"/>
          <w:color w:val="000000"/>
          <w:sz w:val="20"/>
        </w:rPr>
        <w:t>  </w:t>
      </w:r>
      <w:r>
        <w:rPr>
          <w:rFonts w:ascii="Times New Roman" w:hAnsi="Times New Roman"/>
          <w:b w:val="false"/>
          <w:i w:val="false"/>
          <w:color w:val="000000"/>
          <w:sz w:val="20"/>
        </w:rPr>
        <w:t>during such 60-day period, the Holders of a majority in aggregate Principal amount of the outstanding Securities of all such affected series have not given the Trustee a direction that is inconsistent with such written request.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Holder may not use this Indenture to prejudice the rights of another Holder or to obtain a preference or priority over such other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6.07</w:t>
      </w:r>
      <w:r>
        <w:rPr>
          <w:rFonts w:ascii="Times New Roman" w:hAnsi="Times New Roman"/>
          <w:b w:val="false"/>
          <w:i w:val="false"/>
          <w:color w:val="000000"/>
          <w:sz w:val="20"/>
        </w:rPr>
        <w:t> </w:t>
      </w:r>
      <w:r>
        <w:rPr>
          <w:rFonts w:ascii="Times New Roman" w:hAnsi="Times New Roman"/>
          <w:b w:val="false"/>
          <w:i/>
          <w:color w:val="000000"/>
          <w:sz w:val="20"/>
        </w:rPr>
        <w:t>Rights of Holders to Receive Payment</w:t>
      </w:r>
      <w:r>
        <w:rPr>
          <w:rFonts w:ascii="Times New Roman" w:hAnsi="Times New Roman"/>
          <w:b w:val="false"/>
          <w:i w:val="false"/>
          <w:color w:val="000000"/>
          <w:sz w:val="20"/>
        </w:rPr>
        <w:t>. Notwithstanding any other provision of this Indenture, the right of any Holder of a Security to receive payment of Principal of or interest, if any, on such Holder’s Security on or after the respective due dates expressed on such Security, or to bring suit for the enforcement of any such payment on or after such respective dates, shall not be impaired or affected without the consent of such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6.08</w:t>
      </w:r>
      <w:r>
        <w:rPr>
          <w:rFonts w:ascii="Times New Roman" w:hAnsi="Times New Roman"/>
          <w:b w:val="false"/>
          <w:i w:val="false"/>
          <w:color w:val="000000"/>
          <w:sz w:val="20"/>
        </w:rPr>
        <w:t> </w:t>
      </w:r>
      <w:r>
        <w:rPr>
          <w:rFonts w:ascii="Times New Roman" w:hAnsi="Times New Roman"/>
          <w:b w:val="false"/>
          <w:i/>
          <w:color w:val="000000"/>
          <w:sz w:val="20"/>
        </w:rPr>
        <w:t>Collection Suit by Trustee</w:t>
      </w:r>
      <w:r>
        <w:rPr>
          <w:rFonts w:ascii="Times New Roman" w:hAnsi="Times New Roman"/>
          <w:b w:val="false"/>
          <w:i w:val="false"/>
          <w:color w:val="000000"/>
          <w:sz w:val="20"/>
        </w:rPr>
        <w:t>. If an Event of Default with respect to the Securities of any series in payment of Principal or interest specified in clause (a) or (b) of Section 6.01 occurs and is continuing, the Trustee may recover judgment in its own name and as trustee of an express trust against the Company for the whole amount (or such portion thereof as specified in the terms established pursuant to Section 2.03 of Original Issue Discount Securities) of Principal of, and accrued interest remaining unpaid on, together with interest on overdue Principal of, and, to the extent that payment of such interest is lawful, interest on overdue installments of interest on, the Securities of such series, in each case at the rate or Yield to Maturity (in the case of Original Issue Discount Securities) specified in such Securities, and such further amount as shall be sufficient to cover all amounts owing the Trustee under Section 7.07.</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6.09</w:t>
      </w:r>
      <w:r>
        <w:rPr>
          <w:rFonts w:ascii="Times New Roman" w:hAnsi="Times New Roman"/>
          <w:b w:val="false"/>
          <w:i w:val="false"/>
          <w:color w:val="000000"/>
          <w:sz w:val="20"/>
        </w:rPr>
        <w:t> </w:t>
      </w:r>
      <w:r>
        <w:rPr>
          <w:rFonts w:ascii="Times New Roman" w:hAnsi="Times New Roman"/>
          <w:b w:val="false"/>
          <w:i/>
          <w:color w:val="000000"/>
          <w:sz w:val="20"/>
        </w:rPr>
        <w:t>Trustee May File Proofs of Claim</w:t>
      </w:r>
      <w:r>
        <w:rPr>
          <w:rFonts w:ascii="Times New Roman" w:hAnsi="Times New Roman"/>
          <w:b w:val="false"/>
          <w:i w:val="false"/>
          <w:color w:val="000000"/>
          <w:sz w:val="20"/>
        </w:rPr>
        <w:t>. The Trustee may file such proofs of claim and other papers or documents as may be necessary or advisable in order to have the claims of the Trustee (including any claim for amounts due the Trustee under Section 7.07) and the Holders allowed in any judicial proceedings relative to the Company (or any other obligor on the Securities), its creditors or its property and shall be entitled and empowered to collect and receive any moneys, securities or other property payable or deliverable upon conversion or exchange of the Securities or upon any such claims and to distribute the same, and any custodian, receiver, assignee, trustee, liquidator, sequestrator or other similar official in any such judicial proceeding is hereby authorized by each Holder to make such payments to the Trustee and, in the event that the Trustee shall consent to the making of such payments directly to the Holders, to pay to the Trustee any amount due to it under Section 7.07. Nothing herein contained shall be deemed to empower the Trustee to authorize or consent to, or accept or adopt on behalf of any Holder, any plan of reorganization, arrangement, adjustment or composition affecting the Securities or the rights of any Holder thereof, or to authorize the Trustee to vote in respect of the claim of any Holder in any such proceeding.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6.10</w:t>
      </w:r>
      <w:r>
        <w:rPr>
          <w:rFonts w:ascii="Times New Roman" w:hAnsi="Times New Roman"/>
          <w:b w:val="false"/>
          <w:i w:val="false"/>
          <w:color w:val="000000"/>
          <w:sz w:val="20"/>
        </w:rPr>
        <w:t> </w:t>
      </w:r>
      <w:r>
        <w:rPr>
          <w:rFonts w:ascii="Times New Roman" w:hAnsi="Times New Roman"/>
          <w:b w:val="false"/>
          <w:i/>
          <w:color w:val="000000"/>
          <w:sz w:val="20"/>
        </w:rPr>
        <w:t>Application of Proceeds</w:t>
      </w:r>
      <w:r>
        <w:rPr>
          <w:rFonts w:ascii="Times New Roman" w:hAnsi="Times New Roman"/>
          <w:b w:val="false"/>
          <w:i w:val="false"/>
          <w:color w:val="000000"/>
          <w:sz w:val="20"/>
        </w:rPr>
        <w:t>. Any moneys collected by the Trustee pursuant to this Article in respect of the Securities of any series shall be applied in the following order at the date or dates fixed by the Trustee and, in case of the distribution of such moneys on account of Principal or interest, upon presentation of the several Securities in respect of which moneys have been collected and noting thereon the payment, or issuing Securities of such series and tenor in reduced Principal amounts in exchange for the presented Securities of such series and tenor if only partially paid, or upon surrender thereof if fully paid: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 </w:t>
      </w:r>
      <w:r>
        <w:rPr>
          <w:rFonts w:ascii="Times New Roman" w:hAnsi="Times New Roman"/>
          <w:b w:val="false"/>
          <w:i w:val="false"/>
          <w:color w:val="000000"/>
          <w:sz w:val="20"/>
        </w:rPr>
        <w:t>FIRST: To the payment of all amounts due the Trustee under Section 7.07 applicable to the Securities of such series in respect of which moneys have been collected;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SECOND: In case the Principal of the Securities of such series in respect of which moneys have been collected shall not have become and be then due and payable, to the payment of interest on the Securities of such series in default in the order of the maturity of the installments of such interest, with interest (to the extent that such interest has been collected by the Trustee) upon the overdue installments of interest at the same rate as the rate of interest or Yield to Maturity (in the case of Original Issue Discount Securities) specified in such Securities, such payments to be made ratably to the persons entitled thereto, without discrimination or preference;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THIRD: In case the Principal of the Securities of such series in respect of which moneys have been collected shall have become and shall be then due and payable, to the payment of the whole amount then owing and unpaid upon all the Securities of such series for Principal and interest, with interest upon the overdue Principal, and (to the extent that such interest has been collected by the Trustee) upon overdue installments of interest at the same rate as the rate of interest or Yield to Maturity (in the case of Original Issue Discount Securities) specified in the Securities of such series; and in case such moneys shall be insufficient to pay in full the whole amount so due and unpaid upon the Securities of such series, then to the payment of such Principal and interest or Yield to Maturity, without preference or priority of Principal over interest or Yield to Maturity, or of interest or Yield to Maturity over Principal, or of any installment of interest over any other installment of interest, or of any Security of such series over any other Security of such series, ratably to the aggregate of such Principal and accrued and unpaid interest or Yield to Maturity;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FOURTH: To the payment of the remainder, if any, to the Company or any other person lawfully entitled thereto.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6.11</w:t>
      </w:r>
      <w:r>
        <w:rPr>
          <w:rFonts w:ascii="Times New Roman" w:hAnsi="Times New Roman"/>
          <w:b w:val="false"/>
          <w:i w:val="false"/>
          <w:color w:val="000000"/>
          <w:sz w:val="20"/>
        </w:rPr>
        <w:t> </w:t>
      </w:r>
      <w:r>
        <w:rPr>
          <w:rFonts w:ascii="Times New Roman" w:hAnsi="Times New Roman"/>
          <w:b w:val="false"/>
          <w:i/>
          <w:color w:val="000000"/>
          <w:sz w:val="20"/>
        </w:rPr>
        <w:t>Restoration of Rights and Remedies</w:t>
      </w:r>
      <w:r>
        <w:rPr>
          <w:rFonts w:ascii="Times New Roman" w:hAnsi="Times New Roman"/>
          <w:b w:val="false"/>
          <w:i w:val="false"/>
          <w:color w:val="000000"/>
          <w:sz w:val="20"/>
        </w:rPr>
        <w:t>. If the Trustee or any Holder has instituted any proceeding to enforce any right or remedy under this Indenture and such proceeding has been discontinued or abandoned for any reason, or has been determined adversely to the Trustee or to such Holder, then, and in every such case, subject to any determination in such proceeding, the Company, the Trustee and the Holders shall be restored to their former positions hereunder and thereafter all rights and remedies of the Company, Trustee and the Holders shall continue as though no such proceeding had been instituted.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6.12</w:t>
      </w:r>
      <w:r>
        <w:rPr>
          <w:rFonts w:ascii="Times New Roman" w:hAnsi="Times New Roman"/>
          <w:b w:val="false"/>
          <w:i w:val="false"/>
          <w:color w:val="000000"/>
          <w:sz w:val="20"/>
        </w:rPr>
        <w:t> </w:t>
      </w:r>
      <w:r>
        <w:rPr>
          <w:rFonts w:ascii="Times New Roman" w:hAnsi="Times New Roman"/>
          <w:b w:val="false"/>
          <w:i/>
          <w:color w:val="000000"/>
          <w:sz w:val="20"/>
        </w:rPr>
        <w:t>Undertaking for Costs</w:t>
      </w:r>
      <w:r>
        <w:rPr>
          <w:rFonts w:ascii="Times New Roman" w:hAnsi="Times New Roman"/>
          <w:b w:val="false"/>
          <w:i w:val="false"/>
          <w:color w:val="000000"/>
          <w:sz w:val="20"/>
        </w:rPr>
        <w:t>. In any suit for the enforcement of any right or remedy under this Indenture or in any suit against the Trustee for any action taken or omitted by it as Trustee, in either case in respect to the Securities of any series, a court may require any party litigant in such suit (other than the Trustee) to file an undertaking to pay the costs of the suit, and the court may assess reasonable costs, including reasonable attorneys’ fees, against any party litigant (other than the Trustee) in the suit having due regard to the merits and good faith of the claims or defenses made by the party litigant. This Section 6.12 does not apply to a suit by a Holder pursuant to Section 6.07, a suit instituted by the Trustee or a suit by Holders of more than 10% in Principal amount of the outstanding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6.13</w:t>
      </w:r>
      <w:r>
        <w:rPr>
          <w:rFonts w:ascii="Times New Roman" w:hAnsi="Times New Roman"/>
          <w:b w:val="false"/>
          <w:i w:val="false"/>
          <w:color w:val="000000"/>
          <w:sz w:val="20"/>
        </w:rPr>
        <w:t> </w:t>
      </w:r>
      <w:r>
        <w:rPr>
          <w:rFonts w:ascii="Times New Roman" w:hAnsi="Times New Roman"/>
          <w:b w:val="false"/>
          <w:i/>
          <w:color w:val="000000"/>
          <w:sz w:val="20"/>
        </w:rPr>
        <w:t>Rights and Remedies Cumulative</w:t>
      </w:r>
      <w:r>
        <w:rPr>
          <w:rFonts w:ascii="Times New Roman" w:hAnsi="Times New Roman"/>
          <w:b w:val="false"/>
          <w:i w:val="false"/>
          <w:color w:val="000000"/>
          <w:sz w:val="20"/>
        </w:rPr>
        <w:t>. Except as otherwise provided with respect to the replacement or payment of mutilated, destroyed, lost or wrongfully taken Securities in Section 2.08, no right or remedy herein conferred upon or reserved to the Trustee or to the Holders is intended to be exclusive of any other right or remedy, and every right and remedy shall, to the extent permitted by law, be cumulative and in addition to every other right and remedy given hereunder or now or hereafter existing at law or in equity or otherwise. The assertion or employment of any right or remedy hereunder, or otherwise, shall not prevent the concurrent assertion or employment of any other appropriate right or remedy.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6.14</w:t>
      </w:r>
      <w:r>
        <w:rPr>
          <w:rFonts w:ascii="Times New Roman" w:hAnsi="Times New Roman"/>
          <w:b w:val="false"/>
          <w:i w:val="false"/>
          <w:color w:val="000000"/>
          <w:sz w:val="20"/>
        </w:rPr>
        <w:t> </w:t>
      </w:r>
      <w:r>
        <w:rPr>
          <w:rFonts w:ascii="Times New Roman" w:hAnsi="Times New Roman"/>
          <w:b w:val="false"/>
          <w:i/>
          <w:color w:val="000000"/>
          <w:sz w:val="20"/>
        </w:rPr>
        <w:t>Delay or Omission not Waiver</w:t>
      </w:r>
      <w:r>
        <w:rPr>
          <w:rFonts w:ascii="Times New Roman" w:hAnsi="Times New Roman"/>
          <w:b w:val="false"/>
          <w:i w:val="false"/>
          <w:color w:val="000000"/>
          <w:sz w:val="20"/>
        </w:rPr>
        <w:t>. No delay or omission of the Trustee or of any Holder to exercise any right or remedy accruing upon any Event of Default shall impair any such right or remedy or constitute a waiver of any such Event of Default or an acquiescence therein. Every right and remedy given by this Article 6 or by law to the Trustee or to the Holders may be exercised from time to time, and as often as may be deemed expedient, by the Trustee or by the Holders, as the case may be.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7</w:t>
      </w:r>
      <w:r>
        <w:br/>
      </w:r>
      <w:r>
        <w:rPr>
          <w:rFonts w:ascii="Times New Roman" w:hAnsi="Times New Roman"/>
          <w:b w:val="false"/>
          <w:i w:val="false"/>
          <w:color w:val="000000"/>
          <w:sz w:val="20"/>
        </w:rPr>
        <w:t xml:space="preserve"> Trustee</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7.01</w:t>
      </w:r>
      <w:r>
        <w:rPr>
          <w:rFonts w:ascii="Times New Roman" w:hAnsi="Times New Roman"/>
          <w:b w:val="false"/>
          <w:i w:val="false"/>
          <w:color w:val="000000"/>
          <w:sz w:val="20"/>
        </w:rPr>
        <w:t> </w:t>
      </w:r>
      <w:r>
        <w:rPr>
          <w:rFonts w:ascii="Times New Roman" w:hAnsi="Times New Roman"/>
          <w:b w:val="false"/>
          <w:i/>
          <w:color w:val="000000"/>
          <w:sz w:val="20"/>
        </w:rPr>
        <w:t>General</w:t>
      </w:r>
      <w:r>
        <w:rPr>
          <w:rFonts w:ascii="Times New Roman" w:hAnsi="Times New Roman"/>
          <w:b w:val="false"/>
          <w:i w:val="false"/>
          <w:color w:val="000000"/>
          <w:sz w:val="20"/>
        </w:rPr>
        <w:t>. The duties and responsibilities of the Trustee shall be as provided by the Trust Indenture Act and as set forth herein. Notwithstanding the foregoing, no provision of this Indenture shall require the Trustee to expend or risk its own funds or otherwise incur any financial liability in the performance of any of its duties hereunder, or in the exercise of any of its rights or powers, unless it receives indemnity satisfactory to it against any loss, liability or expense. Whether or not therein expressly so provided, every provision of this Indenture relating to the conduct or affecting the liability of or affording protection to the Trustee shall be subject to the provisions of this Article 7.</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7.02</w:t>
      </w:r>
      <w:r>
        <w:rPr>
          <w:rFonts w:ascii="Times New Roman" w:hAnsi="Times New Roman"/>
          <w:b w:val="false"/>
          <w:i w:val="false"/>
          <w:color w:val="000000"/>
          <w:sz w:val="20"/>
        </w:rPr>
        <w:t> </w:t>
      </w:r>
      <w:r>
        <w:rPr>
          <w:rFonts w:ascii="Times New Roman" w:hAnsi="Times New Roman"/>
          <w:b w:val="false"/>
          <w:i/>
          <w:color w:val="000000"/>
          <w:sz w:val="20"/>
        </w:rPr>
        <w:t>Certain Rights of Trustee</w:t>
      </w:r>
      <w:r>
        <w:rPr>
          <w:rFonts w:ascii="Times New Roman" w:hAnsi="Times New Roman"/>
          <w:b w:val="false"/>
          <w:i w:val="false"/>
          <w:color w:val="000000"/>
          <w:sz w:val="20"/>
        </w:rPr>
        <w:t>. Subject to Trust Indenture Act Sections 315(a) through (d):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the Trustee may rely and shall be protected in acting or refraining from acting upon any resolution, certificate, Officers’ Certificate, Opinion of Counsel (or both), statement, instrument, opinion, report, notice, request, direction, consent, order, bond, debenture, note, other evidence of indebtedness or other paper or document believed by it to be genuine and to have been signed or presented by the proper person or persons. The Trustee need not investigate any fact or matter stated in the document, but the Trustee, in its discretion, may make such further inquiry or investigation into such facts or matters as it may see fit;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before the Trustee acts or refrains from acting, it may require an Officers’ Certificate and/or an Opinion of Counsel, which shall conform to Section 10.04 and shall cover such other matters as the Trustee may reasonably request. The Trustee shall not be liable for any action it takes or omits to take in good faith in reliance on such certificate or opinion. Subject to Sections 7.01 and 7.02, whenever in the administration of the trusts of this Indenture the Trustee shall deem it necessary or desirable that a matter be proved or established prior to taking or suffering or omitting any action hereunder, such matter (unless other evidence in respect thereof be herein specifically prescribed) may, in the absence of negligence or bad faith on the part of the Trustee, be deemed to be conclusively proved and established by an Officers’ Certificate delivered to the Trustee, and such certificate, in the absence of negligence or bad faith on the part of the Trustee, shall be full warrant to the Trustee for any action taken, suffered or omitted by it under the provisions of this Indenture upon the faith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the Trustee may act through its attorneys and agents not regularly in its employ and shall not be responsible for the misconduct or negligence of any agent or attorney appointed with due care;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w:t>
      </w:r>
      <w:r>
        <w:rPr>
          <w:rFonts w:ascii="Times New Roman" w:hAnsi="Times New Roman"/>
          <w:b w:val="false"/>
          <w:i w:val="false"/>
          <w:color w:val="000000"/>
          <w:sz w:val="20"/>
        </w:rPr>
        <w:t>any request, direction, order or demand of the Company mentioned herein shall be sufficiently evidenced by an Officers’ Certificate (unless other evidence in respect thereof be herein specifically prescribed); and any Board Resolution may be evidenced to the Trustee by a copy thereof certified by the Secretary or an Assistant Secretary of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w:t>
      </w:r>
      <w:r>
        <w:rPr>
          <w:rFonts w:ascii="Times New Roman" w:hAnsi="Times New Roman"/>
          <w:b w:val="false"/>
          <w:i w:val="false"/>
          <w:color w:val="000000"/>
          <w:sz w:val="20"/>
        </w:rPr>
        <w:t>  </w:t>
      </w:r>
      <w:r>
        <w:rPr>
          <w:rFonts w:ascii="Times New Roman" w:hAnsi="Times New Roman"/>
          <w:b w:val="false"/>
          <w:i w:val="false"/>
          <w:color w:val="000000"/>
          <w:sz w:val="20"/>
        </w:rPr>
        <w:t>the Trustee shall be under no obligation to exercise any of the rights or powers vested in it by this Indenture at the request, order or direction of any of the Holders, unless such Holders shall have offered to the Trustee security or indemnity reasonably satisfactory to it against any costs, expenses or liabilities that might be incurred by it in compliance with such request or direction;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w:t>
      </w:r>
      <w:r>
        <w:rPr>
          <w:rFonts w:ascii="Times New Roman" w:hAnsi="Times New Roman"/>
          <w:b w:val="false"/>
          <w:i w:val="false"/>
          <w:color w:val="000000"/>
          <w:sz w:val="20"/>
        </w:rPr>
        <w:t>  </w:t>
      </w:r>
      <w:r>
        <w:rPr>
          <w:rFonts w:ascii="Times New Roman" w:hAnsi="Times New Roman"/>
          <w:b w:val="false"/>
          <w:i w:val="false"/>
          <w:color w:val="000000"/>
          <w:sz w:val="20"/>
        </w:rPr>
        <w:t>the Trustee shall not be liable for any action it takes or omits to take in good faith that it believes to be authorized or within its rights or powers or for any action it takes or omits to take in accordance with the direction of the Holders in accordance with Section 6.05 relating to the time, method and place of conducting any proceeding for any remedy available to the Trustee, or exercising any trust or power conferred upon the Trustee,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(g)</w:t>
      </w:r>
      <w:r>
        <w:rPr>
          <w:rFonts w:ascii="Times New Roman" w:hAnsi="Times New Roman"/>
          <w:b w:val="false"/>
          <w:i w:val="false"/>
          <w:color w:val="000000"/>
          <w:sz w:val="20"/>
        </w:rPr>
        <w:t>  </w:t>
      </w:r>
      <w:r>
        <w:rPr>
          <w:rFonts w:ascii="Times New Roman" w:hAnsi="Times New Roman"/>
          <w:b w:val="false"/>
          <w:i w:val="false"/>
          <w:color w:val="000000"/>
          <w:sz w:val="20"/>
        </w:rPr>
        <w:t>the Trustee may consult with counsel and the written advice of such counsel or any Opinion of Counsel shall be full and complete authorization and protection in respect of any action taken, suffered or omitted by it hereunder in good faith and in reliance thereon;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(h)</w:t>
      </w:r>
      <w:r>
        <w:rPr>
          <w:rFonts w:ascii="Times New Roman" w:hAnsi="Times New Roman"/>
          <w:b w:val="false"/>
          <w:i w:val="false"/>
          <w:color w:val="000000"/>
          <w:sz w:val="20"/>
        </w:rPr>
        <w:t>  </w:t>
      </w:r>
      <w:r>
        <w:rPr>
          <w:rFonts w:ascii="Times New Roman" w:hAnsi="Times New Roman"/>
          <w:b w:val="false"/>
          <w:i w:val="false"/>
          <w:color w:val="000000"/>
          <w:sz w:val="20"/>
        </w:rPr>
        <w:t>prior to the occurrence of an Event of Default hereunder and after the curing or waiving of all Events of Default, the Trustee shall not be bound to make any investigation into the facts or matters stated in any resolution, certificate, Officers’ Certificate, Opinion of Counsel, Board Resolution, statement, instrument, opinion, report, notice, request, consent, order, approval, appraisal, bond, debenture, note, coupon, security, or other paper or document unless requested in writing so to do by the Holders of not less than a majority in aggregate Principal amount of the Securities of all series affected then outstanding; provided that, if the payment within a reasonable time to the Trustee of the costs, expenses or liabilities likely to be incurred by it in the making of such investigation is, in the opinion of the Trustee, not reasonably assured to the Trustee by the security afforded to it by the terms of this Indenture, the Trustee may require reasonable indemnity against such expenses or liabilities as a condition to proceeding.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7.03</w:t>
      </w:r>
      <w:r>
        <w:rPr>
          <w:rFonts w:ascii="Times New Roman" w:hAnsi="Times New Roman"/>
          <w:b w:val="false"/>
          <w:i w:val="false"/>
          <w:color w:val="000000"/>
          <w:sz w:val="20"/>
        </w:rPr>
        <w:t> </w:t>
      </w:r>
      <w:r>
        <w:rPr>
          <w:rFonts w:ascii="Times New Roman" w:hAnsi="Times New Roman"/>
          <w:b w:val="false"/>
          <w:i/>
          <w:color w:val="000000"/>
          <w:sz w:val="20"/>
        </w:rPr>
        <w:t>Individual Rights of Trustee</w:t>
      </w:r>
      <w:r>
        <w:rPr>
          <w:rFonts w:ascii="Times New Roman" w:hAnsi="Times New Roman"/>
          <w:b w:val="false"/>
          <w:i w:val="false"/>
          <w:color w:val="000000"/>
          <w:sz w:val="20"/>
        </w:rPr>
        <w:t>. The Trustee, in its individual or any other capacity, may become the owner or pledgee of Securities and may otherwise deal with the Company or its Affiliates with the same rights it would have if it were not the Trustee. Any Agent may do the same with like rights. However, the Trustee is subject to Trust Indenture Act Sections 310(b) and 311. For purposes of Trust Indenture Act Section 311(b)(4) and (6), the following terms shall mean: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w:t>
      </w:r>
      <w:r>
        <w:rPr>
          <w:rFonts w:ascii="Times New Roman" w:hAnsi="Times New Roman"/>
          <w:b/>
          <w:i w:val="false"/>
          <w:color w:val="000000"/>
          <w:sz w:val="20"/>
        </w:rPr>
        <w:t>cash transaction</w:t>
      </w:r>
      <w:r>
        <w:rPr>
          <w:rFonts w:ascii="Times New Roman" w:hAnsi="Times New Roman"/>
          <w:b w:val="false"/>
          <w:i w:val="false"/>
          <w:color w:val="000000"/>
          <w:sz w:val="20"/>
        </w:rPr>
        <w:t>” means any transaction in which full payment for goods or securities sold is made within seven days after delivery of the goods or securities in currency or in checks or other orders drawn upon banks or bankers and payable upon demand;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w:t>
      </w:r>
      <w:r>
        <w:rPr>
          <w:rFonts w:ascii="Times New Roman" w:hAnsi="Times New Roman"/>
          <w:b/>
          <w:i w:val="false"/>
          <w:color w:val="000000"/>
          <w:sz w:val="20"/>
        </w:rPr>
        <w:t>self-liquidating paper</w:t>
      </w:r>
      <w:r>
        <w:rPr>
          <w:rFonts w:ascii="Times New Roman" w:hAnsi="Times New Roman"/>
          <w:b w:val="false"/>
          <w:i w:val="false"/>
          <w:color w:val="000000"/>
          <w:sz w:val="20"/>
        </w:rPr>
        <w:t>” means any draft, bill of exchange, acceptance or obligation which is made, drawn, negotiated or incurred by the Company for the purpose of financing the purchase, processing, manufacturing, shipment, storage or sale of goods, wares or merchandise and which is secured by documents evidencing title to, possession of, or a lien upon, the goods, wares or merchandise or the receivables or proceeds arising from the sale of the goods, wares or merchandise previously constituting the security, provided the security is received by the Trustee simultaneously with the creation of the creditor relationship with the Company arising from the making, drawing, negotiating or incurring of the draft, bill of exchange, acceptance or obligation.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7.04</w:t>
      </w:r>
      <w:r>
        <w:rPr>
          <w:rFonts w:ascii="Times New Roman" w:hAnsi="Times New Roman"/>
          <w:b w:val="false"/>
          <w:i w:val="false"/>
          <w:color w:val="000000"/>
          <w:sz w:val="20"/>
        </w:rPr>
        <w:t> </w:t>
      </w:r>
      <w:r>
        <w:rPr>
          <w:rFonts w:ascii="Times New Roman" w:hAnsi="Times New Roman"/>
          <w:b w:val="false"/>
          <w:i/>
          <w:color w:val="000000"/>
          <w:sz w:val="20"/>
        </w:rPr>
        <w:t>Trustee’s Disclaimer</w:t>
      </w:r>
      <w:r>
        <w:rPr>
          <w:rFonts w:ascii="Times New Roman" w:hAnsi="Times New Roman"/>
          <w:b w:val="false"/>
          <w:i w:val="false"/>
          <w:color w:val="000000"/>
          <w:sz w:val="20"/>
        </w:rPr>
        <w:t>. The recitals contained herein and in the Securities (except the Trustee’s certificate of authentication) shall be taken as statements of the Company and not of the Trustee and the Trustee assumes no responsibility for the correctness of the same. Neither the Trustee nor any of its agents (a) makes any representation as to the validity or adequacy of this Indenture or the Securities and (b) shall be accountable for the Company’s use or application of the proceeds from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7.05</w:t>
      </w:r>
      <w:r>
        <w:rPr>
          <w:rFonts w:ascii="Times New Roman" w:hAnsi="Times New Roman"/>
          <w:b w:val="false"/>
          <w:i w:val="false"/>
          <w:color w:val="000000"/>
          <w:sz w:val="20"/>
        </w:rPr>
        <w:t> </w:t>
      </w:r>
      <w:r>
        <w:rPr>
          <w:rFonts w:ascii="Times New Roman" w:hAnsi="Times New Roman"/>
          <w:b w:val="false"/>
          <w:i/>
          <w:color w:val="000000"/>
          <w:sz w:val="20"/>
        </w:rPr>
        <w:t>Notice of Default</w:t>
      </w:r>
      <w:r>
        <w:rPr>
          <w:rFonts w:ascii="Times New Roman" w:hAnsi="Times New Roman"/>
          <w:b w:val="false"/>
          <w:i w:val="false"/>
          <w:color w:val="000000"/>
          <w:sz w:val="20"/>
        </w:rPr>
        <w:t>. If any Default with respect to the Securities of any series occurs and is continuing and if such Default is known to the actual knowledge of a Responsible Officer with the Corporate Trust Office of the Trustee, the Trustee shall give to each Holder of Securities of such series notice of such Default within 90 days after it occurs to all Holders of Securities of such series in the manner and to the extent provided in Section 313(a) of the Trust Indenture Act, unless such Default shall have been cured or waived before the mailing of such notice; provided, however, that, except in the case of a Default in the payment of the Principal of or interest on any Security, the Trustee shall be protected in withholding such notice if the Trustee in good faith determines that the withholding of such notice is in the interests of the Holders.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7.06</w:t>
      </w:r>
      <w:r>
        <w:rPr>
          <w:rFonts w:ascii="Times New Roman" w:hAnsi="Times New Roman"/>
          <w:b w:val="false"/>
          <w:i w:val="false"/>
          <w:color w:val="000000"/>
          <w:sz w:val="20"/>
        </w:rPr>
        <w:t> </w:t>
      </w:r>
      <w:r>
        <w:rPr>
          <w:rFonts w:ascii="Times New Roman" w:hAnsi="Times New Roman"/>
          <w:b w:val="false"/>
          <w:i/>
          <w:color w:val="000000"/>
          <w:sz w:val="20"/>
        </w:rPr>
        <w:t>Reports by Trustee to Holders</w:t>
      </w:r>
      <w:r>
        <w:rPr>
          <w:rFonts w:ascii="Times New Roman" w:hAnsi="Times New Roman"/>
          <w:b w:val="false"/>
          <w:i w:val="false"/>
          <w:color w:val="000000"/>
          <w:sz w:val="20"/>
        </w:rPr>
        <w:t>. The Trustee shall transmit to Holders such reports concerning the Trustee and its actions under this Indenture as may be required pursuant to the Trust Indenture Act at the times and in the manner provided pursuant thereto. If required by Section 313(a) of the Trust Indenture Act, the Trustee shall, within 60 days after each May 15 following the date of this Indenture, deliver to Holders a brief report, dated as of such May 15, which complies with the provisions of such Section 313(a).</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copy of each such report shall, at the time of such transmission to Holders, be filed by the Trustee with each stock exchange upon which any Securities are listed, with the Commission and with the Company. The Company will promptly notify the Trustee when any Securities are listed on any stock exchange.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7.07</w:t>
      </w:r>
      <w:r>
        <w:rPr>
          <w:rFonts w:ascii="Times New Roman" w:hAnsi="Times New Roman"/>
          <w:b w:val="false"/>
          <w:i w:val="false"/>
          <w:color w:val="000000"/>
          <w:sz w:val="20"/>
        </w:rPr>
        <w:t> </w:t>
      </w:r>
      <w:r>
        <w:rPr>
          <w:rFonts w:ascii="Times New Roman" w:hAnsi="Times New Roman"/>
          <w:b w:val="false"/>
          <w:i/>
          <w:color w:val="000000"/>
          <w:sz w:val="20"/>
        </w:rPr>
        <w:t>Compensation and Indemnity</w:t>
      </w:r>
      <w:r>
        <w:rPr>
          <w:rFonts w:ascii="Times New Roman" w:hAnsi="Times New Roman"/>
          <w:b w:val="false"/>
          <w:i w:val="false"/>
          <w:color w:val="000000"/>
          <w:sz w:val="20"/>
        </w:rPr>
        <w:t>. The Company shall pay to the Trustee such compensation as shall be agreed upon in writing from time to time for its services. The compensation of the Trustee shall not be limited by any law on compensation of a Trustee of an express trust. The Company shall reimburse the Trustee and any predecessor Trustee upon request for all reasonable out-of-pocket expenses, disbursements and advances incurred or made by the Trustee or such predecessor Trustee. Such expenses shall include the reasonable compensation and expenses of the Trustee’s or such predecessor Trustee’s agents, counsel and other persons not regularly in their employ.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shall indemnify the Trustee and any predecessor Trustee for, and hold them harmless against, any loss or liability or expense incurred by them without negligence or bad faith on their part arising out of or in connection with the acceptance or administration of this Indenture and the Securities or the issuance of the Securities or of series thereof or the trusts hereunder and the performance of duties under this Indenture and the Securities, including the costs and expenses of defending themselves against or investigating any claim or liability and of complying with any process served upon them or any of their officers in connection with the exercise or performance of any of their powers or duties under this Indenture and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To secure the Company’s payment obligations in this Section 7.07, the Trustee shall have a lien prior to the Securities on all money or property held or collected by the Trustee, in its capacity as Trustee, except money or property held in trust to pay Principal of, and interest on particular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obligations of the Company under this Section to compensate and indemnify the Trustee and each predecessor Trustee and to pay or reimburse the Trustee and each predecessor Trustee for expenses, disbursements and advances shall constitute additional indebtedness hereunder and shall survive the satisfaction and discharge of this Indenture or the rejection or termination of this Indenture under bankruptcy law. Such additional indebtedness shall be a senior claim to that of the Securities upon all property and funds held or collected by the Trustee as such, except funds held in trust for the benefit of the Holders of particular Securities, and the Securities are hereby subordinated to such senior claim. Without prejudice to any other rights available to the Trustee under applicable law, if the Trustee renders services and incurs expenses following an Event of Default under Section 6.01(d) or Section 6.01(e) hereof, the parties hereto and the holders by their acceptance of the Securities hereby agree that such expenses are intended to constitute expenses of administration under any bankruptcy law.</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7.08</w:t>
      </w:r>
      <w:r>
        <w:rPr>
          <w:rFonts w:ascii="Times New Roman" w:hAnsi="Times New Roman"/>
          <w:b w:val="false"/>
          <w:i w:val="false"/>
          <w:color w:val="000000"/>
          <w:sz w:val="20"/>
        </w:rPr>
        <w:t> </w:t>
      </w:r>
      <w:r>
        <w:rPr>
          <w:rFonts w:ascii="Times New Roman" w:hAnsi="Times New Roman"/>
          <w:b w:val="false"/>
          <w:i/>
          <w:color w:val="000000"/>
          <w:sz w:val="20"/>
        </w:rPr>
        <w:t>Replacement of Trustee</w:t>
      </w:r>
      <w:r>
        <w:rPr>
          <w:rFonts w:ascii="Times New Roman" w:hAnsi="Times New Roman"/>
          <w:b w:val="false"/>
          <w:i w:val="false"/>
          <w:color w:val="000000"/>
          <w:sz w:val="20"/>
        </w:rPr>
        <w:t>. A resignation or removal of the Trustee as Trustee with respect to the Securities of any series and appointment of a successor Trustee as Trustee with respect to the Securities of any series shall become effective only upon the successor Trustee’s acceptance of appointment as provided in this Section 7.08.</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Trustee may resign as Trustee with respect to the Securities of any series at any time by so notifying the Company in writing. The Holders of a majority in Principal amount of the outstanding Securities of any series may remove the Trustee as Trustee with respect to the Securities of such series by so notifying the Trustee in writing and may appoint a successor Trustee with respect thereto with the consent of the Company. The Company may remove the Trustee as Trustee with respect to the Securities of any series if: (i) the Trustee is no longer eligible under Section 7.11 of this Indenture; (ii) the Trustee is adjudged a bankrupt or insolvent; (iii) a receiver or other public officer takes charge of the Trustee or its property; or (iv) the Trustee becomes incapable of acting.</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the Trustee resigns or is removed as Trustee with respect to the Securities of any series, or if a vacancy exists in the office of Trustee with respect to the Securities of any series for any reason, the Company shall promptly appoint a successor Trustee with respect thereto. Within one year after the successor Trustee takes office, the Holders of a majority in Principal amount of the outstanding Securities of such series may appoint a successor Trustee in respect of such Securities to replace the successor Trustee appointed by the Company. If the successor Trustee with respect to the Securities of any series does not deliver its written acceptance required by Section 7.09 within 30 days after the retiring Trustee resigns or is removed, the retiring Trustee, the Company or the Holders of a majority in Principal amount of the outstanding Securities of such series may petition any court of competent jurisdiction for the appointment of a successor Trustee with respect thereto.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shall give notice of any resignation and any removal of the Trustee with respect to the Securities of any series and each appointment of a successor Trustee in respect of the Securities of such series to all Holders of Securities of such series. Each notice shall include the name of the successor Trustee and the address of its Corporate Trust Office.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replacement of the Trustee with respect to the Securities of any series pursuant to this Section 7.08 and Section 7.09, the Company’s obligations under Section 7.07 shall continue for the benefit of the retiring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7.09</w:t>
      </w:r>
      <w:r>
        <w:rPr>
          <w:rFonts w:ascii="Times New Roman" w:hAnsi="Times New Roman"/>
          <w:b w:val="false"/>
          <w:i w:val="false"/>
          <w:color w:val="000000"/>
          <w:sz w:val="20"/>
        </w:rPr>
        <w:t> </w:t>
      </w:r>
      <w:r>
        <w:rPr>
          <w:rFonts w:ascii="Times New Roman" w:hAnsi="Times New Roman"/>
          <w:b w:val="false"/>
          <w:i/>
          <w:color w:val="000000"/>
          <w:sz w:val="20"/>
        </w:rPr>
        <w:t>Acceptance of Appointment by Successor</w:t>
      </w:r>
      <w:r>
        <w:rPr>
          <w:rFonts w:ascii="Times New Roman" w:hAnsi="Times New Roman"/>
          <w:b w:val="false"/>
          <w:i w:val="false"/>
          <w:color w:val="000000"/>
          <w:sz w:val="20"/>
        </w:rPr>
        <w:t>. In case of the appointment hereunder of a successor Trustee with respect to all Securities, every such successor Trustee so appointed shall execute, acknowledge and deliver to the Company and to the retiring Trustee an instrument accepting such appointment, and thereupon the resignation or removal of the retiring Trustee shall become effective and such successor Trustee, without any further act, deed or conveyance, shall become vested with all the rights, powers, trusts and duties of the retiring Trustee; but, on the request of the Company or the successor Trustee, such retiring Trustee shall, upon payment of its charges and subject to the lien provided for in Section 7.07, execute and deliver an instrument transferring to such successor Trustee all the rights, powers and trusts of the retiring Trustee and shall duly assign, transfer and deliver to such successor Trustee all property and money held by such retiring Trustee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case of the appointment hereunder of a successor Trustee with respect to the Securities of one or more (but not all) series, the Company, the retiring Trustee and each successor Trustee with respect to the Securities of one or more series shall execute and deliver an indenture supplemental hereto wherein each successor Trustee shall accept such appointment and which (1) shall contain such provisions as shall be necessary or desirable to transfer and confirm to, and to vest in, each successor Trustee all the rights, powers, trusts and duties of the retiring Trustee with respect to the Securities of that or those series to which the appointment of such successor Trustee relates, (2) if the retiring Trustee is not retiring with respect to all Securities, shall contain such provisions as shall be deemed necessary or desirable to confirm that all the rights, powers, trusts and duties of the retiring Trustee with respect to the Securities of that or those series as to which the retiring Trustee is not retiring shall continue to be vested in the retiring Trustee, and (3) shall add to or change any of the provisions of this Indenture as shall be necessary to provide for or facilitate the administration of the trusts hereunder by more than one Trustee, it being understood that nothing herein or in such supplemental indenture shall constitute such Trustees co-trustees of the same trust and that each such Trustee shall be trustee of a trust or trusts hereunder separate and apart from any trust or trusts hereunder administered by any other such Trustee; and upon the execution and delivery of such supplemental indenture the resignation or removal of the retiring Trustee shall become effective to the extent provided therein and each such successor Trustee, without any further act, deed or conveyance, shall become vested with all the rights, powers, trusts and duties of the retiring Trustee with respect to the Securities of that or those series to which the appointment of such successor Trustee relates; but, on request of the Company or any successor Trustee, such retiring Trustee shall duly assign, transfer and deliver to such successor Trustee all property and money held by such retiring Trustee hereunder with respect to the Securities of that or those series to which the appointment of such successor Trustee relates.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request of any such successor Trustee, the Company shall execute any and all instruments for more fully and certainly vesting in and confirming to such successor Trustee all such rights, powers and trusts referred to in the first or second preceding paragraph, as the case may be.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 successor Trustee shall accept its appointment unless at the time of such acceptance such successor Trustee shall be eligible under this Article and qualified under Section 310(b) of the Trust Indenture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7.10</w:t>
      </w:r>
      <w:r>
        <w:rPr>
          <w:rFonts w:ascii="Times New Roman" w:hAnsi="Times New Roman"/>
          <w:b w:val="false"/>
          <w:i w:val="false"/>
          <w:color w:val="000000"/>
          <w:sz w:val="20"/>
        </w:rPr>
        <w:t> </w:t>
      </w:r>
      <w:r>
        <w:rPr>
          <w:rFonts w:ascii="Times New Roman" w:hAnsi="Times New Roman"/>
          <w:b w:val="false"/>
          <w:i/>
          <w:color w:val="000000"/>
          <w:sz w:val="20"/>
        </w:rPr>
        <w:t>Successor Trustee By Merger, Etc.</w:t>
      </w:r>
      <w:r>
        <w:rPr>
          <w:rFonts w:ascii="Times New Roman" w:hAnsi="Times New Roman"/>
          <w:b w:val="false"/>
          <w:i w:val="false"/>
          <w:color w:val="000000"/>
          <w:sz w:val="20"/>
        </w:rPr>
        <w:t> If the Trustee consolidates with, merges or converts into, or transfers all or substantially all of its corporate trust business to, another corporation or national banking association, the resulting, surviving or transferee corporation or national banking association without any further act shall be the successor Trustee with the same effect as if the successor Trustee had been named as the Trustee herein.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7.11</w:t>
      </w:r>
      <w:r>
        <w:rPr>
          <w:rFonts w:ascii="Times New Roman" w:hAnsi="Times New Roman"/>
          <w:b w:val="false"/>
          <w:i w:val="false"/>
          <w:color w:val="000000"/>
          <w:sz w:val="20"/>
        </w:rPr>
        <w:t> </w:t>
      </w:r>
      <w:r>
        <w:rPr>
          <w:rFonts w:ascii="Times New Roman" w:hAnsi="Times New Roman"/>
          <w:b w:val="false"/>
          <w:i/>
          <w:color w:val="000000"/>
          <w:sz w:val="20"/>
        </w:rPr>
        <w:t>Eligibility</w:t>
      </w:r>
      <w:r>
        <w:rPr>
          <w:rFonts w:ascii="Times New Roman" w:hAnsi="Times New Roman"/>
          <w:b w:val="false"/>
          <w:i w:val="false"/>
          <w:color w:val="000000"/>
          <w:sz w:val="20"/>
        </w:rPr>
        <w:t>. This Indenture shall always have a Trustee who satisfies the requirements of Trust Indenture Act Section 310(a). The Trustee shall have a combined capital and surplus of at least $25,000,000 as set forth in its most recent published annual report of condition.</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7.12</w:t>
      </w:r>
      <w:r>
        <w:rPr>
          <w:rFonts w:ascii="Times New Roman" w:hAnsi="Times New Roman"/>
          <w:b w:val="false"/>
          <w:i w:val="false"/>
          <w:color w:val="000000"/>
          <w:sz w:val="20"/>
        </w:rPr>
        <w:t> </w:t>
      </w:r>
      <w:r>
        <w:rPr>
          <w:rFonts w:ascii="Times New Roman" w:hAnsi="Times New Roman"/>
          <w:b w:val="false"/>
          <w:i/>
          <w:color w:val="000000"/>
          <w:sz w:val="20"/>
        </w:rPr>
        <w:t>Money Held in Trust</w:t>
      </w:r>
      <w:r>
        <w:rPr>
          <w:rFonts w:ascii="Times New Roman" w:hAnsi="Times New Roman"/>
          <w:b w:val="false"/>
          <w:i w:val="false"/>
          <w:color w:val="000000"/>
          <w:sz w:val="20"/>
        </w:rPr>
        <w:t>. The Trustee shall not be liable for interest on any money received by it except as the Trustee may agree in writing with the Company. Money held in trust by the Trustee need not be segregated from other funds except to the extent required by law and except for money held in trust under Article 8 of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8</w:t>
      </w:r>
      <w:r>
        <w:br/>
      </w:r>
      <w:r>
        <w:rPr>
          <w:rFonts w:ascii="Times New Roman" w:hAnsi="Times New Roman"/>
          <w:b w:val="false"/>
          <w:i w:val="false"/>
          <w:color w:val="000000"/>
          <w:sz w:val="20"/>
        </w:rPr>
        <w:t xml:space="preserve"> Satisfaction and Discharge of Indenture; Unclaimed Moneys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8.01</w:t>
      </w:r>
      <w:r>
        <w:rPr>
          <w:rFonts w:ascii="Times New Roman" w:hAnsi="Times New Roman"/>
          <w:b w:val="false"/>
          <w:i w:val="false"/>
          <w:color w:val="000000"/>
          <w:sz w:val="20"/>
        </w:rPr>
        <w:t> </w:t>
      </w:r>
      <w:r>
        <w:rPr>
          <w:rFonts w:ascii="Times New Roman" w:hAnsi="Times New Roman"/>
          <w:b w:val="false"/>
          <w:i/>
          <w:color w:val="000000"/>
          <w:sz w:val="20"/>
        </w:rPr>
        <w:t>Satisfaction and Discharge of Indenture</w:t>
      </w:r>
      <w:r>
        <w:rPr>
          <w:rFonts w:ascii="Times New Roman" w:hAnsi="Times New Roman"/>
          <w:b w:val="false"/>
          <w:i w:val="false"/>
          <w:color w:val="000000"/>
          <w:sz w:val="20"/>
        </w:rPr>
        <w:t>. If at any time (a) (i) all Securities of any series issued that have been authenticated and delivered have been delivered by the Company to the Trustee for cancellation (other than Securities of such series which have been destroyed, lost or stolen and which have been replaced or paid as provided in Section 2.08); or (ii) all the Securities of any series issued that have not been delivered by the Company to the Trustee for cancellation shall have become due and payable, or are by their terms to become due and payable within one year or are to be called for redemption within one year under arrangements satisfactory to the Trustee for the giving of notice of redemption by such Trustee in the Company’s name and at the Company’s expense, the Company shall have irrevocably deposited or caused to be deposited with the Trustee as trust funds the entire amount in cash (other than moneys repaid by the Trustee or any paying agent to the Company in accordance with Section 8.04) or U.S. Government Obligations, maturing as to principal and interest in such amounts and at such times as will insure (without consideration of the reinvestment of such interest) the availability of cash, or a combination thereof, sufficient to pay at maturity or upon redemption all Securities of such series (other than any Securities of such series which shall have been destroyed, lost or stolen and which shall have been replaced or paid as provided in Section 2.08) not theretofore delivered to the Trustee for cancellation, including Principal and interest due or to become due on or prior to such date of maturity or redemption as the case may be; (b) the Company has paid or caused to be paid all other sums then due and payable under this Indenture; and (c) the Company has delivered to the Trustee an Officers’ Certificate and an Opinion of Counsel, each stating that all conditions precedent under this Indenture relating to the satisfaction and discharge of this Indenture pursuant to this Section 8.01 have been complied with, then this Indenture shall cease to be of further effect with respect to Securities of such series (except as to (i) rights of registration of transfer and exchange of securities of such series, and the Company’s right of optional redemption, if any, (ii) substitution of mutilated, defaced, destroyed, lost or stolen Securities, (iii) rights of holders to receive payments of Principal thereof and interest thereon, upon the original stated due dates therefor (but not upon acceleration) and remaining rights of the holders to receive mandatory sinking fund payments, if any, (iv) the rights, obligations and immunities of the Trustee hereunder and (v) the rights of the Securityholders of such series as beneficiaries hereof with respect to the property so deposited with the Trustee payable to all or any of them), and the Trustee, on demand of the Company accompanied by an Officers’ Certificate and an Opinion of Counsel and at the cost and expense of the Company, shall execute proper instruments acknowledging such satisfaction of and discharging this Indenture with respect to such series; provided that the rights of Holders of the Securities to receive amounts in respect of Principal of and interest on the Securities held by them shall not be delayed longer than required by then-applicable mandatory rules or policies of any securities exchange upon which the Securities are listed. The Company agrees to reimburse the Trustee for any costs or expenses thereafter reasonably and properly incurred and to compensate the Trustee for any services thereafter reasonably and properly rendered by the Trustee in connection with this Indenture or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29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8.02</w:t>
      </w:r>
      <w:r>
        <w:rPr>
          <w:rFonts w:ascii="Times New Roman" w:hAnsi="Times New Roman"/>
          <w:b w:val="false"/>
          <w:i w:val="false"/>
          <w:color w:val="000000"/>
          <w:sz w:val="20"/>
        </w:rPr>
        <w:t>   </w:t>
      </w:r>
      <w:r>
        <w:rPr>
          <w:rFonts w:ascii="Times New Roman" w:hAnsi="Times New Roman"/>
          <w:b w:val="false"/>
          <w:i/>
          <w:color w:val="000000"/>
          <w:sz w:val="20"/>
        </w:rPr>
        <w:t>Application by Trustee of Funds Deposited for Payment of Securities</w:t>
      </w:r>
      <w:r>
        <w:rPr>
          <w:rFonts w:ascii="Times New Roman" w:hAnsi="Times New Roman"/>
          <w:b w:val="false"/>
          <w:i w:val="false"/>
          <w:color w:val="000000"/>
          <w:sz w:val="20"/>
        </w:rPr>
        <w:t>. Subject to Section 8.04, all moneys (including U.S. Government Obligations and the proceeds thereof) deposited with the Trustee pursuant to Section 8.01, Section 8.05 or Section 8.06 shall be held in trust and applied by it to the payment, either directly or through any paying agent to the Holders of the particular Securities of such series for the payment or redemption of which such moneys have been deposited with the Trustee, of all sums due and to become due thereon for Principal and interest; but such money need not be segregated from other funds except to the extent required by law.</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8.03</w:t>
      </w:r>
      <w:r>
        <w:rPr>
          <w:rFonts w:ascii="Times New Roman" w:hAnsi="Times New Roman"/>
          <w:b w:val="false"/>
          <w:i w:val="false"/>
          <w:color w:val="000000"/>
          <w:sz w:val="20"/>
        </w:rPr>
        <w:t>   </w:t>
      </w:r>
      <w:r>
        <w:rPr>
          <w:rFonts w:ascii="Times New Roman" w:hAnsi="Times New Roman"/>
          <w:b w:val="false"/>
          <w:i/>
          <w:color w:val="000000"/>
          <w:sz w:val="20"/>
        </w:rPr>
        <w:t>Repayment of Moneys Held by Paying Agent</w:t>
      </w:r>
      <w:r>
        <w:rPr>
          <w:rFonts w:ascii="Times New Roman" w:hAnsi="Times New Roman"/>
          <w:b w:val="false"/>
          <w:i w:val="false"/>
          <w:color w:val="000000"/>
          <w:sz w:val="20"/>
        </w:rPr>
        <w:t>. In connection with the satisfaction and discharge of this Indenture with respect to Securities of any series, all moneys then held by any paying agent under the provisions of this Indenture with respect to such series of Securities shall, upon demand of the Company, be repaid to it or paid to the Trustee and thereupon such paying agent shall be released from all further liability with respect to such moneys.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8.04</w:t>
      </w:r>
      <w:r>
        <w:rPr>
          <w:rFonts w:ascii="Times New Roman" w:hAnsi="Times New Roman"/>
          <w:b w:val="false"/>
          <w:i w:val="false"/>
          <w:color w:val="000000"/>
          <w:sz w:val="20"/>
        </w:rPr>
        <w:t>   </w:t>
      </w:r>
      <w:r>
        <w:rPr>
          <w:rFonts w:ascii="Times New Roman" w:hAnsi="Times New Roman"/>
          <w:b w:val="false"/>
          <w:i/>
          <w:color w:val="000000"/>
          <w:sz w:val="20"/>
        </w:rPr>
        <w:t>Return of Moneys Held by Trustee and Paying Agent Unclaimed for Two Years</w:t>
      </w:r>
      <w:r>
        <w:rPr>
          <w:rFonts w:ascii="Times New Roman" w:hAnsi="Times New Roman"/>
          <w:b w:val="false"/>
          <w:i w:val="false"/>
          <w:color w:val="000000"/>
          <w:sz w:val="20"/>
        </w:rPr>
        <w:t>. Any moneys deposited with or paid to the Trustee or any paying agent for the payment of the Principal of or interest on any Security of any series and not applied but remaining unclaimed for two years after the date upon which such Principal or interest shall have become due and payable, shall, upon the written request of the Company and unless otherwise required by mandatory provisions of applicable escheat or abandoned or unclaimed property law, be repaid to the Company by the Trustee for such series or such paying agent, and the Holder of the Security of such series shall, unless otherwise required by mandatory provisions of applicable escheat or abandoned or unclaimed property laws, thereafter look only to the Company for any payment which such Holder may be entitled to collect, and all liability of the Trustee or any paying agent with respect to such moneys shall thereupon cease.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8.05</w:t>
      </w:r>
      <w:r>
        <w:rPr>
          <w:rFonts w:ascii="Times New Roman" w:hAnsi="Times New Roman"/>
          <w:b w:val="false"/>
          <w:i w:val="false"/>
          <w:color w:val="000000"/>
          <w:sz w:val="20"/>
        </w:rPr>
        <w:t xml:space="preserve">   </w:t>
      </w:r>
      <w:r>
        <w:rPr>
          <w:rFonts w:ascii="Times New Roman" w:hAnsi="Times New Roman"/>
          <w:b w:val="false"/>
          <w:i/>
          <w:color w:val="000000"/>
          <w:sz w:val="20"/>
        </w:rPr>
        <w:t>Defeasance and Discharge of Indenture</w:t>
      </w:r>
      <w:r>
        <w:rPr>
          <w:rFonts w:ascii="Times New Roman" w:hAnsi="Times New Roman"/>
          <w:b w:val="false"/>
          <w:i w:val="false"/>
          <w:color w:val="000000"/>
          <w:sz w:val="20"/>
        </w:rPr>
        <w:t>. The Company shall be deemed to have paid and shall be discharged from any and all obligations in respect of the Securities of any series, after the deposit referred to in clause (i) hereof has been made, and the provisions of this Indenture shall no longer be in effect with respect to the Securities of such series (and the Trustee, at the expense of the Company, shall execute proper instruments acknowledging the same), except as to: (a) rights of Holders of the Securities of such series to receive payments of Principal thereof, premium thereto, and interest thereon, upon the original stated due dates therefor, (b) the Company’s obligations with respect to the issuance of temporary Securities and the registration of transfer with respect to the Securities of such series, the Company’s right of optional redemption, substitution of mutilated, defaced, destroyed, lost or stolen Securities of such series and the maintenance of an office or agency for payment for security payments held in trust pursuant to clause (i) hereof, (c) the rights, obligations and immunities of the Trustee hereunder, and (d) the defeasance provisions contained in Article 8 of this Indenture; </w:t>
      </w:r>
      <w:r>
        <w:rPr>
          <w:rFonts w:ascii="Times New Roman" w:hAnsi="Times New Roman"/>
          <w:b w:val="false"/>
          <w:i/>
          <w:color w:val="000000"/>
          <w:sz w:val="20"/>
        </w:rPr>
        <w:t>provided</w:t>
      </w:r>
      <w:r>
        <w:rPr>
          <w:rFonts w:ascii="Times New Roman" w:hAnsi="Times New Roman"/>
          <w:b w:val="false"/>
          <w:i w:val="false"/>
          <w:color w:val="000000"/>
          <w:sz w:val="20"/>
        </w:rPr>
        <w:t> that the following conditions shall have been satisfied: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  with reference to this Section 8.05 the Company irrevocably has deposited or caused to be deposited with the Trustee (or another qualifying trustee satisfying the requirements of Section 7.11) as trust funds in trust, for the purposes of making the following payments, specifically pledged as security for, and dedicated solely to, the benefit of the Holders of the Securities of such series, (A) money in an amount, (B) U.S. Government Obligations which through the payment of interest and principal in respect thereof in accordance with their terms will provide not later than one day before the due date of any payment referred to in subclause (x) or (y) of this clause (i), or (C) a combination thereof, in each case sufficient, in the written opinion of a nationally recognized firm of independent public accountants expressed in a written certification thereof delivered to the Trustee, to pay and discharge, without consideration of reinvestment and after payment of all federal, state and local taxes or other charges and assessments in respect thereof, and which shall be applied by the Trustee to pay and discharge (x) all of the Principal of, premium, if any, and each installment of interest on the outstanding Securities of such series on the maturity or due dates thereof or if the Company has made irrevocable arrangements satisfactory to the Trustee for the giving of notice of redemption by the Trustee, the redemption date, as the case may be, and (y) any mandatory sinking fund payments or analogous payments applicable to the Securities of such series on the day on which such payments are due and payable in accordance with the terms of Securities of such series and the Indenture with respect to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(ii) the Company has delivered to the Trustee an Opinion of Counsel to the effect that, under then applicable U.S. federal income tax law, Holders of Securities of such series will not recognize gain or loss for U.S. federal income tax purposes as a result of the Company’s exercise of its option under this Section 8.05 and will be subject to U.S. federal income tax on the same amount and in the same manner and at the same times as would have been the case if such deposit, defeasance and discharge had not occurred;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(iii)  no Default under either clause (d) or clause (e) of Section 6.01 shall have occurred and be continuing at such time;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(iv) if at such time the Securities of such series are listed on a national securities exchange, the Company has delivered to the Trustee an Opinion of Counsel to the effect that the Securities of such series will not be delisted as a result of such deposit, defeasance and discharge;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(v)  the Company shall have delivered to the Trustee an Officers’ Certificate and an Opinion of Counsel, each stating that all conditions precedent to the defeasance and discharge under this Section 8.05 have been complied with;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(vi) if the Securities of such series are to be redeemed prior to the final maturity thereof (other than from mandatory sinking fund payments or analogous payments), notice of such redemption shall have been duly given pursuant to this Indenture or provision therefor satisfactory to the Trustee shall have been made.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8.06</w:t>
      </w:r>
      <w:r>
        <w:rPr>
          <w:rFonts w:ascii="Times New Roman" w:hAnsi="Times New Roman"/>
          <w:b w:val="false"/>
          <w:i w:val="false"/>
          <w:color w:val="000000"/>
          <w:sz w:val="20"/>
        </w:rPr>
        <w:t> </w:t>
      </w:r>
      <w:r>
        <w:rPr>
          <w:rFonts w:ascii="Times New Roman" w:hAnsi="Times New Roman"/>
          <w:b w:val="false"/>
          <w:i/>
          <w:color w:val="000000"/>
          <w:sz w:val="20"/>
        </w:rPr>
        <w:t>Defeasance of Certain Obligations</w:t>
      </w:r>
      <w:r>
        <w:rPr>
          <w:rFonts w:ascii="Times New Roman" w:hAnsi="Times New Roman"/>
          <w:b w:val="false"/>
          <w:i w:val="false"/>
          <w:color w:val="000000"/>
          <w:sz w:val="20"/>
        </w:rPr>
        <w:t>. The Company may omit to comply with any term, provision or condition set forth in, and this Indenture will no longer be in effect with respect to, any covenant established pursuant to Section 2.03(s) and clause (c) and clause (f) (with respect to any covenants established pursuant to Section 2.03(s)) of Section 6.01 shall be deemed not to constitute a Default or an Event of Default with respect to Securities of any series, if: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with reference to this Section 8.06, the Company has irrevocably deposited or caused to be deposited with the Trustee (or another qualifying trustee satisfying the requirements of Section 7.11) as trust funds in trust, for the purposes of making the following payments, specifically pledged as security for, and dedicated solely to, the benefits of the Holders of the Securities of such series, (i) money in an amount, (ii) U.S. Government Obligations which through the payment of interest and principal in respect thereof in accordance with their terms will provide not later than one day before the due date of any payment referred to in subclause (x) or (y) of this clause (a), or (iii) a combination thereof, in each case sufficient, in the written opinion of a nationally recognized firm of independent public accountants expressed in a written certification thereof delivered to the Trustee, to pay and discharge, without consideration of reinvestment and after payment of all federal, state and local taxes or other charges and assessments in respect thereof, and which shall be applied by the Trustee to pay and discharge (x) all of the Principal of, premium, if any, and each installment of interest on the outstanding Securities of such series on the maturity or due dates thereof or if the Company has made irrevocable arrangements satisfactory to the Trustee for the giving of notice of redemption by the Trustee, the redemption date, as the case may be, and (y) any mandatory sinking fund payments or analogous payments applicable to the Securities of such series on the day on which such payments are due and payable in accordance with the terms of the Securities of such series and the Indenture with respect to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the Company has delivered to the Trustee an Opinion of Counsel to the effect that Holders of Securities of such series will not recognize gain or loss for U.S. federal income tax purposes as a result of the Company’s exercise of its option under this Section 8.06 and will be subject to U.S. federal income tax on the same amount and in the same manner and at the same times as would have been the case if such deposit and defeasance had not occurred;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no Default with respect to the outstanding Securities of such series shall have occurred and be continuing at the time of such deposit immediately after giving effect to such deposit;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w:t>
      </w:r>
      <w:r>
        <w:rPr>
          <w:rFonts w:ascii="Times New Roman" w:hAnsi="Times New Roman"/>
          <w:b w:val="false"/>
          <w:i w:val="false"/>
          <w:color w:val="000000"/>
          <w:sz w:val="20"/>
        </w:rPr>
        <w:t>if at such time the Securities of such series are listed on a national securities exchange, the Company has delivered to the Trustee an Opinion of Counsel to the effect that the Securities of such series will not be delisted as a result of such deposit, defeasance and discharge;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w:t>
      </w:r>
      <w:r>
        <w:rPr>
          <w:rFonts w:ascii="Times New Roman" w:hAnsi="Times New Roman"/>
          <w:b w:val="false"/>
          <w:i w:val="false"/>
          <w:color w:val="000000"/>
          <w:sz w:val="20"/>
        </w:rPr>
        <w:t> </w:t>
      </w:r>
      <w:r>
        <w:rPr>
          <w:rFonts w:ascii="Times New Roman" w:hAnsi="Times New Roman"/>
          <w:b w:val="false"/>
          <w:i w:val="false"/>
          <w:color w:val="000000"/>
          <w:sz w:val="20"/>
        </w:rPr>
        <w:t>the Company shall have delivered to the Trustee an Officers’ Certificate and an Opinion of Counsel, each stating that all conditions precedent to the defeasance under this Section have been complied with;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w:t>
      </w:r>
      <w:r>
        <w:rPr>
          <w:rFonts w:ascii="Times New Roman" w:hAnsi="Times New Roman"/>
          <w:b w:val="false"/>
          <w:i w:val="false"/>
          <w:color w:val="000000"/>
          <w:sz w:val="20"/>
        </w:rPr>
        <w:t> </w:t>
      </w:r>
      <w:r>
        <w:rPr>
          <w:rFonts w:ascii="Times New Roman" w:hAnsi="Times New Roman"/>
          <w:b w:val="false"/>
          <w:i w:val="false"/>
          <w:color w:val="000000"/>
          <w:sz w:val="20"/>
        </w:rPr>
        <w:t>if the Securities of such series are to be redeemed prior to the final maturity thereof (other than from mandatory sinking fund payments or analogous payments), notice of such redemption shall have been duly given pursuant to this Indenture or provision therefor satisfactory to the Trustee shall have been made.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8.07</w:t>
      </w:r>
      <w:r>
        <w:rPr>
          <w:rFonts w:ascii="Times New Roman" w:hAnsi="Times New Roman"/>
          <w:b w:val="false"/>
          <w:i w:val="false"/>
          <w:color w:val="000000"/>
          <w:sz w:val="20"/>
        </w:rPr>
        <w:t xml:space="preserve">   </w:t>
      </w:r>
      <w:r>
        <w:rPr>
          <w:rFonts w:ascii="Times New Roman" w:hAnsi="Times New Roman"/>
          <w:b w:val="false"/>
          <w:i/>
          <w:color w:val="000000"/>
          <w:sz w:val="20"/>
        </w:rPr>
        <w:t>Reinstatement</w:t>
      </w:r>
      <w:r>
        <w:rPr>
          <w:rFonts w:ascii="Times New Roman" w:hAnsi="Times New Roman"/>
          <w:b w:val="false"/>
          <w:i w:val="false"/>
          <w:color w:val="000000"/>
          <w:sz w:val="20"/>
        </w:rPr>
        <w:t>. If the Trustee or paying agent is unable to apply any monies or U.S. Government Obligations in accordance with Article 8 by reason of any legal proceeding or by reason of any order or judgment of any court or governmental authority enjoining, restraining or otherwise prohibiting such application, the Company’s obligations under this Indenture and the Securities shall be revived and reinstated as though no deposit had occurred pursuant to this Article until such time as the Trustee or paying agent is permitted to apply all such monies or U.S. Government Obligations in accordance with Article 8; provided, however, that if the Company has made any payment of Principal of or interest on any Securities because of the reinstatement of its obligations, the Company shall be subrogated to the rights of the Holders of such Securities to receive such payment from the monies or U.S. Government Obligations held by the Trustee or paying agent.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8.08</w:t>
      </w:r>
      <w:r>
        <w:rPr>
          <w:rFonts w:ascii="Times New Roman" w:hAnsi="Times New Roman"/>
          <w:b w:val="false"/>
          <w:i w:val="false"/>
          <w:color w:val="000000"/>
          <w:sz w:val="20"/>
        </w:rPr>
        <w:t> </w:t>
      </w:r>
      <w:r>
        <w:rPr>
          <w:rFonts w:ascii="Times New Roman" w:hAnsi="Times New Roman"/>
          <w:b w:val="false"/>
          <w:i/>
          <w:color w:val="000000"/>
          <w:sz w:val="20"/>
        </w:rPr>
        <w:t>Indemnity</w:t>
      </w:r>
      <w:r>
        <w:rPr>
          <w:rFonts w:ascii="Times New Roman" w:hAnsi="Times New Roman"/>
          <w:b w:val="false"/>
          <w:i w:val="false"/>
          <w:color w:val="000000"/>
          <w:sz w:val="20"/>
        </w:rPr>
        <w:t>. The Company shall pay and indemnify the Trustee (or other qualifying trustee, collectively for purposes of this Section 8.08 and Section 8.02, the “Trustee”) against any tax, fee or other charge, imposed on or assessed against the U.S. Government Obligations deposited pursuant to Section 8.01, 8.05 or 8.06 or the principal or interest received in respect thereof other than any such tax, fee or other charge which by law is for the account of the Holders of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8.09</w:t>
      </w:r>
      <w:r>
        <w:rPr>
          <w:rFonts w:ascii="Times New Roman" w:hAnsi="Times New Roman"/>
          <w:b w:val="false"/>
          <w:i w:val="false"/>
          <w:color w:val="000000"/>
          <w:sz w:val="20"/>
        </w:rPr>
        <w:t> </w:t>
      </w:r>
      <w:r>
        <w:rPr>
          <w:rFonts w:ascii="Times New Roman" w:hAnsi="Times New Roman"/>
          <w:b w:val="false"/>
          <w:i/>
          <w:color w:val="000000"/>
          <w:sz w:val="20"/>
        </w:rPr>
        <w:t>Excess Funds</w:t>
      </w:r>
      <w:r>
        <w:rPr>
          <w:rFonts w:ascii="Times New Roman" w:hAnsi="Times New Roman"/>
          <w:b w:val="false"/>
          <w:i w:val="false"/>
          <w:color w:val="000000"/>
          <w:sz w:val="20"/>
        </w:rPr>
        <w:t>. Anything in this Article 8 to the contrary notwithstanding, the Trustee shall deliver or pay to the Company from time to time upon request of the Company, any money or U.S. Government Obligations (or other property and any proceeds therefrom) held by it as provided in Section 8.01, 8.05 or 8.06 which, in the opinion of a nationally recognized firm of independent public accountants expressed in a written certification thereof delivered to the Trustee, are in excess of the amount thereof which would then be required to be deposited to effect a discharge or defeasance, as applicable, in accordance with this Article 8.</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8.10</w:t>
      </w:r>
      <w:r>
        <w:rPr>
          <w:rFonts w:ascii="Times New Roman" w:hAnsi="Times New Roman"/>
          <w:b w:val="false"/>
          <w:i w:val="false"/>
          <w:color w:val="000000"/>
          <w:sz w:val="20"/>
        </w:rPr>
        <w:t> </w:t>
      </w:r>
      <w:r>
        <w:rPr>
          <w:rFonts w:ascii="Times New Roman" w:hAnsi="Times New Roman"/>
          <w:b w:val="false"/>
          <w:i/>
          <w:color w:val="000000"/>
          <w:sz w:val="20"/>
        </w:rPr>
        <w:t>Qualifying Trustee</w:t>
      </w:r>
      <w:r>
        <w:rPr>
          <w:rFonts w:ascii="Times New Roman" w:hAnsi="Times New Roman"/>
          <w:b w:val="false"/>
          <w:i w:val="false"/>
          <w:color w:val="000000"/>
          <w:sz w:val="20"/>
        </w:rPr>
        <w:t>. Any trustee appointed pursuant to Section 8.05 or 8.06 for the purpose of holding money or U.S. Government Obligations deposited pursuant to such Sections shall be appointed under an agreement in form acceptable to the Trustee and shall provide to the Trustee a certificate, upon which certificate the Trustee shall be entitled to conclusively rely, that all conditions precedent provided for herein to the related defeasance have been complied with. In no event shall the Trustee be liable for any acts or omissions of said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9</w:t>
      </w:r>
      <w:r>
        <w:br/>
      </w:r>
      <w:r>
        <w:rPr>
          <w:rFonts w:ascii="Times New Roman" w:hAnsi="Times New Roman"/>
          <w:b w:val="false"/>
          <w:i w:val="false"/>
          <w:color w:val="000000"/>
          <w:sz w:val="20"/>
        </w:rPr>
        <w:t xml:space="preserve"> Amendments, Supplements and Waivers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9.01</w:t>
      </w:r>
      <w:r>
        <w:rPr>
          <w:rFonts w:ascii="Times New Roman" w:hAnsi="Times New Roman"/>
          <w:b w:val="false"/>
          <w:i w:val="false"/>
          <w:color w:val="000000"/>
          <w:sz w:val="20"/>
        </w:rPr>
        <w:t> </w:t>
      </w:r>
      <w:r>
        <w:rPr>
          <w:rFonts w:ascii="Times New Roman" w:hAnsi="Times New Roman"/>
          <w:b w:val="false"/>
          <w:i/>
          <w:color w:val="000000"/>
          <w:sz w:val="20"/>
        </w:rPr>
        <w:t>Without Consent of Holders</w:t>
      </w:r>
      <w:r>
        <w:rPr>
          <w:rFonts w:ascii="Times New Roman" w:hAnsi="Times New Roman"/>
          <w:b w:val="false"/>
          <w:i w:val="false"/>
          <w:color w:val="000000"/>
          <w:sz w:val="20"/>
        </w:rPr>
        <w:t>. The Company and the Trustee may amend or supplement this Indenture or the Securities of any series without notice to or the consent of any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to cure any ambiguity, defect or inconsistency in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to comply with Article 5;</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to maintain the qualification of this Indenture under the Trust Indenture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w:t>
      </w:r>
      <w:r>
        <w:rPr>
          <w:rFonts w:ascii="Times New Roman" w:hAnsi="Times New Roman"/>
          <w:b w:val="false"/>
          <w:i w:val="false"/>
          <w:color w:val="000000"/>
          <w:sz w:val="20"/>
        </w:rPr>
        <w:t>to evidence and provide for the acceptance of appointment hereunder with respect to the Securities of any or all series by a successor Trustee and to add to or change any of the provisions of this Indenture as shall be necessary to provide for or facilitate the administration of the trusts hereunder by more than one Trustee, pursuant to the requirements of Section 7.09;</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(e)</w:t>
      </w:r>
      <w:r>
        <w:rPr>
          <w:rFonts w:ascii="Times New Roman" w:hAnsi="Times New Roman"/>
          <w:b w:val="false"/>
          <w:i w:val="false"/>
          <w:color w:val="000000"/>
          <w:sz w:val="20"/>
        </w:rPr>
        <w:t> </w:t>
      </w:r>
      <w:r>
        <w:rPr>
          <w:rFonts w:ascii="Times New Roman" w:hAnsi="Times New Roman"/>
          <w:b w:val="false"/>
          <w:i w:val="false"/>
          <w:color w:val="000000"/>
          <w:sz w:val="20"/>
        </w:rPr>
        <w:t>to establish the form or forms or terms of Securities of any series as permitted by Section 2.03;</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w:t>
      </w:r>
      <w:r>
        <w:rPr>
          <w:rFonts w:ascii="Times New Roman" w:hAnsi="Times New Roman"/>
          <w:b w:val="false"/>
          <w:i w:val="false"/>
          <w:color w:val="000000"/>
          <w:sz w:val="20"/>
        </w:rPr>
        <w:t> </w:t>
      </w:r>
      <w:r>
        <w:rPr>
          <w:rFonts w:ascii="Times New Roman" w:hAnsi="Times New Roman"/>
          <w:b w:val="false"/>
          <w:i w:val="false"/>
          <w:color w:val="000000"/>
          <w:sz w:val="20"/>
        </w:rPr>
        <w:t>to provide for uncertificated Securities and to make all appropriate changes for such purpose;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(g)</w:t>
      </w:r>
      <w:r>
        <w:rPr>
          <w:rFonts w:ascii="Times New Roman" w:hAnsi="Times New Roman"/>
          <w:b w:val="false"/>
          <w:i w:val="false"/>
          <w:color w:val="000000"/>
          <w:sz w:val="20"/>
        </w:rPr>
        <w:t> </w:t>
      </w:r>
      <w:r>
        <w:rPr>
          <w:rFonts w:ascii="Times New Roman" w:hAnsi="Times New Roman"/>
          <w:b w:val="false"/>
          <w:i w:val="false"/>
          <w:color w:val="000000"/>
          <w:sz w:val="20"/>
        </w:rPr>
        <w:t>to conform any provision to the applicable corresponding provision set forth in the offering document for the offering of such series of Securities;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(h)</w:t>
      </w:r>
      <w:r>
        <w:rPr>
          <w:rFonts w:ascii="Times New Roman" w:hAnsi="Times New Roman"/>
          <w:b w:val="false"/>
          <w:i w:val="false"/>
          <w:color w:val="000000"/>
          <w:sz w:val="20"/>
        </w:rPr>
        <w:t> </w:t>
      </w:r>
      <w:r>
        <w:rPr>
          <w:rFonts w:ascii="Times New Roman" w:hAnsi="Times New Roman"/>
          <w:b w:val="false"/>
          <w:i w:val="false"/>
          <w:color w:val="000000"/>
          <w:sz w:val="20"/>
        </w:rPr>
        <w:t>to make any change that does not materially and adversely affect the rights of any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33</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9.02</w:t>
      </w:r>
      <w:r>
        <w:rPr>
          <w:rFonts w:ascii="Times New Roman" w:hAnsi="Times New Roman"/>
          <w:b w:val="false"/>
          <w:i w:val="false"/>
          <w:color w:val="000000"/>
          <w:sz w:val="20"/>
        </w:rPr>
        <w:t> </w:t>
      </w:r>
      <w:r>
        <w:rPr>
          <w:rFonts w:ascii="Times New Roman" w:hAnsi="Times New Roman"/>
          <w:b w:val="false"/>
          <w:i/>
          <w:color w:val="000000"/>
          <w:sz w:val="20"/>
        </w:rPr>
        <w:t>With Consent of Holders</w:t>
      </w:r>
      <w:r>
        <w:rPr>
          <w:rFonts w:ascii="Times New Roman" w:hAnsi="Times New Roman"/>
          <w:b w:val="false"/>
          <w:i w:val="false"/>
          <w:color w:val="000000"/>
          <w:sz w:val="20"/>
        </w:rPr>
        <w:t>. Subject to Sections 6.04 and 6.07, without prior notice to any Holders, the Company and the Trustee may amend this Indenture and the Securities of any series with the written consent of the Holders of a majority in Principal amount of the outstanding Securities of each series affected by such amendment (all such series voting together as a single class), and the Holders of a majority in Principal amount of the outstanding Securities of each series affected thereby (all such series voting together as a single class) by written notice to the Trustee may waive future compliance by the Company with any provision of this Indenture or the Securities of such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Notwithstanding the provisions of this Section 9.02, without the consent of each Holder affected thereby, an amendment or waiver, including a waiver pursuant to Section 6.04, may not: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change the stated maturity of the Principal of, or any sinking fund obligation or any installment of interest on, such Holder’s Security,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reduce the Principal amount thereof or the rate of interest thereon (including any amount in respect of original issue discount);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reduce the above stated percentage of outstanding Securities the consent of whose holders is necessary to modify or amend the Indenture with respect to the Securities of the relevant series;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w:t>
      </w:r>
      <w:r>
        <w:rPr>
          <w:rFonts w:ascii="Times New Roman" w:hAnsi="Times New Roman"/>
          <w:b w:val="false"/>
          <w:i w:val="false"/>
          <w:color w:val="000000"/>
          <w:sz w:val="20"/>
        </w:rPr>
        <w:t>reduce the percentage in Principal amount of outstanding Securities of the relevant series the consent of whose Holders is required for any supplemental indenture or for any waiver of compliance with certain provisions of this Indenture or certain Defaults and their consequences provided for in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 supplemental indenture which changes or eliminates any covenant or other provision of this Indenture which has expressly been included solely for the benefit of one or more particular series of Securities, or which modifies the rights of Holders of Securities of such series with respect to such covenant or provision, shall be deemed not to affect the rights under this Indenture of the Holders of Securities of any other series.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It shall not be necessary for the consent of any Holder under this Section 9.02 to approve the particular form of any proposed amendment, supplement or waiver, but it shall be sufficient if such consent approves the substance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After an amendment, supplement or waiver under this Section 9.02 becomes effective, the Company shall give to the Holders affected thereby a notice briefly describing the amendment, supplement or waiver. The Company will mail supplemental indentures to Holders upon request. Any failure of the Company to mail such notice, or any defect therein, shall not, however, in any way impair or affect the validity of any such supplemental indenture or waiver.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9.03</w:t>
      </w:r>
      <w:r>
        <w:rPr>
          <w:rFonts w:ascii="Times New Roman" w:hAnsi="Times New Roman"/>
          <w:b w:val="false"/>
          <w:i w:val="false"/>
          <w:color w:val="000000"/>
          <w:sz w:val="20"/>
        </w:rPr>
        <w:t> </w:t>
      </w:r>
      <w:r>
        <w:rPr>
          <w:rFonts w:ascii="Times New Roman" w:hAnsi="Times New Roman"/>
          <w:b w:val="false"/>
          <w:i/>
          <w:color w:val="000000"/>
          <w:sz w:val="20"/>
        </w:rPr>
        <w:t>Revocation and Effect of Consent</w:t>
      </w:r>
      <w:r>
        <w:rPr>
          <w:rFonts w:ascii="Times New Roman" w:hAnsi="Times New Roman"/>
          <w:b w:val="false"/>
          <w:i w:val="false"/>
          <w:color w:val="000000"/>
          <w:sz w:val="20"/>
        </w:rPr>
        <w:t>. Until an amendment or waiver becomes effective, a consent to it by a Holder is a continuing consent by the Holder and every subsequent Holder of a Security or portion of a Security that evidences the same debt as the Security of the consenting Holder, even if notation of the consent is not made on any Security. However, any such Holder or subsequent Holder may revoke the consent as to its Security or portion of its Security. Such revocation shall be effective only if the Trustee receives the notice of revocation before the date the amendment, supplement or waiver becomes effective. An amendment, supplement or waiver shall become effective with respect to any Securities affected thereby on receipt by the Trustee of written consents from the requisite Holders of outstanding Securities affected thereby.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34</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may, but shall not be obligated to, fix a record date (which may be not less than five nor more than 60 days prior to the solicitation of consents) for the purpose of determining the Holders of the Securities of any series affected entitled to consent to any amendment, supplement or waiver. If a record date is fixed, then, notwithstanding the immediately preceding paragraph, those Persons who were such Holders at such record date (or their duly designated proxies) and only those Persons shall be entitled to consent to such amendment, supplement or waiver or to revoke any consent previously given, whether or not such Persons continue to be such Holders after such record date. No such consent shall be valid or effective for more than 90 days after such record date.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After an amendment, supplement or waiver becomes effective with respect to the Securities of any series affected thereby, it shall bind every Holder of such Securities unless it is of the type described in any of clauses (a) through (d) of Section 9.02. In case of an amendment or waiver of the type described in clauses (a) through (d) of Section 9.02, the amendment or waiver shall bind each such Holder who has consented to it and every subsequent Holder of a Security that evidences the same indebtedness as the Security of the consenting Holder.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9.04</w:t>
      </w:r>
      <w:r>
        <w:rPr>
          <w:rFonts w:ascii="Times New Roman" w:hAnsi="Times New Roman"/>
          <w:b w:val="false"/>
          <w:i w:val="false"/>
          <w:color w:val="000000"/>
          <w:sz w:val="20"/>
        </w:rPr>
        <w:t> </w:t>
      </w:r>
      <w:r>
        <w:rPr>
          <w:rFonts w:ascii="Times New Roman" w:hAnsi="Times New Roman"/>
          <w:b w:val="false"/>
          <w:i/>
          <w:color w:val="000000"/>
          <w:sz w:val="20"/>
        </w:rPr>
        <w:t>Notation on or Exchange of Securities</w:t>
      </w:r>
      <w:r>
        <w:rPr>
          <w:rFonts w:ascii="Times New Roman" w:hAnsi="Times New Roman"/>
          <w:b w:val="false"/>
          <w:i w:val="false"/>
          <w:color w:val="000000"/>
          <w:sz w:val="20"/>
        </w:rPr>
        <w:t>. If an amendment, supplement or waiver changes the terms of any Security, the Trustee may require the Holder thereof to deliver it to the Trustee. The Trustee may place an appropriate notation on the Security about the changed terms and return it to the Holder and the Trustee may place an appropriate notation on any Security of such series thereafter authenticated. Alternatively, if the Company or the Trustee so determines, the Company in exchange for the Security shall issue and the Trustee shall authenticate a new Security of the same series and tenor that reflects the changed terms.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9.05</w:t>
      </w:r>
      <w:r>
        <w:rPr>
          <w:rFonts w:ascii="Times New Roman" w:hAnsi="Times New Roman"/>
          <w:b w:val="false"/>
          <w:i w:val="false"/>
          <w:color w:val="000000"/>
          <w:sz w:val="20"/>
        </w:rPr>
        <w:t> </w:t>
      </w:r>
      <w:r>
        <w:rPr>
          <w:rFonts w:ascii="Times New Roman" w:hAnsi="Times New Roman"/>
          <w:b w:val="false"/>
          <w:i/>
          <w:color w:val="000000"/>
          <w:sz w:val="20"/>
        </w:rPr>
        <w:t>Trustee to Sign Amendments, Etc.</w:t>
      </w:r>
      <w:r>
        <w:rPr>
          <w:rFonts w:ascii="Times New Roman" w:hAnsi="Times New Roman"/>
          <w:b w:val="false"/>
          <w:i w:val="false"/>
          <w:color w:val="000000"/>
          <w:sz w:val="20"/>
        </w:rPr>
        <w:t> The Trustee shall be entitled to receive, and shall be fully protected in relying upon, an Opinion of Counsel stating that the execution of any amendment, supplement or waiver authorized pursuant to this Article 9 is authorized or permitted by this Indenture, stating that all requisite consents have been obtained or that no consents are required and stating that such supplemental indenture constitutes the legal, valid and binding obligation of the Company, enforceable against the Company in accordance with its terms, subject to customary exceptions. The Trustee may, but shall not be obligated to, execute any such amendment, supplement or waiver that affects the Trustee’s own rights, duties or immunities under this Indenture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9.06</w:t>
      </w:r>
      <w:r>
        <w:rPr>
          <w:rFonts w:ascii="Times New Roman" w:hAnsi="Times New Roman"/>
          <w:b w:val="false"/>
          <w:i w:val="false"/>
          <w:color w:val="000000"/>
          <w:sz w:val="20"/>
        </w:rPr>
        <w:t> </w:t>
      </w:r>
      <w:r>
        <w:rPr>
          <w:rFonts w:ascii="Times New Roman" w:hAnsi="Times New Roman"/>
          <w:b w:val="false"/>
          <w:i/>
          <w:color w:val="000000"/>
          <w:sz w:val="20"/>
        </w:rPr>
        <w:t>Conformity with Trust Indenture Act</w:t>
      </w:r>
      <w:r>
        <w:rPr>
          <w:rFonts w:ascii="Times New Roman" w:hAnsi="Times New Roman"/>
          <w:b w:val="false"/>
          <w:i w:val="false"/>
          <w:color w:val="000000"/>
          <w:sz w:val="20"/>
        </w:rPr>
        <w:t>. Every supplemental indenture executed pursuant to this Article 9 shall conform to the requirements of the Trust Indenture Act as then in effect.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10</w:t>
      </w:r>
      <w:r>
        <w:br/>
      </w:r>
      <w:r>
        <w:rPr>
          <w:rFonts w:ascii="Times New Roman" w:hAnsi="Times New Roman"/>
          <w:b w:val="false"/>
          <w:i w:val="false"/>
          <w:color w:val="000000"/>
          <w:sz w:val="20"/>
        </w:rPr>
        <w:t xml:space="preserve"> Miscellaneous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10.01</w:t>
      </w:r>
      <w:r>
        <w:rPr>
          <w:rFonts w:ascii="Times New Roman" w:hAnsi="Times New Roman"/>
          <w:b w:val="false"/>
          <w:i w:val="false"/>
          <w:color w:val="000000"/>
          <w:sz w:val="20"/>
        </w:rPr>
        <w:t> </w:t>
      </w:r>
      <w:r>
        <w:rPr>
          <w:rFonts w:ascii="Times New Roman" w:hAnsi="Times New Roman"/>
          <w:b w:val="false"/>
          <w:i/>
          <w:color w:val="000000"/>
          <w:sz w:val="20"/>
        </w:rPr>
        <w:t>Trust Indenture Act of 1939</w:t>
      </w:r>
      <w:r>
        <w:rPr>
          <w:rFonts w:ascii="Times New Roman" w:hAnsi="Times New Roman"/>
          <w:b w:val="false"/>
          <w:i w:val="false"/>
          <w:color w:val="000000"/>
          <w:sz w:val="20"/>
        </w:rPr>
        <w:t>. This Indenture shall incorporate and be governed by the provisions of the Trust Indenture Act that are required to be part of and to govern indentures qualified under the Trust Indenture Act.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10.02</w:t>
      </w:r>
      <w:r>
        <w:rPr>
          <w:rFonts w:ascii="Times New Roman" w:hAnsi="Times New Roman"/>
          <w:b w:val="false"/>
          <w:i w:val="false"/>
          <w:color w:val="000000"/>
          <w:sz w:val="20"/>
        </w:rPr>
        <w:t> </w:t>
      </w:r>
      <w:r>
        <w:rPr>
          <w:rFonts w:ascii="Times New Roman" w:hAnsi="Times New Roman"/>
          <w:b w:val="false"/>
          <w:i/>
          <w:color w:val="000000"/>
          <w:sz w:val="20"/>
        </w:rPr>
        <w:t>Notices</w:t>
      </w:r>
      <w:r>
        <w:rPr>
          <w:rFonts w:ascii="Times New Roman" w:hAnsi="Times New Roman"/>
          <w:b w:val="false"/>
          <w:i w:val="false"/>
          <w:color w:val="000000"/>
          <w:sz w:val="20"/>
        </w:rPr>
        <w:t>. Any notice or communication shall be sufficiently given if written and (a) if delivered in person, when received, (b) if mailed by first class mail, five days after mailing, or (c) as between the Company and the Trustee if delivered electronically, when delivery is confirmed, in each case addressed as follows: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to the Company: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InflaRx N.V.</w:t>
      </w:r>
      <w:r>
        <w:br/>
      </w:r>
      <w:r>
        <w:rPr>
          <w:rFonts w:ascii="Times New Roman" w:hAnsi="Times New Roman"/>
          <w:b w:val="false"/>
          <w:i w:val="false"/>
          <w:color w:val="000000"/>
          <w:sz w:val="20"/>
        </w:rPr>
        <w:t xml:space="preserve"> Winzerlaer Str. 2</w:t>
      </w:r>
      <w:r>
        <w:br/>
      </w:r>
      <w:r>
        <w:rPr>
          <w:rFonts w:ascii="Times New Roman" w:hAnsi="Times New Roman"/>
          <w:b w:val="false"/>
          <w:i w:val="false"/>
          <w:color w:val="000000"/>
          <w:sz w:val="20"/>
        </w:rPr>
        <w:t xml:space="preserve"> 07745 Jena, Germany</w:t>
      </w:r>
      <w:r>
        <w:br/>
      </w:r>
      <w:r>
        <w:rPr>
          <w:rFonts w:ascii="Times New Roman" w:hAnsi="Times New Roman"/>
          <w:b w:val="false"/>
          <w:i w:val="false"/>
          <w:color w:val="000000"/>
          <w:sz w:val="20"/>
        </w:rPr>
        <w:t xml:space="preserve"> Email: [●]</w:t>
      </w:r>
      <w:r>
        <w:br/>
      </w:r>
      <w:r>
        <w:rPr>
          <w:rFonts w:ascii="Times New Roman" w:hAnsi="Times New Roman"/>
          <w:b w:val="false"/>
          <w:i w:val="false"/>
          <w:color w:val="000000"/>
          <w:sz w:val="20"/>
        </w:rPr>
        <w:t xml:space="preserve"> Attention: Chief Financial Officer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35</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if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t>
      </w:r>
      <w:r>
        <w:br/>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Email: [●]</w:t>
      </w:r>
      <w:r>
        <w:br/>
      </w:r>
      <w:r>
        <w:rPr>
          <w:rFonts w:ascii="Times New Roman" w:hAnsi="Times New Roman"/>
          <w:b w:val="false"/>
          <w:i w:val="false"/>
          <w:color w:val="000000"/>
          <w:sz w:val="20"/>
        </w:rPr>
        <w:t xml:space="preserve"> Attention: [●]</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The Company or the Trustee by written notice to the other may designate additional or different addresses for subsequent notices or communications.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Any notice or communication shall be sufficiently given to Holders by mailing to such Holders at their addresses as they shall appear on the Security Register. Notice mailed shall be sufficiently given if so mailed within the time prescribed. Copies of any such communication or notice to a Holder shall also be mailed to the Trustee and each Agent at the same time.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Failure to mail a notice or communication to a Holder or any defect in it shall not affect its sufficiency with respect to other Holders. Except as otherwise provided in this Indenture, if a notice or communication is mailed in the manner provided in this Section 10.02, it is duly given, whether or not the addressee receives it.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Where this Indenture provides for notice in any manner, such notice may be waived in writing by the Person entitled to receive such notice, either before or after the event, and such waiver shall be the equivalent of such notice. Waivers of notice by Holders shall be filed with the Trustee, but such filing shall not be a condition precedent to the validity of any action taken in reliance upon such waiver.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case it shall be impracticable to give notice as herein contemplated, then such notification as shall be made with the approval of the Trustee shall constitute a sufficient notification for every purpose hereunder.</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10.03</w:t>
      </w:r>
      <w:r>
        <w:rPr>
          <w:rFonts w:ascii="Times New Roman" w:hAnsi="Times New Roman"/>
          <w:b w:val="false"/>
          <w:i w:val="false"/>
          <w:color w:val="000000"/>
          <w:sz w:val="20"/>
        </w:rPr>
        <w:t> </w:t>
      </w:r>
      <w:r>
        <w:rPr>
          <w:rFonts w:ascii="Times New Roman" w:hAnsi="Times New Roman"/>
          <w:b w:val="false"/>
          <w:i/>
          <w:color w:val="000000"/>
          <w:sz w:val="20"/>
        </w:rPr>
        <w:t>Certificate and Opinion as to Conditions Precedent</w:t>
      </w:r>
      <w:r>
        <w:rPr>
          <w:rFonts w:ascii="Times New Roman" w:hAnsi="Times New Roman"/>
          <w:b w:val="false"/>
          <w:i w:val="false"/>
          <w:color w:val="000000"/>
          <w:sz w:val="20"/>
        </w:rPr>
        <w:t>. Upon any request or application by the Company to the Trustee to take any action under this Indenture, the Company shall furnish to the Trustee: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an Officers’ Certificate stating that, in the opinion of the signers, all conditions precedent, if any, provided for in this Indenture relating to the proposed action have been complied with;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an Opinion of Counsel stating that, in the opinion of such counsel, all such conditions precedent have been complied with.</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10.04</w:t>
      </w:r>
      <w:r>
        <w:rPr>
          <w:rFonts w:ascii="Times New Roman" w:hAnsi="Times New Roman"/>
          <w:b w:val="false"/>
          <w:i w:val="false"/>
          <w:color w:val="000000"/>
          <w:sz w:val="20"/>
        </w:rPr>
        <w:t> </w:t>
      </w:r>
      <w:r>
        <w:rPr>
          <w:rFonts w:ascii="Times New Roman" w:hAnsi="Times New Roman"/>
          <w:b w:val="false"/>
          <w:i/>
          <w:color w:val="000000"/>
          <w:sz w:val="20"/>
        </w:rPr>
        <w:t>Statements Required in Certificate or Opinion</w:t>
      </w:r>
      <w:r>
        <w:rPr>
          <w:rFonts w:ascii="Times New Roman" w:hAnsi="Times New Roman"/>
          <w:b w:val="false"/>
          <w:i w:val="false"/>
          <w:color w:val="000000"/>
          <w:sz w:val="20"/>
        </w:rPr>
        <w:t>. Each certificate or opinion with respect to compliance with a condition or covenant provided for in this Indenture (other than the certificate required by Section 4.04) shall include: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(a)</w:t>
      </w:r>
      <w:r>
        <w:rPr>
          <w:rFonts w:ascii="Times New Roman" w:hAnsi="Times New Roman"/>
          <w:b w:val="false"/>
          <w:i w:val="false"/>
          <w:color w:val="000000"/>
          <w:sz w:val="20"/>
        </w:rPr>
        <w:t> </w:t>
      </w:r>
      <w:r>
        <w:rPr>
          <w:rFonts w:ascii="Times New Roman" w:hAnsi="Times New Roman"/>
          <w:b w:val="false"/>
          <w:i w:val="false"/>
          <w:color w:val="000000"/>
          <w:sz w:val="20"/>
        </w:rPr>
        <w:t>a statement that each person signing such certificate or opinion has read such covenant or condition and the definitions herein relating thereto;</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36</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(b)</w:t>
      </w:r>
      <w:r>
        <w:rPr>
          <w:rFonts w:ascii="Times New Roman" w:hAnsi="Times New Roman"/>
          <w:b w:val="false"/>
          <w:i w:val="false"/>
          <w:color w:val="000000"/>
          <w:sz w:val="20"/>
        </w:rPr>
        <w:t> </w:t>
      </w:r>
      <w:r>
        <w:rPr>
          <w:rFonts w:ascii="Times New Roman" w:hAnsi="Times New Roman"/>
          <w:b w:val="false"/>
          <w:i w:val="false"/>
          <w:color w:val="000000"/>
          <w:sz w:val="20"/>
        </w:rPr>
        <w:t>a brief statement as to the nature and scope of the examination or investigation upon which the statement or opinion contained in such certificate or opinion is based;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(c)</w:t>
      </w:r>
      <w:r>
        <w:rPr>
          <w:rFonts w:ascii="Times New Roman" w:hAnsi="Times New Roman"/>
          <w:b w:val="false"/>
          <w:i w:val="false"/>
          <w:color w:val="000000"/>
          <w:sz w:val="20"/>
        </w:rPr>
        <w:t> </w:t>
      </w:r>
      <w:r>
        <w:rPr>
          <w:rFonts w:ascii="Times New Roman" w:hAnsi="Times New Roman"/>
          <w:b w:val="false"/>
          <w:i w:val="false"/>
          <w:color w:val="000000"/>
          <w:sz w:val="20"/>
        </w:rPr>
        <w:t>a statement that, in the opinion of each such person, he has made such examination or investigation as is necessary to enable him to express an informed opinion as to whether or not such covenant or condition has been complied with; 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(d)</w:t>
      </w:r>
      <w:r>
        <w:rPr>
          <w:rFonts w:ascii="Times New Roman" w:hAnsi="Times New Roman"/>
          <w:b w:val="false"/>
          <w:i w:val="false"/>
          <w:color w:val="000000"/>
          <w:sz w:val="20"/>
        </w:rPr>
        <w:t> </w:t>
      </w:r>
      <w:r>
        <w:rPr>
          <w:rFonts w:ascii="Times New Roman" w:hAnsi="Times New Roman"/>
          <w:b w:val="false"/>
          <w:i w:val="false"/>
          <w:color w:val="000000"/>
          <w:sz w:val="20"/>
        </w:rPr>
        <w:t>a statement as to whether or not, in the opinion of each such person, such condition or covenant has been complied with;</w:t>
      </w:r>
      <w:r>
        <w:rPr>
          <w:rFonts w:ascii="Times New Roman" w:hAnsi="Times New Roman"/>
          <w:b w:val="false"/>
          <w:i/>
          <w:color w:val="000000"/>
          <w:sz w:val="20"/>
        </w:rPr>
        <w:t> provided, however</w:t>
      </w:r>
      <w:r>
        <w:rPr>
          <w:rFonts w:ascii="Times New Roman" w:hAnsi="Times New Roman"/>
          <w:b w:val="false"/>
          <w:i w:val="false"/>
          <w:color w:val="000000"/>
          <w:sz w:val="20"/>
        </w:rPr>
        <w:t>, that, with respect to matters of fact, an Opinion of Counsel may rely on an Officers’ Certificate or certificates of public officials.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10.05</w:t>
      </w:r>
      <w:r>
        <w:rPr>
          <w:rFonts w:ascii="Times New Roman" w:hAnsi="Times New Roman"/>
          <w:b w:val="false"/>
          <w:i w:val="false"/>
          <w:color w:val="000000"/>
          <w:sz w:val="20"/>
        </w:rPr>
        <w:t> </w:t>
      </w:r>
      <w:r>
        <w:rPr>
          <w:rFonts w:ascii="Times New Roman" w:hAnsi="Times New Roman"/>
          <w:b w:val="false"/>
          <w:i/>
          <w:color w:val="000000"/>
          <w:sz w:val="20"/>
        </w:rPr>
        <w:t>Evidence of Ownership</w:t>
      </w:r>
      <w:r>
        <w:rPr>
          <w:rFonts w:ascii="Times New Roman" w:hAnsi="Times New Roman"/>
          <w:b w:val="false"/>
          <w:i w:val="false"/>
          <w:color w:val="000000"/>
          <w:sz w:val="20"/>
        </w:rPr>
        <w:t>. The Company, the Trustee and any agent of the Company or the Trustee may deem and treat the person in whose name any Security shall be registered upon the Security Register for such series as the absolute owner of such Security (whether or not such Security shall be overdue and notwithstanding any notation of ownership or other writing thereon) for the purpose of receiving payment of or on account of the Principal of and, subject to the provisions of this Indenture, interest on such Security and for all other purposes; and neither the Company nor the Trustee nor any agent of the Company or the Trustee shall be affected by any notice to the contrary.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10.06</w:t>
      </w:r>
      <w:r>
        <w:rPr>
          <w:rFonts w:ascii="Times New Roman" w:hAnsi="Times New Roman"/>
          <w:b w:val="false"/>
          <w:i w:val="false"/>
          <w:color w:val="000000"/>
          <w:sz w:val="20"/>
        </w:rPr>
        <w:t> </w:t>
      </w:r>
      <w:r>
        <w:rPr>
          <w:rFonts w:ascii="Times New Roman" w:hAnsi="Times New Roman"/>
          <w:b w:val="false"/>
          <w:i/>
          <w:color w:val="000000"/>
          <w:sz w:val="20"/>
        </w:rPr>
        <w:t>Rules by Trustee, Paying Agent or Registrar</w:t>
      </w:r>
      <w:r>
        <w:rPr>
          <w:rFonts w:ascii="Times New Roman" w:hAnsi="Times New Roman"/>
          <w:b w:val="false"/>
          <w:i w:val="false"/>
          <w:color w:val="000000"/>
          <w:sz w:val="20"/>
        </w:rPr>
        <w:t>. The Trustee may make reasonable rules for action by or at a meeting of Holders. The Paying Agent or Registrar may make reasonable rules for its functions.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10.07</w:t>
      </w:r>
      <w:r>
        <w:rPr>
          <w:rFonts w:ascii="Times New Roman" w:hAnsi="Times New Roman"/>
          <w:b w:val="false"/>
          <w:i w:val="false"/>
          <w:color w:val="000000"/>
          <w:sz w:val="20"/>
        </w:rPr>
        <w:t> </w:t>
      </w:r>
      <w:r>
        <w:rPr>
          <w:rFonts w:ascii="Times New Roman" w:hAnsi="Times New Roman"/>
          <w:b w:val="false"/>
          <w:i/>
          <w:color w:val="000000"/>
          <w:sz w:val="20"/>
        </w:rPr>
        <w:t>Payment Date Other Than a Business Day</w:t>
      </w:r>
      <w:r>
        <w:rPr>
          <w:rFonts w:ascii="Times New Roman" w:hAnsi="Times New Roman"/>
          <w:b w:val="false"/>
          <w:i w:val="false"/>
          <w:color w:val="000000"/>
          <w:sz w:val="20"/>
        </w:rPr>
        <w:t>. Except as otherwise provided with respect to a series of Securities, if any date for payment of Principal or interest on any Security shall not be a Business Day at any place of payment, then payment of Principal of or interest on such Security, as the case may be, need not be made on such date, but may be made on the next succeeding Business Day at any place of payment with the same force and effect as if made on such date and no interest shall accrue in respect of such payment for the period from and after such date.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10.08</w:t>
      </w:r>
      <w:r>
        <w:rPr>
          <w:rFonts w:ascii="Times New Roman" w:hAnsi="Times New Roman"/>
          <w:b w:val="false"/>
          <w:i w:val="false"/>
          <w:color w:val="000000"/>
          <w:sz w:val="20"/>
        </w:rPr>
        <w:t> </w:t>
      </w:r>
      <w:r>
        <w:rPr>
          <w:rFonts w:ascii="Times New Roman" w:hAnsi="Times New Roman"/>
          <w:b w:val="false"/>
          <w:i/>
          <w:color w:val="000000"/>
          <w:sz w:val="20"/>
        </w:rPr>
        <w:t>Governing Law</w:t>
      </w:r>
      <w:r>
        <w:rPr>
          <w:rFonts w:ascii="Times New Roman" w:hAnsi="Times New Roman"/>
          <w:b w:val="false"/>
          <w:i w:val="false"/>
          <w:color w:val="000000"/>
          <w:sz w:val="20"/>
        </w:rPr>
        <w:t>. The laws of the State of New York shall govern this Indenture and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10.09</w:t>
      </w:r>
      <w:r>
        <w:rPr>
          <w:rFonts w:ascii="Times New Roman" w:hAnsi="Times New Roman"/>
          <w:b w:val="false"/>
          <w:i w:val="false"/>
          <w:color w:val="000000"/>
          <w:sz w:val="20"/>
        </w:rPr>
        <w:t> </w:t>
      </w:r>
      <w:r>
        <w:rPr>
          <w:rFonts w:ascii="Times New Roman" w:hAnsi="Times New Roman"/>
          <w:b w:val="false"/>
          <w:i/>
          <w:color w:val="000000"/>
          <w:sz w:val="20"/>
        </w:rPr>
        <w:t>No Adverse Interpretation of Other Agreements</w:t>
      </w:r>
      <w:r>
        <w:rPr>
          <w:rFonts w:ascii="Times New Roman" w:hAnsi="Times New Roman"/>
          <w:b w:val="false"/>
          <w:i w:val="false"/>
          <w:color w:val="000000"/>
          <w:sz w:val="20"/>
        </w:rPr>
        <w:t>. This Indenture may not be used to interpret another indenture or loan or debt agreement of the Company or any Subsidiary of the Company. Any such indenture or agreement may not be used to interpret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10.10</w:t>
      </w:r>
      <w:r>
        <w:rPr>
          <w:rFonts w:ascii="Times New Roman" w:hAnsi="Times New Roman"/>
          <w:b w:val="false"/>
          <w:i w:val="false"/>
          <w:color w:val="000000"/>
          <w:sz w:val="20"/>
        </w:rPr>
        <w:t> </w:t>
      </w:r>
      <w:r>
        <w:rPr>
          <w:rFonts w:ascii="Times New Roman" w:hAnsi="Times New Roman"/>
          <w:b w:val="false"/>
          <w:i/>
          <w:color w:val="000000"/>
          <w:sz w:val="20"/>
        </w:rPr>
        <w:t>Successors</w:t>
      </w:r>
      <w:r>
        <w:rPr>
          <w:rFonts w:ascii="Times New Roman" w:hAnsi="Times New Roman"/>
          <w:b w:val="false"/>
          <w:i w:val="false"/>
          <w:color w:val="000000"/>
          <w:sz w:val="20"/>
        </w:rPr>
        <w:t>. All agreements of the Company in this Indenture and the Securities shall bind its successors. All agreements of the Trustee in this Indenture shall bind its successors.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10.11 </w:t>
      </w:r>
      <w:r>
        <w:rPr>
          <w:rFonts w:ascii="Times New Roman" w:hAnsi="Times New Roman"/>
          <w:b w:val="false"/>
          <w:i/>
          <w:color w:val="000000"/>
          <w:sz w:val="20"/>
        </w:rPr>
        <w:t>Counterparts; Electronic Signatures</w:t>
      </w:r>
      <w:r>
        <w:rPr>
          <w:rFonts w:ascii="Times New Roman" w:hAnsi="Times New Roman"/>
          <w:b w:val="false"/>
          <w:i w:val="false"/>
          <w:color w:val="000000"/>
          <w:sz w:val="20"/>
        </w:rPr>
        <w:t>. This Indenture constitutes the entire agreement of the parties and supersedes all prior written or oral and all contemporaneous oral agreements, understandings and negotiations with respect to the subject matter hereof. This Indenture may be executed in two or more counterparts, each one of which shall be an original, with the same effect as if the signatures thereto and hereto were upon the same instrument. Delivery of an executed counterpart of a signature page of this Indenture by electronic transmission (e.g., a “pdf” or “tif”) will be effective as delivery of a manually executed counterpart hereof. The use of electronic signatures and electronic records complying with shall be of the same legal effect, validity and enforceability as a manually executed signature or use of a paper-based record-keeping system to the fullest extent permitted by applicable law, including the Federal Electronic Signatures in Global and National Commerce Act, the New York Electronic Signature and Records Act and any other applicable law. Each of the parties represents and warrants to the other parties that it has the corporate capacity and authority to execute this Indenture through electronic means and there are no restrictions for doing so in that party’s constitutive documents.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37</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10.12</w:t>
      </w:r>
      <w:r>
        <w:rPr>
          <w:rFonts w:ascii="Times New Roman" w:hAnsi="Times New Roman"/>
          <w:b w:val="false"/>
          <w:i w:val="false"/>
          <w:color w:val="000000"/>
          <w:sz w:val="20"/>
        </w:rPr>
        <w:t> </w:t>
      </w:r>
      <w:r>
        <w:rPr>
          <w:rFonts w:ascii="Times New Roman" w:hAnsi="Times New Roman"/>
          <w:b w:val="false"/>
          <w:i/>
          <w:color w:val="000000"/>
          <w:sz w:val="20"/>
        </w:rPr>
        <w:t>Separability</w:t>
      </w:r>
      <w:r>
        <w:rPr>
          <w:rFonts w:ascii="Times New Roman" w:hAnsi="Times New Roman"/>
          <w:b w:val="false"/>
          <w:i w:val="false"/>
          <w:color w:val="000000"/>
          <w:sz w:val="20"/>
        </w:rPr>
        <w:t>. In case any provision in this Indenture or in the Securities shall be invalid, illegal or unenforceable, the validity, legality and enforceability of the remaining provisions shall not in any way be affected or impaired thereby.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10.13</w:t>
      </w:r>
      <w:r>
        <w:rPr>
          <w:rFonts w:ascii="Times New Roman" w:hAnsi="Times New Roman"/>
          <w:b w:val="false"/>
          <w:i w:val="false"/>
          <w:color w:val="000000"/>
          <w:sz w:val="20"/>
        </w:rPr>
        <w:t> </w:t>
      </w:r>
      <w:r>
        <w:rPr>
          <w:rFonts w:ascii="Times New Roman" w:hAnsi="Times New Roman"/>
          <w:b w:val="false"/>
          <w:i/>
          <w:color w:val="000000"/>
          <w:sz w:val="20"/>
        </w:rPr>
        <w:t>Table of Contents, Headings, Etc.</w:t>
      </w:r>
      <w:r>
        <w:rPr>
          <w:rFonts w:ascii="Times New Roman" w:hAnsi="Times New Roman"/>
          <w:b w:val="false"/>
          <w:i w:val="false"/>
          <w:color w:val="000000"/>
          <w:sz w:val="20"/>
        </w:rPr>
        <w:t> The Table of Contents and headings of the Articles and Sections of this Indenture have been inserted for convenience of reference only, are not to be considered a part hereof and shall in no way modify or restrict any of the terms and provisions 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10.14</w:t>
      </w:r>
      <w:r>
        <w:rPr>
          <w:rFonts w:ascii="Times New Roman" w:hAnsi="Times New Roman"/>
          <w:b w:val="false"/>
          <w:i w:val="false"/>
          <w:color w:val="000000"/>
          <w:sz w:val="20"/>
        </w:rPr>
        <w:t> </w:t>
      </w:r>
      <w:r>
        <w:rPr>
          <w:rFonts w:ascii="Times New Roman" w:hAnsi="Times New Roman"/>
          <w:b w:val="false"/>
          <w:i/>
          <w:color w:val="000000"/>
          <w:sz w:val="20"/>
        </w:rPr>
        <w:t>Incorporators, Stockholders, Officers and Directors of Company Exempt from Individual Liability</w:t>
      </w:r>
      <w:r>
        <w:rPr>
          <w:rFonts w:ascii="Times New Roman" w:hAnsi="Times New Roman"/>
          <w:b w:val="false"/>
          <w:i w:val="false"/>
          <w:color w:val="000000"/>
          <w:sz w:val="20"/>
        </w:rPr>
        <w:t>. No recourse under or upon any obligation, covenant or agreement contained in this Indenture or any indenture supplemental hereto, or in any Security, or because of any indebtedness evidenced thereby, shall be had against any incorporator, as such or against any past, present or future stockholder, officer, director or employee, as such, of the Company or of any successor, either directly or through the Company or any successor, under any rule of law, statute or constitutional provision or by the enforcement of any assessment or by any legal or equitable proceeding or otherwise, all such liability being expressly waived and released by the acceptance of the Securities by the holders thereof and as part of the consideration for the issue of the Securities.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10.15</w:t>
      </w:r>
      <w:r>
        <w:rPr>
          <w:rFonts w:ascii="Times New Roman" w:hAnsi="Times New Roman"/>
          <w:b w:val="false"/>
          <w:i w:val="false"/>
          <w:color w:val="000000"/>
          <w:sz w:val="20"/>
        </w:rPr>
        <w:t> </w:t>
      </w:r>
      <w:r>
        <w:rPr>
          <w:rFonts w:ascii="Times New Roman" w:hAnsi="Times New Roman"/>
          <w:b w:val="false"/>
          <w:i/>
          <w:color w:val="000000"/>
          <w:sz w:val="20"/>
        </w:rPr>
        <w:t>Judgment Currency</w:t>
      </w:r>
      <w:r>
        <w:rPr>
          <w:rFonts w:ascii="Times New Roman" w:hAnsi="Times New Roman"/>
          <w:b w:val="false"/>
          <w:i w:val="false"/>
          <w:color w:val="000000"/>
          <w:sz w:val="20"/>
        </w:rPr>
        <w:t>. The Company agrees, to the fullest extent that it may effectively do so under applicable law, that (a) if for the purpose of obtaining judgment in any court it is necessary to convert the sum due in respect of the Principal of or interest on the Securities of any series (the “</w:t>
      </w:r>
      <w:r>
        <w:rPr>
          <w:rFonts w:ascii="Times New Roman" w:hAnsi="Times New Roman"/>
          <w:b/>
          <w:i w:val="false"/>
          <w:color w:val="000000"/>
          <w:sz w:val="20"/>
        </w:rPr>
        <w:t>Required Currency</w:t>
      </w:r>
      <w:r>
        <w:rPr>
          <w:rFonts w:ascii="Times New Roman" w:hAnsi="Times New Roman"/>
          <w:b w:val="false"/>
          <w:i w:val="false"/>
          <w:color w:val="000000"/>
          <w:sz w:val="20"/>
        </w:rPr>
        <w:t>”) into a currency in which a judgment will be rendered (the “</w:t>
      </w:r>
      <w:r>
        <w:rPr>
          <w:rFonts w:ascii="Times New Roman" w:hAnsi="Times New Roman"/>
          <w:b/>
          <w:i w:val="false"/>
          <w:color w:val="000000"/>
          <w:sz w:val="20"/>
        </w:rPr>
        <w:t>Judgment Currency</w:t>
      </w:r>
      <w:r>
        <w:rPr>
          <w:rFonts w:ascii="Times New Roman" w:hAnsi="Times New Roman"/>
          <w:b w:val="false"/>
          <w:i w:val="false"/>
          <w:color w:val="000000"/>
          <w:sz w:val="20"/>
        </w:rPr>
        <w:t>”), the rate of exchange used shall be the rate at which in accordance with normal banking procedures the Trustee could purchase in The City of New York the Required Currency with the Judgment Currency on the day on which final unappealable judgment is entered, unless such day is not a Business Day, then, to the extent permitted by applicable law, the rate of exchange used shall be the rate at which in accordance with normal banking procedures the Trustee could purchase in The City of New York the Required Currency with the Judgment Currency on the Business Day preceding the day on which final unappealable judgment is entered and (b) its obligations under this Indenture to make payments in the Required Currency (i) shall not be discharged or satisfied by any tender, or any recovery pursuant to any judgment (whether or not entered in accordance with subsection (a)), in any currency other than the Required Currency, except to the extent that such tender or recovery shall result in the actual receipt, by the payee, of the full amount of the Required Currency expressed to be payable in respect of such payments, (ii) shall be enforceable as an alternative or additional cause of action for the purpose of recovering in the Required Currency the amount, if any, by which such actual receipt shall fall short of the full amount of the Required Currency so expressed to be payable and (iii) shall not be affected by judgment being obtained for any other sum due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10.16</w:t>
      </w:r>
      <w:r>
        <w:rPr>
          <w:rFonts w:ascii="Times New Roman" w:hAnsi="Times New Roman"/>
          <w:b w:val="false"/>
          <w:i w:val="false"/>
          <w:color w:val="000000"/>
          <w:sz w:val="20"/>
        </w:rPr>
        <w:t> </w:t>
      </w:r>
      <w:r>
        <w:rPr>
          <w:rFonts w:ascii="Times New Roman" w:hAnsi="Times New Roman"/>
          <w:b w:val="false"/>
          <w:i/>
          <w:color w:val="000000"/>
          <w:sz w:val="20"/>
        </w:rPr>
        <w:t>Waiver of Jury Trial</w:t>
      </w:r>
      <w:r>
        <w:rPr>
          <w:rFonts w:ascii="Times New Roman" w:hAnsi="Times New Roman"/>
          <w:b w:val="false"/>
          <w:i w:val="false"/>
          <w:color w:val="000000"/>
          <w:sz w:val="20"/>
        </w:rPr>
        <w:t>. EACH OF THE COMPANY AND THE TRUSTEE IRREVOCABLY WAIVES, TO THE FULLEST EXTENT PERMITTED BY APPLICABLE LAW, ANY AND ALL RIGHT TO TRIAL BY JURY IN ANY LEGAL PROCEEDING ARISING OUT OF OR RELATING TO THIS INDENTURE, THE SECURITIES OR THE TRANSACTIONS CONTEMPLATED HEREBY.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10.17</w:t>
      </w:r>
      <w:r>
        <w:rPr>
          <w:rFonts w:ascii="Times New Roman" w:hAnsi="Times New Roman"/>
          <w:b w:val="false"/>
          <w:i w:val="false"/>
          <w:color w:val="000000"/>
          <w:sz w:val="20"/>
        </w:rPr>
        <w:t> </w:t>
      </w:r>
      <w:r>
        <w:rPr>
          <w:rFonts w:ascii="Times New Roman" w:hAnsi="Times New Roman"/>
          <w:b w:val="false"/>
          <w:i/>
          <w:color w:val="000000"/>
          <w:sz w:val="20"/>
        </w:rPr>
        <w:t>Force Majeure</w:t>
      </w:r>
      <w:r>
        <w:rPr>
          <w:rFonts w:ascii="Times New Roman" w:hAnsi="Times New Roman"/>
          <w:b w:val="false"/>
          <w:i w:val="false"/>
          <w:color w:val="000000"/>
          <w:sz w:val="20"/>
        </w:rPr>
        <w:t>. In no event shall the Trustee be responsible or liable for any failure or delay in the performance of its obligations hereunder arising out of or caused by, directly or indirectly, forces beyond its control, including strikes, work stoppages, accidents, acts of war or terrorism, civil or military disturbances, nuclear or natural catastrophes or acts of God, and interruptions,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38</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ARTICLE 11</w:t>
      </w:r>
      <w:r>
        <w:br/>
      </w:r>
      <w:r>
        <w:rPr>
          <w:rFonts w:ascii="Times New Roman" w:hAnsi="Times New Roman"/>
          <w:b w:val="false"/>
          <w:i w:val="false"/>
          <w:color w:val="000000"/>
          <w:sz w:val="20"/>
        </w:rPr>
        <w:t xml:space="preserve"> Subordination</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11.01</w:t>
      </w:r>
      <w:r>
        <w:rPr>
          <w:rFonts w:ascii="Times New Roman" w:hAnsi="Times New Roman"/>
          <w:b w:val="false"/>
          <w:i w:val="false"/>
          <w:color w:val="000000"/>
          <w:sz w:val="20"/>
        </w:rPr>
        <w:t> </w:t>
      </w:r>
      <w:r>
        <w:rPr>
          <w:rFonts w:ascii="Times New Roman" w:hAnsi="Times New Roman"/>
          <w:b w:val="false"/>
          <w:i/>
          <w:color w:val="000000"/>
          <w:sz w:val="20"/>
        </w:rPr>
        <w:t>Agreement to Subordinate</w:t>
      </w:r>
      <w:r>
        <w:rPr>
          <w:rFonts w:ascii="Times New Roman" w:hAnsi="Times New Roman"/>
          <w:b w:val="false"/>
          <w:i w:val="false"/>
          <w:color w:val="000000"/>
          <w:sz w:val="20"/>
        </w:rPr>
        <w:t>. The Company covenants and agrees, and each Holder of a Security issued hereunder, by his acceptance thereof, likewise covenants and agrees, that all Securities shall be issued subject to the provisions of this Article; and each Person holding any Security, whether upon original issue or upon transfer, assignment or exchange thereof, accepts and agrees that the principal of and interest on all Securities issued hereunder shall, to the extent and in the manner herein set forth, be subordinated and subject in right of payment to the prior payment in full of all Senior Indebtedness, and that the subordination is for the benefit of the holders of the Senior Indebtedness.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11.02</w:t>
      </w:r>
      <w:r>
        <w:rPr>
          <w:rFonts w:ascii="Times New Roman" w:hAnsi="Times New Roman"/>
          <w:b w:val="false"/>
          <w:i w:val="false"/>
          <w:color w:val="000000"/>
          <w:sz w:val="20"/>
        </w:rPr>
        <w:t> </w:t>
      </w:r>
      <w:r>
        <w:rPr>
          <w:rFonts w:ascii="Times New Roman" w:hAnsi="Times New Roman"/>
          <w:b w:val="false"/>
          <w:i/>
          <w:color w:val="000000"/>
          <w:sz w:val="20"/>
        </w:rPr>
        <w:t>Payments to Securityholders</w:t>
      </w:r>
      <w:r>
        <w:rPr>
          <w:rFonts w:ascii="Times New Roman" w:hAnsi="Times New Roman"/>
          <w:b w:val="false"/>
          <w:i w:val="false"/>
          <w:color w:val="000000"/>
          <w:sz w:val="20"/>
        </w:rPr>
        <w:t>. As to each series of Securities, if any, issued hereunder, in the event (a) of any insolvency or bankruptcy proceedings, or any receivership, dissolution, winding-up, total or partial liquidation, reorganization or other similar proceedings in respect of the Company or a substantial part of its property, whether voluntary or involuntary, or (b) that (i) a default shall have occurred with respect to the payment of principal of or interest on or other monetary amounts due and payable with respect to any Senior Indebtedness, or (ii) there shall have occurred an event of default (other than a default in the payment of principal or interest or other monetary amounts due and payable) in respect of any Senior Indebtedness, as defined in such Senior Indebtedness or in the instrument under which the same is outstanding, permitting the holder or holders thereof to accelerate the maturity thereof, and such default or event of default shall not be cured or was continued beyond the period of grace, if any, in respect thereof, and such default or event of default shall not have been waived or shall not have ceased to exist, or (c) separately with respect to each series of Securities, that the principal of and accrued interest on such Securities shall have been declared due and payable pursuant to Section 6.01 and such declaration shall not have been rescinded and annulled as provided in Section 6.01, then the holders of all Senior Indebtedness shall first be entitled to receive payment in full of all amounts due or to become due thereon, or provision shall be made, in accordance with the terms of such Senior Indebtedness, for such payment in money or money’s worth, before the Holders of such series of Securities are entitled to receive a payment on account of the principal of or interest on the indebtedness evidenced by such series of Securities, including any payments made pursuant to Article 3, or any cash payments to purchase such series of Securities at the option of the Holders thereof.</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any such insolvency or bankruptcy proceeding, receivership, dissolution, winding-up, total or partial liquidation, reorganization, or other similar proceeding referred to in clause (a) of the immediately preceding paragraph, any payment or distribution of assets of the Company of any kind or character, whether in cash, property or securities, to which the Holders of the Securities or the Trustee under this Indenture would be entitled, except for the provisions hereof, shall be paid by the Company or by any receiver, trustee in bankruptcy, liquidating trustee, agent or other Person making such payment or distribution or, to the extent required by the next succeeding paragraph, by the Holders of the Securities or the Trustee, if received by them or it, directly to the holders of Senior Indebtedness (pro rata to such holders on the basis of the respective amounts of Senior Indebtedness held by such holders) or their respective representatives, or to the trustee or trustees under any indenture pursuant to which any instruments evidencing any of such Senior Indebtedness may have been issued, as their respective interests may appear, to the extent necessary to pay all Senior Indebtedness in full after giving effect to any concurrent payment or distribution to or for the holders of Senior Indebtedness, before any payment or distribution is made to the Holders of the indebtedness evidenced by the Securities (including any cash payments to repurchase such Securities at the option of the Holders thereof) or to the Trustee under this Indenture.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39</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the event that, notwithstanding the foregoing, any payment or distribution of assets of the Company of any kind or character, whether in cash, property or securities, prohibited by the foregoing provisions of this Section, shall be received by the Trustee under this Indenture or the Holders of the Securities before all Senior Indebtedness is paid in full or provision is made for such payment in accordance with its terms, and if such fact shall, at or prior to the time of such payment or distribution, have been known to the Trustee, then such payment or distribution shall be held in trust for the benefit of and shall be paid over or delivered to the holders of such Senior Indebtedness or their respective representatives, or to the trustee or trustees under any indenture pursuant to which any instruments evidencing any of such Senior Indebtedness may have been issued, as their respective interests may appear, for application to the payment of all Senior Indebtedness remaining unpaid until all such Senior Indebtedness shall have been paid in full in accordance with its terms, after giving effect to any concurrent payment or distribution to or for the holders of such Senior Indebtedness.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For purposes of this Article only, the words, “cash, property or securities” shall not be deemed to include shares of stock of the Company as reorganized or readjusted, or securities of the Company or any other corporation provided for by a plan of arrangement, reorganization or readjustment, the payment of which is subordinated (at least to the extent provided in this Article with respect to the Securities) to the payment of all Senior Indebtedness which may at the time be outstanding; provided that (i) the Senior Indebtedness is assumed by the new corporation, if any, resulting from any such arrangement, reorganization or readjustment, and (ii) the rights of the holders of the Senior Indebtedness are not, without the consent of such holders, altered by such arrangement, reorganization or readjustment. The consolidation of the Company with, or the merger of the Company with or into, another corporation or the liquidation or dissolution of the Company following the conveyance or transfer of all or substantially all of its assets to another corporation upon the terms and conditions provided in Article 5 shall not be deemed a dissolution, winding-up, liquidation or reorganization for the purposes of this Section if such other corporation shall, as a part of such consolidation, merger, conveyance or transfer, comply with the conditions stated in Article 5. Nothing in this Section shall apply to claims of, or payments to, the Trustee under or pursuant to Article 7, except as expressly provided therein. This Section shall be subject to the further provisions of Section 11.05</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11.03</w:t>
      </w:r>
      <w:r>
        <w:rPr>
          <w:rFonts w:ascii="Times New Roman" w:hAnsi="Times New Roman"/>
          <w:b w:val="false"/>
          <w:i w:val="false"/>
          <w:color w:val="000000"/>
          <w:sz w:val="20"/>
        </w:rPr>
        <w:t> </w:t>
      </w:r>
      <w:r>
        <w:rPr>
          <w:rFonts w:ascii="Times New Roman" w:hAnsi="Times New Roman"/>
          <w:b w:val="false"/>
          <w:i/>
          <w:color w:val="000000"/>
          <w:sz w:val="20"/>
        </w:rPr>
        <w:t>Subrogation</w:t>
      </w:r>
      <w:r>
        <w:rPr>
          <w:rFonts w:ascii="Times New Roman" w:hAnsi="Times New Roman"/>
          <w:b w:val="false"/>
          <w:i w:val="false"/>
          <w:color w:val="000000"/>
          <w:sz w:val="20"/>
        </w:rPr>
        <w:t>. Subject to the payment in full of all Senior Indebtedness, the Holders of the Securities subject to the provisions of Section 11.02 shall be subrogated (equally and ratably with the holders of all obligations of the Company which by their express terms are subordinated to Senior Indebtedness of the Company to the same extent as the Securities are subordinated and which are entitled to like rights of subrogation) to the rights of the holders of Senior Indebtedness to receive payments or distributions of cash, property or securities of the Company applicable to the Senior Indebtedness until the principal of and interest on such Securities shall be paid in full; and, for the purpose of such subrogation, no payments or distributions to the holders of the Senior Indebtedness of any cash, property or securities to which the Holders of such Securities or the Trustee on their behalf would be entitled except for the provisions of this Article, and no payment over pursuant to the provisions of this Article to the holders of Senior Indebtedness by Holders of such Securities or the Trustee on their behalf shall, as between the Company, its creditors other than holders of Senior Indebtedness and the Holders of such Securities, be deemed to be a payment by the Company to or on account of the Senior Indebtedness; and no payments or distributions of cash, property or securities to or for the benefit of the Holders of the Securities pursuant to the subrogation provision of this Article, which would otherwise have been paid to the holders of Senior Indebtedness, shall be deemed to be a payment by the Company to or for the account of such Securities. The provisions of this Article are intended solely for the purpose of defining the relative rights of the Holders of the Securities, on the one hand, and the holders of the Senior Indebtedness, on the other hand.</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Nothing contained in this Article or elsewhere in this Indenture or in the Securities is intended to or shall impair, as between the issuer, its creditors other than the holders of Senior Indebtedness, and the Holders of the Securities, the obligation of the Company, which is absolute and unconditional, to pay to the Holders of the Securities the principal of and interest on the Securities as and when the same shall become due and payable in accordance with their terms, or is intended to or shall affect the relative rights against the Company of the Holders of the Securities and creditors of the Company other than the holders of Senior Indebtedness, nor shall anything herein or therein prevent the Holder of any Security or the Trustee on his behalf from exercising all remedies otherwise permitted by applicable law upon default under this Indenture, subject to the rights, if any, under this Article of the holders of Senior Indebtedness in respect of cash, property or securities of the Company received upon the exercise of any such remedy.</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40</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Upon any payment or distribution of assets of the Company referred to in this Article, the Trustee, subject to the provisions of Section 7.01 and Section 7.02, and the Holders of the Securities shall be entitled to rely upon any order or decree made by any court of competent jurisdiction in which such insolvency, bankruptcy, dissolution, winding-up, liquidation, arrangement or reorganization proceedings are pending, or a certificate of the receiver, trustee in bankruptcy, liquidating trustee, agent or other Person making such payment or distribution, delivered to the Trustee or to the Holders of the Securities, for the purpose of ascertaining the Persons entitled to participate in such distribution, the holders of the Senior Indebtedness and other indebtedness of the Company, the amount thereof or payable thereon, the amount or amounts paid or distributed thereon and all other facts pertinent thereto or to this Article.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11.04</w:t>
      </w:r>
      <w:r>
        <w:rPr>
          <w:rFonts w:ascii="Times New Roman" w:hAnsi="Times New Roman"/>
          <w:b w:val="false"/>
          <w:i w:val="false"/>
          <w:color w:val="000000"/>
          <w:sz w:val="20"/>
        </w:rPr>
        <w:t> </w:t>
      </w:r>
      <w:r>
        <w:rPr>
          <w:rFonts w:ascii="Times New Roman" w:hAnsi="Times New Roman"/>
          <w:b w:val="false"/>
          <w:i/>
          <w:color w:val="000000"/>
          <w:sz w:val="20"/>
        </w:rPr>
        <w:t>Authorization by Securityholders</w:t>
      </w:r>
      <w:r>
        <w:rPr>
          <w:rFonts w:ascii="Times New Roman" w:hAnsi="Times New Roman"/>
          <w:b w:val="false"/>
          <w:i w:val="false"/>
          <w:color w:val="000000"/>
          <w:sz w:val="20"/>
        </w:rPr>
        <w:t>. Each Holder of a Security by his acceptance thereof authorizes the Trustee on his behalf to take such action as may be necessary or appropriate to effectuate the subordination provided in this Article and appoints the Trustee his attorney-in-fact for any and all such purposes.</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11.05</w:t>
      </w:r>
      <w:r>
        <w:rPr>
          <w:rFonts w:ascii="Times New Roman" w:hAnsi="Times New Roman"/>
          <w:b w:val="false"/>
          <w:i w:val="false"/>
          <w:color w:val="000000"/>
          <w:sz w:val="20"/>
        </w:rPr>
        <w:t> </w:t>
      </w:r>
      <w:r>
        <w:rPr>
          <w:rFonts w:ascii="Times New Roman" w:hAnsi="Times New Roman"/>
          <w:b w:val="false"/>
          <w:i/>
          <w:color w:val="000000"/>
          <w:sz w:val="20"/>
        </w:rPr>
        <w:t>Notice to Trustee</w:t>
      </w:r>
      <w:r>
        <w:rPr>
          <w:rFonts w:ascii="Times New Roman" w:hAnsi="Times New Roman"/>
          <w:b w:val="false"/>
          <w:i w:val="false"/>
          <w:color w:val="000000"/>
          <w:sz w:val="20"/>
        </w:rPr>
        <w:t>. The Company shall give prompt written notice to the Trustee and to any paying agent of any fact known to the Company which would prohibit the making of any payment of monies to or by the Trustee or any paying agent in respect of the Securities pursuant to the provisions of this Article. Regardless of anything to the contrary contained in this Article or elsewhere in this Indenture, the Trustee shall not be charged with knowledge of the existence of any Senior Indebtedness or of any default or event of default with respect to any Senior Indebtedness or of any other facts which would prohibit the making of any payment of monies to or by the Trustee in respect of the Securities, unless and until the Trustee shall have received notice in writing (which may be by ) at its Corporate Trust Office to that effect signed by an officer of the Company, or by a holder or agent of a holder of Senior Indebtedness who shall have been certified by the Company or otherwise established to the reasonable satisfaction of the Trustee to be such holder or agent, or by the trustee under any indenture pursuant to which Senior Indebtedness shall be outstanding, and, prior to the receipt of any such written notice, the Trustee shall, subject to Section 7.01 and Section 7.02, be entitled to assume that no such facts exist; provided that if on a date at least two Business Days prior to the date upon which by the terms hereof any such monies shall become payable for any purpose (including, without limitation, the payment of the principal of or interest on any Security) the Trustee shall not have received with respect to such monies the notice provided for in this Section, then, regardless of anything herein to the contrary, the Trustee shall have full power and authority to receive such monies and to apply the same to the purpose for which they were received, and shall not be affected by any notice to the contrary which may be received by it on or after such prior date.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Regardless of anything to the contrary herein (but subject, in the case of clause (a) of this paragraph, to the second paragraph of Section 11.02), nothing shall prevent (a) any payment by the Company or the Trustee to the Securityholders of amounts in connection with a redemption of Securities if (i) notice of such redemption has been given pursuant to Article 3 prior to the receipt by the Trustee of written notice as aforesaid, and (ii) such notice of redemption is given not earlier than 60 days before any redemption date, or (b) any payment by the Trustee to the Securityholders of amounts deposited with it pursuant to Section 8.01, provided, that, in the case of Section 8.05, the applicable Securities are deemed to have been paid and discharged, and in the case of Section 8.01, the Trustee shall not have received, by at least two Business Days prior to the date of execution of instruments acknowledging the satisfaction of and discharge of this Indenture with respect to the applicable Securities, the notice provided in the preceding paragraph.</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Subject to Section 7.01 and Section 7.02, the Trustee shall be entitled to rely on the delivery to it of a written notice by a Person representing himself to be a holder of Senior Indebtedness (or a trustee on behalf of such holder) to establish that such notice has been given by a holder of Senior Indebtedness or a trustee on behalf of any such holder. In the event that the Trustee determines in good faith that further evidence is required with respect to the right of any Person as a holder of Senior Indebtedness to participate in any payment or distribution pursuant to this Article, the Trustee may request such Person to furnish evidence to the reasonable satisfaction of the Trustee as to the amount of Senior Indebtedness held by such Person, the extent to which such Person is entitled to participate in such payment or distribution and any other facts pertinent to the rights of such Person under this Article, and if such evidence is not furnished the Trustee may defer any payment to such Person pending judicial determination as to the right of such Person to receive such payment.</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41</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11.06</w:t>
      </w:r>
      <w:r>
        <w:rPr>
          <w:rFonts w:ascii="Times New Roman" w:hAnsi="Times New Roman"/>
          <w:b w:val="false"/>
          <w:i w:val="false"/>
          <w:color w:val="000000"/>
          <w:sz w:val="20"/>
        </w:rPr>
        <w:t> </w:t>
      </w:r>
      <w:r>
        <w:rPr>
          <w:rFonts w:ascii="Times New Roman" w:hAnsi="Times New Roman"/>
          <w:b w:val="false"/>
          <w:i/>
          <w:color w:val="000000"/>
          <w:sz w:val="20"/>
        </w:rPr>
        <w:t>Trustee’s Relation to Senior Indebtedness</w:t>
      </w:r>
      <w:r>
        <w:rPr>
          <w:rFonts w:ascii="Times New Roman" w:hAnsi="Times New Roman"/>
          <w:b w:val="false"/>
          <w:i w:val="false"/>
          <w:color w:val="000000"/>
          <w:sz w:val="20"/>
        </w:rPr>
        <w:t>. The Trustee and any agent of the Company or the Trustee shall be entitled to all the rights set forth in this Article with respect to any Senior Indebtedness which may at any time be held by it in its individual or any other capacity to the same extent as any other holder of Senior Indebtedness and nothing in the second paragraph of Section 2.02 or elsewhere in this Indenture shall deprive the Trustee or any such agent of any of its rights as such holder. Nothing in this Article shall apply to claims of, or payments to, the Trustee under or pursuant to Section 7.07.</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With respect to the holders of Senior Indebtedness, the Trustee undertakes to perform or to observe only such of its covenants and obligations as are specifically set forth in this Article, and no implied covenants or obligations with respect to the holders of Senior Indebtedness shall be read into this Indenture against the Trustee. The Trustee shall not be deemed to owe any fiduciary duty to the holders of Senior Indebtedness and, subject to the provisions of Section 7.01 and Section 7.02, the Trustee shall not be liable to any holder of Senior Indebtedness if it shall in good faith pay over or deliver to Holders of Securities, the Company or any other Person monies or assets to which any holder of Senior Indebtedness shall be entitled by virtue of this Article or otherwise.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Section 11.07</w:t>
      </w:r>
      <w:r>
        <w:rPr>
          <w:rFonts w:ascii="Times New Roman" w:hAnsi="Times New Roman"/>
          <w:b w:val="false"/>
          <w:i w:val="false"/>
          <w:color w:val="000000"/>
          <w:sz w:val="20"/>
        </w:rPr>
        <w:t> </w:t>
      </w:r>
      <w:r>
        <w:rPr>
          <w:rFonts w:ascii="Times New Roman" w:hAnsi="Times New Roman"/>
          <w:b w:val="false"/>
          <w:i/>
          <w:color w:val="000000"/>
          <w:sz w:val="20"/>
        </w:rPr>
        <w:t>No Impairment of Subordination</w:t>
      </w:r>
      <w:r>
        <w:rPr>
          <w:rFonts w:ascii="Times New Roman" w:hAnsi="Times New Roman"/>
          <w:b w:val="false"/>
          <w:i w:val="false"/>
          <w:color w:val="000000"/>
          <w:sz w:val="20"/>
        </w:rPr>
        <w:t>. No right of any present or future holder of any Senior Indebtedness to enforce subordination as herein provided shall at any time in any way be prejudiced or impaired by any act or failure to act on the part of the Company or by any act or failure to act, in good faith, by any such holder, or by any noncompliance by the Company with the terms, provisions and covenants of this Indenture, regardless of any knowledge thereof which any such holder may have or otherwise be charged with.</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 * * *</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42</w:t>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center"/>
      </w:pPr>
      <w:r>
        <w:rPr>
          <w:rFonts w:ascii="Times New Roman" w:hAnsi="Times New Roman"/>
          <w:b/>
          <w:i w:val="false"/>
          <w:color w:val="000000"/>
          <w:sz w:val="20"/>
        </w:rPr>
        <w:t>SIGNATURES</w:t>
      </w:r>
    </w:p>
    <w:p>
      <w:pPr>
        <w:spacing w:before="0" w:after="0"/>
        <w:ind w:left="120"/>
        <w:jc w:val="left"/>
      </w:pPr>
    </w:p>
    <w:p>
      <w:pPr>
        <w:spacing w:before="0" w:after="0"/>
        <w:ind w:left="120"/>
        <w:jc w:val="center"/>
      </w:pPr>
      <w:r>
        <w:rPr>
          <w:rFonts w:ascii="Times New Roman" w:hAnsi="Times New Roman"/>
          <w:b w:val="false"/>
          <w:i w:val="false"/>
          <w:color w:val="000000"/>
          <w:sz w:val="20"/>
        </w:rPr>
        <w:t> </w:t>
      </w:r>
    </w:p>
    <w:p>
      <w:pPr>
        <w:spacing w:before="0" w:after="0"/>
        <w:ind w:left="120"/>
        <w:jc w:val="left"/>
      </w:pPr>
    </w:p>
    <w:p>
      <w:pPr>
        <w:spacing w:before="0" w:after="0"/>
        <w:ind w:left="120"/>
        <w:jc w:val="left"/>
      </w:pPr>
      <w:r>
        <w:rPr>
          <w:rFonts w:ascii="Times New Roman" w:hAnsi="Times New Roman"/>
          <w:b w:val="false"/>
          <w:i w:val="false"/>
          <w:color w:val="000000"/>
          <w:sz w:val="20"/>
        </w:rPr>
        <w:t>IN WITNESS WHEREOF, the parties hereto have caused this Indenture to be duly executed, all as of the date first written above.</w:t>
      </w:r>
    </w:p>
    <w:p>
      <w:pPr>
        <w:spacing w:before="0" w:after="0"/>
        <w:ind w:left="120"/>
        <w:jc w:val="left"/>
      </w:pPr>
    </w:p>
    <w:p>
      <w:pPr>
        <w:spacing w:before="0" w:after="0"/>
        <w:ind w:left="120"/>
        <w:jc w:val="left"/>
      </w:pPr>
      <w:r>
        <w:rPr>
          <w:rFonts w:ascii="Times New Roman" w:hAnsi="Times New Roman"/>
          <w:b w:val="false"/>
          <w:i w:val="false"/>
          <w:color w:val="000000"/>
          <w:sz w:val="20"/>
        </w:rPr>
        <w:t>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2727"/>
        <w:gridCol w:w="409"/>
        <w:gridCol w:w="10498"/>
      </w:tblGrid>
      <w:tr>
        <w:trPr>
          <w:trHeight w:val="210" w:hRule="atLeast"/>
        </w:trPr>
        <w:tc>
          <w:tcPr>
            <w:tcW w:w="27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INFLARX N.V.,</w:t>
            </w:r>
          </w:p>
        </w:tc>
      </w:tr>
      <w:tr>
        <w:trPr>
          <w:trHeight w:val="210" w:hRule="atLeast"/>
        </w:trPr>
        <w:tc>
          <w:tcPr>
            <w:tcW w:w="27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as the Company</w:t>
            </w:r>
          </w:p>
        </w:tc>
      </w:tr>
      <w:tr>
        <w:trPr>
          <w:trHeight w:val="210" w:hRule="atLeast"/>
        </w:trPr>
        <w:tc>
          <w:tcPr>
            <w:tcW w:w="27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40" w:hRule="atLeast"/>
        </w:trPr>
        <w:tc>
          <w:tcPr>
            <w:tcW w:w="272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23" w:type="dxa"/>
              <w:right w:w="15" w:type="dxa"/>
            </w:tcMar>
            <w:vAlign w:val="top"/>
          </w:tcPr>
          <w:p>
            <w:pPr>
              <w:spacing w:before="0" w:after="0"/>
              <w:ind w:left="0"/>
              <w:jc w:val="left"/>
            </w:pPr>
            <w:r>
              <w:rPr>
                <w:rFonts w:ascii="Times New Roman" w:hAnsi="Times New Roman"/>
                <w:b w:val="false"/>
                <w:i w:val="false"/>
                <w:color w:val="000000"/>
                <w:sz w:val="20"/>
              </w:rPr>
              <w:t>By:</w:t>
            </w:r>
          </w:p>
        </w:tc>
        <w:tc>
          <w:tcPr>
            <w:tcW w:w="10498" w:type="dxa"/>
            <w:tcBorders>
              <w:bottom w:val="single" w:color="000000" w:sz="11"/>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25" w:hRule="atLeast"/>
        </w:trPr>
        <w:tc>
          <w:tcPr>
            <w:tcW w:w="272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Name:</w:t>
            </w:r>
          </w:p>
        </w:tc>
      </w:tr>
      <w:tr>
        <w:trPr>
          <w:trHeight w:val="210" w:hRule="atLeast"/>
        </w:trPr>
        <w:tc>
          <w:tcPr>
            <w:tcW w:w="272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Title:</w:t>
            </w:r>
          </w:p>
        </w:tc>
      </w:tr>
      <w:tr>
        <w:trPr>
          <w:trHeight w:val="210" w:hRule="atLeast"/>
        </w:trPr>
        <w:tc>
          <w:tcPr>
            <w:tcW w:w="272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27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w:t>
            </w:r>
          </w:p>
        </w:tc>
      </w:tr>
      <w:tr>
        <w:trPr>
          <w:trHeight w:val="210" w:hRule="atLeast"/>
        </w:trPr>
        <w:tc>
          <w:tcPr>
            <w:tcW w:w="27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as the Trustee</w:t>
            </w:r>
          </w:p>
        </w:tc>
      </w:tr>
      <w:tr>
        <w:trPr>
          <w:trHeight w:val="210" w:hRule="atLeast"/>
        </w:trPr>
        <w:tc>
          <w:tcPr>
            <w:tcW w:w="27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40" w:hRule="atLeast"/>
        </w:trPr>
        <w:tc>
          <w:tcPr>
            <w:tcW w:w="272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23" w:type="dxa"/>
              <w:right w:w="15" w:type="dxa"/>
            </w:tcMar>
            <w:vAlign w:val="top"/>
          </w:tcPr>
          <w:p>
            <w:pPr>
              <w:spacing w:before="0" w:after="0"/>
              <w:ind w:left="0"/>
              <w:jc w:val="left"/>
            </w:pPr>
            <w:r>
              <w:rPr>
                <w:rFonts w:ascii="Times New Roman" w:hAnsi="Times New Roman"/>
                <w:b w:val="false"/>
                <w:i w:val="false"/>
                <w:color w:val="000000"/>
                <w:sz w:val="20"/>
              </w:rPr>
              <w:t>By:</w:t>
            </w:r>
          </w:p>
        </w:tc>
        <w:tc>
          <w:tcPr>
            <w:tcW w:w="10498" w:type="dxa"/>
            <w:tcBorders>
              <w:bottom w:val="single" w:color="000000" w:sz="11"/>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25" w:hRule="atLeast"/>
        </w:trPr>
        <w:tc>
          <w:tcPr>
            <w:tcW w:w="272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Name:</w:t>
            </w:r>
          </w:p>
        </w:tc>
      </w:tr>
      <w:tr>
        <w:trPr>
          <w:trHeight w:val="210" w:hRule="atLeast"/>
        </w:trPr>
        <w:tc>
          <w:tcPr>
            <w:tcW w:w="272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049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Title:</w:t>
            </w:r>
          </w:p>
        </w:tc>
      </w:tr>
    </w:tbl>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val="false"/>
          <w:i w:val="false"/>
          <w:color w:val="000000"/>
          <w:sz w:val="20"/>
        </w:rPr>
        <w:t>43</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p>
    <w:p>
      <w:r>
        <w:pict>
          <v:rect style="width:0;height:1.5pt" id="_x0000_i1025" o:hr="t" o:hrstd="t" o:hralign="center" stroked="f" fillcolor="#a0a0a0"/>
        </w:pict>
      </w:r>
    </w:p>
    <w:p>
      <w:pPr>
        <w:spacing w:before="0" w:after="0"/>
        <w:ind w:left="120"/>
        <w:jc w:val="center"/>
      </w:pP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EX-5.1 </w:t>
      </w:r>
      <w:r>
        <w:rPr>
          <w:rFonts w:ascii="Times New Roman" w:hAnsi="Times New Roman"/>
          <w:b w:val="false"/>
          <w:i w:val="false"/>
          <w:color w:val="000000"/>
          <w:sz w:val="20"/>
        </w:rPr>
        <w:t xml:space="preserve">4 </w:t>
      </w:r>
      <w:r>
        <w:rPr>
          <w:rFonts w:ascii="Times New Roman" w:hAnsi="Times New Roman"/>
          <w:b w:val="false"/>
          <w:i w:val="false"/>
          <w:color w:val="000000"/>
          <w:sz w:val="20"/>
        </w:rPr>
        <w:t xml:space="preserve">ny20075001x1_ex5-1.htm </w:t>
      </w:r>
      <w:r>
        <w:rPr>
          <w:rFonts w:ascii="Times New Roman" w:hAnsi="Times New Roman"/>
          <w:b w:val="false"/>
          <w:i w:val="false"/>
          <w:color w:val="000000"/>
          <w:sz w:val="20"/>
        </w:rPr>
        <w:t xml:space="preserve">EXHIBIT 5.1 </w:t>
      </w:r>
    </w:p>
    <w:p>
      <w:pPr>
        <w:spacing w:before="0" w:after="0"/>
        <w:ind w:left="120"/>
        <w:jc w:val="right"/>
      </w:pPr>
      <w:r>
        <w:rPr>
          <w:rFonts w:ascii="Times New Roman" w:hAnsi="Times New Roman"/>
          <w:b/>
          <w:i w:val="false"/>
          <w:color w:val="000000"/>
          <w:sz w:val="20"/>
        </w:rPr>
        <w:t xml:space="preserve"> Exhibit 5.1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0ad673a75f4e4e4bb3d6993aaa7c2b6b" w:id="0"/>
    <w:tbl>
      <w:tblPr>
        <w:tblW w:w="0" w:type="auto"/>
        <w:tblCellSpacing w:w="0" w:type="dxa"/>
        <w:tblBorders>
          <w:top w:val="none"/>
          <w:left w:val="none"/>
          <w:bottom w:val="none"/>
          <w:right w:val="none"/>
          <w:insideH w:val="none"/>
          <w:insideV w:val="none"/>
        </w:tblBorders>
      </w:tblPr>
      <w:tblGrid>
        <w:gridCol w:w="6817"/>
        <w:gridCol w:w="480"/>
        <w:gridCol w:w="6337"/>
      </w:tblGrid>
      <w:tr>
        <w:trPr>
          <w:trHeight w:val="525" w:hRule="atLeast"/>
        </w:trPr>
        <w:tc>
          <w:tcPr>
            <w:tcW w:w="6817" w:type="dxa"/>
            <w:tcBorders/>
            <w:shd w:fill="ffffff"/>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16"/>
              </w:rPr>
              <w:t xml:space="preserve"> ATTORNEYS • CIVIL LAW NOTARIES • TAX ADVISERS </w:t>
            </w:r>
          </w:p>
          <w:p>
            <w:pPr>
              <w:spacing w:before="0" w:after="0"/>
              <w:ind w:left="120"/>
              <w:jc w:val="left"/>
            </w:pPr>
            <w:r>
              <w:rPr>
                <w:rFonts w:ascii="Times New Roman" w:hAnsi="Times New Roman"/>
                <w:b w:val="false"/>
                <w:i w:val="false"/>
                <w:color w:val="000000"/>
                <w:sz w:val="16"/>
              </w:rPr>
              <w:t xml:space="preserve"> </w:t>
            </w:r>
            <w:r>
              <w:br/>
            </w:r>
            <w:r>
              <w:rPr>
                <w:rFonts w:ascii="Times New Roman" w:hAnsi="Times New Roman"/>
                <w:b w:val="false"/>
                <w:i w:val="false"/>
                <w:color w:val="000000"/>
                <w:sz w:val="16"/>
              </w:rPr>
              <w:t xml:space="preserve"> </w:t>
            </w:r>
          </w:p>
          <w:p>
            <w:pPr>
              <w:spacing w:before="0" w:after="0"/>
              <w:ind w:left="120"/>
              <w:jc w:val="left"/>
            </w:pPr>
            <w:r>
              <w:rPr>
                <w:rFonts w:ascii="Times New Roman" w:hAnsi="Times New Roman"/>
                <w:b w:val="false"/>
                <w:i w:val="false"/>
                <w:color w:val="000000"/>
                <w:sz w:val="16"/>
              </w:rPr>
              <w:t xml:space="preserve"> </w:t>
            </w:r>
            <w:r>
              <w:br/>
            </w:r>
            <w:r>
              <w:rPr>
                <w:rFonts w:ascii="Times New Roman" w:hAnsi="Times New Roman"/>
                <w:b w:val="false"/>
                <w:i w:val="false"/>
                <w:color w:val="000000"/>
                <w:sz w:val="16"/>
              </w:rPr>
              <w:t xml:space="preserve"> </w:t>
            </w:r>
          </w:p>
        </w:tc>
        <w:tc>
          <w:tcPr>
            <w:tcW w:w="0" w:type="auto"/>
            <w:gridSpan w:val="2"/>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tc>
      </w:tr>
      <w:tr>
        <w:trPr>
          <w:trHeight w:val="660" w:hRule="atLeast"/>
        </w:trPr>
        <w:tc>
          <w:tcPr>
            <w:tcW w:w="681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Beethovenstraat 400 </w:t>
            </w:r>
          </w:p>
          <w:p>
            <w:pPr>
              <w:spacing w:before="0" w:after="0"/>
              <w:ind w:left="120"/>
              <w:jc w:val="left"/>
            </w:pPr>
            <w:r>
              <w:rPr>
                <w:rFonts w:ascii="Times New Roman" w:hAnsi="Times New Roman"/>
                <w:b w:val="false"/>
                <w:i w:val="false"/>
                <w:color w:val="000000"/>
                <w:sz w:val="20"/>
              </w:rPr>
              <w:t xml:space="preserve"> 1082 PR Amsterdam </w:t>
            </w:r>
          </w:p>
          <w:p>
            <w:pPr>
              <w:spacing w:before="0" w:after="0"/>
              <w:ind w:left="120"/>
              <w:jc w:val="left"/>
            </w:pPr>
            <w:r>
              <w:rPr>
                <w:rFonts w:ascii="Times New Roman" w:hAnsi="Times New Roman"/>
                <w:b w:val="false"/>
                <w:i w:val="false"/>
                <w:color w:val="000000"/>
                <w:sz w:val="20"/>
              </w:rPr>
              <w:t xml:space="preserve"> T +31 20 71 71 000 </w:t>
            </w:r>
          </w:p>
        </w:tc>
        <w:tc>
          <w:tcPr>
            <w:tcW w:w="4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3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Amsterdam, 6 August 2026. </w:t>
            </w:r>
          </w:p>
        </w:tc>
      </w:tr>
    </w:tbl>
    <w:bookmarkEnd w:id="0"/>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To the Company: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We have acted as legal counsel as to Dutch law to the Company in connection with the filing of the Registration Statement with the SEC. This opinion letter is rendered to you in order to be filed with the SEC as an exhibit to the Registration Statement.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Capitalised terms used in this opinion letter have the meanings set forth in Exhibit A to this opinion letter. The section headings used in this opinion letter are for convenience of reference only and are not to affect its construction or to be taken into consideration in its interpretation.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This opinion letter is strictly limited to the matters stated in it and may not be read as extending by implication to any matters not specifically referred to in it. Nothing in this opinion letter should be taken as expressing an opinion in respect of any representations or warranties, or other information, contained in any document reviewed by us in connection with this opinion letter.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In rendering the opinions expressed in this opinion letter, we have reviewed and relied upon a draft of the Registration Statement and pdf copies of the Corporate Documents and we have assumed that any issuance of Registered Securities shall be effected for bona fide commercial reasons. We have not investigated or verified any factual matter disclosed to us in the course of our review.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This opinion letter sets out our opinion on certain matters of the laws with general applicability of the Netherlands, and, insofar as they are directly applicable in the Netherlands, of the European Union, as at today’s date and as presently interpreted under published authoritative case law of the Dutch courts, the General Court and the Court of Justice of the European Union. We do not express any opinion on Dutch or European competition law, </w:t>
      </w:r>
      <w:r>
        <w:rPr>
          <w:rFonts w:ascii="Times New Roman" w:hAnsi="Times New Roman"/>
          <w:b w:val="false"/>
          <w:i w:val="false"/>
          <w:color w:val="000000"/>
          <w:sz w:val="20"/>
        </w:rPr>
        <w:t xml:space="preserve">data protection law, </w:t>
      </w:r>
      <w:r>
        <w:rPr>
          <w:rFonts w:ascii="Times New Roman" w:hAnsi="Times New Roman"/>
          <w:b w:val="false"/>
          <w:i w:val="false"/>
          <w:color w:val="000000"/>
          <w:sz w:val="20"/>
        </w:rPr>
        <w:t>tax law, securitization law or regulatory law. No undertaking is assumed on our part to revise, update or amend this opinion letter in connection with or to notify or inform you of, any developments and/or changes of Dutch law subsequent to today’s date. We do not purport to opine on the consequences of amendments to the Registration Statement or the Corporate Documents subsequent to the date of this opinion letter.</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This communication is confidential and may be subject to professional privilege. All legal relationships are subject to NautaDutilh N.V.’s general terms and conditions (see https://www.nautadutilh.com/terms), which apply mutatis mutandis to our relationship with third parties relying on statements of NautaDutilh N.V., include a limitation of liability clause, have been filed with the Rotterdam District Court and will be provided free of charge upon request. NautaDutilh N.V.; corporate seat Rotterdam; trade register no. 24338323.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center"/>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200"/>
        <w:ind w:left="120"/>
        <w:jc w:val="center"/>
      </w:pPr>
      <w:r>
        <w:rPr>
          <w:rFonts w:ascii="Times New Roman" w:hAnsi="Times New Roman"/>
          <w:b w:val="false"/>
          <w:i w:val="false"/>
          <w:color w:val="000000"/>
          <w:sz w:val="20"/>
        </w:rPr>
        <w:t xml:space="preserve"> 2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The opinions expressed in this opinion letter are to be construed and interpreted in accordance with Dutch law. The competent courts at Amsterdam, the Netherlands, have exclusive jurisdiction to settle any issues of interpretation or liability arising out of or in connection with this opinion letter. Any legal relationship arising out of or in connection with this opinion letter (whether contractual or non-contractual), including the above submission to jurisdiction, is governed by Dutch law and shall be subject to the general terms and conditions of NautaDutilh. Any liability arising out of or in connection with this opinion letter shall be limited to the amount which is paid out under NautaDutilh’s insurance policy in the matter concerned. No person other than NautaDutilh may be held liable in connection with this opinion letter.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In this opinion letter, legal concepts are expressed in English terms. The Dutch legal concepts concerned may not be identical in meaning to the concepts described by the English terms as they exist under the law of other jurisdictions. In the event of a conflict or inconsistency, the relevant expression shall be deemed to refer only to the Dutch legal concepts described by the English terms.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For the purposes of this opinion letter, we have assumed that: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d2e98a76597d446c9095b30ce9c36ed7" w:id="1"/>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885" w:hRule="atLeast"/>
        </w:trPr>
        <w:tc>
          <w:tcPr>
            <w:tcW w:w="6827"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each copy of a document conforms to the original, each original is authentic, and each signature is the genuine signature of the individual purported to have placed that signature; </w:t>
            </w:r>
          </w:p>
        </w:tc>
      </w:tr>
    </w:tbl>
    <w:bookmarkEnd w:id="1"/>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b9dd498a09dc4b49b65a4d7ff1a1b389" w:id="2"/>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1335"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b.</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if any signature under any document is an electronic signature (as opposed to a handwritten (“wet ink”) signature) only, it is either a qualified electronic signature within the meaning of the eIDAS Regulation, or the method used for signing is otherwise sufficiently reliable; </w:t>
            </w:r>
          </w:p>
        </w:tc>
      </w:tr>
    </w:tbl>
    <w:bookmarkEnd w:id="2"/>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5a45de05b30c4a21a1c1e8e8b10f599b" w:id="3"/>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435"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Registration Statement will be declared effective by the SEC in the form reviewed by us; </w:t>
            </w:r>
          </w:p>
        </w:tc>
      </w:tr>
    </w:tbl>
    <w:bookmarkEnd w:id="3"/>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b0446904135d4c79b9a12fcf8a4fdc8d" w:id="4"/>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312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at each Relevant Moment, (i) Ordinary Shares shall have been admitted for trading on a trading system outside the European Economic Area comparable to a regulated market or a multilateral trading facility as referred to in Section 2:86c(1) DCC and (ii) no financial instruments issued by the Company (or depository receipts for or otherwise representing such financial instruments) shall have been admitted to trading on a regulated market, multilateral trading facility or organised trading facility operating in the European Economic Area (and no request for admission of any such financial instruments to trading on any such trading venue shall have been made); </w:t>
            </w:r>
          </w:p>
        </w:tc>
      </w:tr>
    </w:tbl>
    <w:bookmarkEnd w:id="4"/>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34b32b0084bc4a1a80f8367aeca4d2c0" w:id="5"/>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66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Current Articles are the Articles of Association currently in force and as they will be in force at each Relevant Moment; </w:t>
            </w:r>
          </w:p>
        </w:tc>
      </w:tr>
    </w:tbl>
    <w:bookmarkEnd w:id="5"/>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20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200"/>
        <w:ind w:left="120"/>
        <w:jc w:val="center"/>
      </w:pPr>
      <w:r>
        <w:rPr>
          <w:rFonts w:ascii="Times New Roman" w:hAnsi="Times New Roman"/>
          <w:b w:val="false"/>
          <w:i w:val="false"/>
          <w:color w:val="000000"/>
          <w:sz w:val="20"/>
        </w:rPr>
        <w:t xml:space="preserve"> 3 </w:t>
      </w:r>
    </w:p>
    <w:bookmarkStart w:name="z14a813170f3f476ca44f08f317c993bf" w:id="6"/>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66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f.</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at each Relevant Moment, the authorized share capital (</w:t>
            </w:r>
            <w:r>
              <w:rPr>
                <w:rFonts w:ascii="Times New Roman" w:hAnsi="Times New Roman"/>
                <w:b w:val="false"/>
                <w:i/>
                <w:color w:val="000000"/>
                <w:sz w:val="20"/>
              </w:rPr>
              <w:t>maatschappelijk kapitaal</w:t>
            </w:r>
            <w:r>
              <w:rPr>
                <w:rFonts w:ascii="Times New Roman" w:hAnsi="Times New Roman"/>
                <w:b w:val="false"/>
                <w:i w:val="false"/>
                <w:color w:val="000000"/>
                <w:sz w:val="20"/>
              </w:rPr>
              <w:t>) of the Company shall allow for the issuance of the Registered Shares</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6"/>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3ccb8383e502485abd87cd37b5aff1a0" w:id="7"/>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312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g.</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at each Relevant Moment, the Company will not have (i) been dissolved (</w:t>
            </w:r>
            <w:r>
              <w:rPr>
                <w:rFonts w:ascii="Times New Roman" w:hAnsi="Times New Roman"/>
                <w:b w:val="false"/>
                <w:i/>
                <w:color w:val="000000"/>
                <w:sz w:val="20"/>
              </w:rPr>
              <w:t>ontbonden</w:t>
            </w:r>
            <w:r>
              <w:rPr>
                <w:rFonts w:ascii="Times New Roman" w:hAnsi="Times New Roman"/>
                <w:b w:val="false"/>
                <w:i w:val="false"/>
                <w:color w:val="000000"/>
                <w:sz w:val="20"/>
              </w:rPr>
              <w:t>), (ii) ceased to exist pursuant to a merger (</w:t>
            </w:r>
            <w:r>
              <w:rPr>
                <w:rFonts w:ascii="Times New Roman" w:hAnsi="Times New Roman"/>
                <w:b w:val="false"/>
                <w:i/>
                <w:color w:val="000000"/>
                <w:sz w:val="20"/>
              </w:rPr>
              <w:t>fusie</w:t>
            </w:r>
            <w:r>
              <w:rPr>
                <w:rFonts w:ascii="Times New Roman" w:hAnsi="Times New Roman"/>
                <w:b w:val="false"/>
                <w:i w:val="false"/>
                <w:color w:val="000000"/>
                <w:sz w:val="20"/>
              </w:rPr>
              <w:t>) or a division (</w:t>
            </w:r>
            <w:r>
              <w:rPr>
                <w:rFonts w:ascii="Times New Roman" w:hAnsi="Times New Roman"/>
                <w:b w:val="false"/>
                <w:i/>
                <w:color w:val="000000"/>
                <w:sz w:val="20"/>
              </w:rPr>
              <w:t>splitsing</w:t>
            </w:r>
            <w:r>
              <w:rPr>
                <w:rFonts w:ascii="Times New Roman" w:hAnsi="Times New Roman"/>
                <w:b w:val="false"/>
                <w:i w:val="false"/>
                <w:color w:val="000000"/>
                <w:sz w:val="20"/>
              </w:rPr>
              <w:t>), (iii) been converted (</w:t>
            </w:r>
            <w:r>
              <w:rPr>
                <w:rFonts w:ascii="Times New Roman" w:hAnsi="Times New Roman"/>
                <w:b w:val="false"/>
                <w:i/>
                <w:color w:val="000000"/>
                <w:sz w:val="20"/>
              </w:rPr>
              <w:t>omgezet</w:t>
            </w:r>
            <w:r>
              <w:rPr>
                <w:rFonts w:ascii="Times New Roman" w:hAnsi="Times New Roman"/>
                <w:b w:val="false"/>
                <w:i w:val="false"/>
                <w:color w:val="000000"/>
                <w:sz w:val="20"/>
              </w:rPr>
              <w:t>) into another legal form, either national or foreign (except pursuant to the Deed of Conversion), (iv) had its assets placed under administration (</w:t>
            </w:r>
            <w:r>
              <w:rPr>
                <w:rFonts w:ascii="Times New Roman" w:hAnsi="Times New Roman"/>
                <w:b w:val="false"/>
                <w:i/>
                <w:color w:val="000000"/>
                <w:sz w:val="20"/>
              </w:rPr>
              <w:t>onder bewind gesteld</w:t>
            </w:r>
            <w:r>
              <w:rPr>
                <w:rFonts w:ascii="Times New Roman" w:hAnsi="Times New Roman"/>
                <w:b w:val="false"/>
                <w:i w:val="false"/>
                <w:color w:val="000000"/>
                <w:sz w:val="20"/>
              </w:rPr>
              <w:t>), (v) been declared bankrupt (</w:t>
            </w:r>
            <w:r>
              <w:rPr>
                <w:rFonts w:ascii="Times New Roman" w:hAnsi="Times New Roman"/>
                <w:b w:val="false"/>
                <w:i/>
                <w:color w:val="000000"/>
                <w:sz w:val="20"/>
              </w:rPr>
              <w:t>failliet verklaard</w:t>
            </w:r>
            <w:r>
              <w:rPr>
                <w:rFonts w:ascii="Times New Roman" w:hAnsi="Times New Roman"/>
                <w:b w:val="false"/>
                <w:i w:val="false"/>
                <w:color w:val="000000"/>
                <w:sz w:val="20"/>
              </w:rPr>
              <w:t>), (vi) been granted a suspension of payments (</w:t>
            </w:r>
            <w:r>
              <w:rPr>
                <w:rFonts w:ascii="Times New Roman" w:hAnsi="Times New Roman"/>
                <w:b w:val="false"/>
                <w:i/>
                <w:color w:val="000000"/>
                <w:sz w:val="20"/>
              </w:rPr>
              <w:t>surseance van betaling verleend</w:t>
            </w:r>
            <w:r>
              <w:rPr>
                <w:rFonts w:ascii="Times New Roman" w:hAnsi="Times New Roman"/>
                <w:b w:val="false"/>
                <w:i w:val="false"/>
                <w:color w:val="000000"/>
                <w:sz w:val="20"/>
              </w:rPr>
              <w:t>), (vii) started or become subject to statutory proceedings for the restructuring of its debts (</w:t>
            </w:r>
            <w:r>
              <w:rPr>
                <w:rFonts w:ascii="Times New Roman" w:hAnsi="Times New Roman"/>
                <w:b w:val="false"/>
                <w:i/>
                <w:color w:val="000000"/>
                <w:sz w:val="20"/>
              </w:rPr>
              <w:t>akkoordprocedure</w:t>
            </w:r>
            <w:r>
              <w:rPr>
                <w:rFonts w:ascii="Times New Roman" w:hAnsi="Times New Roman"/>
                <w:b w:val="false"/>
                <w:i w:val="false"/>
                <w:color w:val="000000"/>
                <w:sz w:val="20"/>
              </w:rPr>
              <w:t xml:space="preserve">) or (viii) been made subject to similar proceedings in any jurisdiction or otherwise been limited in its power to dispose of its assets; </w:t>
            </w:r>
          </w:p>
        </w:tc>
      </w:tr>
    </w:tbl>
    <w:bookmarkEnd w:id="7"/>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1945c876dbba40999a3e6046ca1eca5f" w:id="8"/>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111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h.</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any Registered Securities shall be issued, and any pre-emption rights in connection therewith shall have been excluded, pursuant to resolutions validly passed by the corporate body (</w:t>
            </w:r>
            <w:r>
              <w:rPr>
                <w:rFonts w:ascii="Times New Roman" w:hAnsi="Times New Roman"/>
                <w:b w:val="false"/>
                <w:i/>
                <w:color w:val="000000"/>
                <w:sz w:val="20"/>
              </w:rPr>
              <w:t>orgaan</w:t>
            </w:r>
            <w:r>
              <w:rPr>
                <w:rFonts w:ascii="Times New Roman" w:hAnsi="Times New Roman"/>
                <w:b w:val="false"/>
                <w:i w:val="false"/>
                <w:color w:val="000000"/>
                <w:sz w:val="20"/>
              </w:rPr>
              <w:t>) of the Company duly authorized to do so</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8"/>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db9a953671aa4583ad3b738e7aec25c9" w:id="9"/>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267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i.</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issue price for any Registered Shares shall at least equal the aggregate nominal value thereof, any conversion, exchange or exercise price of other Registered Securities shall at least equal the aggregate nominal value of the underlying Registered Shares, any such issue, conversion, exchange or exercise price shall have been satisfied in cash and shall have been received and accepted by the Company ultimately upon the issuance of the relevant Registered Shares and, where relevant, the Company shall have consented to payment in a currency other than Euro</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9"/>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7b645d6cd1df497bb60262779d1654cc" w:id="10"/>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111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j.</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any Registered Shares issued in connection with the conversion, exchange or exercise of other Registered Securities shall be issued pursuant to a valid conversion, exchange or exercise of such Registered Securities in accordance with their respective terms</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10"/>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f076d10d6a734c20a187e6ac7a68189b" w:id="11"/>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312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k.</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in respect of any payment (</w:t>
            </w:r>
            <w:r>
              <w:rPr>
                <w:rFonts w:ascii="Times New Roman" w:hAnsi="Times New Roman"/>
                <w:b w:val="false"/>
                <w:i/>
                <w:color w:val="000000"/>
                <w:sz w:val="20"/>
              </w:rPr>
              <w:t>storting</w:t>
            </w:r>
            <w:r>
              <w:rPr>
                <w:rFonts w:ascii="Times New Roman" w:hAnsi="Times New Roman"/>
                <w:b w:val="false"/>
                <w:i w:val="false"/>
                <w:color w:val="000000"/>
                <w:sz w:val="20"/>
              </w:rPr>
              <w:t>) on any Registered Shares to be satisfied by means of a set-off (</w:t>
            </w:r>
            <w:r>
              <w:rPr>
                <w:rFonts w:ascii="Times New Roman" w:hAnsi="Times New Roman"/>
                <w:b w:val="false"/>
                <w:i/>
                <w:color w:val="000000"/>
                <w:sz w:val="20"/>
              </w:rPr>
              <w:t>verrekening</w:t>
            </w:r>
            <w:r>
              <w:rPr>
                <w:rFonts w:ascii="Times New Roman" w:hAnsi="Times New Roman"/>
                <w:b w:val="false"/>
                <w:i w:val="false"/>
                <w:color w:val="000000"/>
                <w:sz w:val="20"/>
              </w:rPr>
              <w:t>), the Company shall have validly effected such set-off of a debt of the Company vis-à-vis the relevant subscriber for such Registered Shares against the Company’s claim on such subscriber to pay up such Registered Shares in full in accordance with Section 6:127 DCC, the Company shall have the authority to set off such debt vis-à-vis such claim and the amount payable by the Company under such debt shall be sufficient to pay up such Registered Shares in full by means of such set-off, in each at the moment when the relevant Registered Shares are issued</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11"/>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20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200"/>
        <w:ind w:left="120"/>
        <w:jc w:val="center"/>
      </w:pPr>
      <w:r>
        <w:rPr>
          <w:rFonts w:ascii="Times New Roman" w:hAnsi="Times New Roman"/>
          <w:b w:val="false"/>
          <w:i w:val="false"/>
          <w:color w:val="000000"/>
          <w:sz w:val="20"/>
        </w:rPr>
        <w:t xml:space="preserve"> 4 </w:t>
      </w:r>
    </w:p>
    <w:bookmarkStart w:name="ze77f2d4eaa3047c299f1d96fc84f00f5" w:id="12"/>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111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l.</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no Registered Securities shall be offered to the public (</w:t>
            </w:r>
            <w:r>
              <w:rPr>
                <w:rFonts w:ascii="Times New Roman" w:hAnsi="Times New Roman"/>
                <w:b w:val="false"/>
                <w:i/>
                <w:color w:val="000000"/>
                <w:sz w:val="20"/>
              </w:rPr>
              <w:t>aanbieden aan het publiek</w:t>
            </w:r>
            <w:r>
              <w:rPr>
                <w:rFonts w:ascii="Times New Roman" w:hAnsi="Times New Roman"/>
                <w:b w:val="false"/>
                <w:i w:val="false"/>
                <w:color w:val="000000"/>
                <w:sz w:val="20"/>
              </w:rPr>
              <w:t xml:space="preserve">) in the Netherlands other than in conformity with the Prospectus Regulation, the PRIIPs Regulation and the rules promulgated thereunder; and </w:t>
            </w:r>
          </w:p>
        </w:tc>
      </w:tr>
    </w:tbl>
    <w:bookmarkEnd w:id="12"/>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48cb019237fb454a8bccd08c8f0b584c" w:id="13"/>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885"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m.</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at each Relevant Moment, each of the assumptions made in this opinion letter will be correct in all aspects by reference to the facts and circumstances then existing. </w:t>
            </w:r>
          </w:p>
        </w:tc>
      </w:tr>
    </w:tbl>
    <w:bookmarkEnd w:id="13"/>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Based upon and subject to the foregoing and subject to the qualifications set forth in this opinion letter and to any matters, documents or events not disclosed to us, we express the following opinions: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960"/>
        <w:jc w:val="both"/>
      </w:pPr>
      <w:r>
        <w:rPr>
          <w:rFonts w:ascii="Times New Roman" w:hAnsi="Times New Roman"/>
          <w:b/>
          <w:i w:val="false"/>
          <w:color w:val="000000"/>
          <w:sz w:val="20"/>
        </w:rPr>
        <w:t xml:space="preserve"> Corporate Status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1ffb0b49c4e84f8fa5e91885c8b8f081" w:id="14"/>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66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1.</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Company has been duly incorporated as a </w:t>
            </w:r>
            <w:r>
              <w:rPr>
                <w:rFonts w:ascii="Times New Roman" w:hAnsi="Times New Roman"/>
                <w:b w:val="false"/>
                <w:i/>
                <w:color w:val="000000"/>
                <w:sz w:val="20"/>
              </w:rPr>
              <w:t>besloten vennootschap met beperkte aansprakelijkheid</w:t>
            </w:r>
            <w:r>
              <w:rPr>
                <w:rFonts w:ascii="Times New Roman" w:hAnsi="Times New Roman"/>
                <w:b w:val="false"/>
                <w:i w:val="false"/>
                <w:color w:val="000000"/>
                <w:sz w:val="20"/>
              </w:rPr>
              <w:t xml:space="preserve"> and is validly existing as a </w:t>
            </w:r>
            <w:r>
              <w:rPr>
                <w:rFonts w:ascii="Times New Roman" w:hAnsi="Times New Roman"/>
                <w:b w:val="false"/>
                <w:i/>
                <w:color w:val="000000"/>
                <w:sz w:val="20"/>
              </w:rPr>
              <w:t>naamloze vennootschap</w:t>
            </w:r>
            <w:r>
              <w:rPr>
                <w:rFonts w:ascii="Times New Roman" w:hAnsi="Times New Roman"/>
                <w:b w:val="false"/>
                <w:i w:val="false"/>
                <w:color w:val="000000"/>
                <w:sz w:val="20"/>
              </w:rPr>
              <w:t xml:space="preserve">. </w:t>
            </w:r>
          </w:p>
        </w:tc>
      </w:tr>
    </w:tbl>
    <w:bookmarkEnd w:id="14"/>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960"/>
        <w:jc w:val="both"/>
      </w:pPr>
      <w:r>
        <w:rPr>
          <w:rFonts w:ascii="Times New Roman" w:hAnsi="Times New Roman"/>
          <w:b/>
          <w:i w:val="false"/>
          <w:color w:val="000000"/>
          <w:sz w:val="20"/>
        </w:rPr>
        <w:t xml:space="preserve"> Registered Shares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53cc9c63c4ff48ea9add3e1a1211abf1" w:id="15"/>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1335"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2.</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Subject to receipt by the Company of payment in full for, or other satisfaction of the issue, conversion, exchange or exercise price for, the Registered Shares, and when issued by the Company and accepted by the acquiror(s) thereof, the Registered Shares shall be validly issued, fully paid and non-assessable. </w:t>
            </w:r>
          </w:p>
        </w:tc>
      </w:tr>
    </w:tbl>
    <w:bookmarkEnd w:id="15"/>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The opinions expressed above are subject to the following qualifications: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99ab6ba60d95487a9e6a866dd5880758" w:id="16"/>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201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Opinion 1 must not be read to imply that the Company cannot be dissolved (</w:t>
            </w:r>
            <w:r>
              <w:rPr>
                <w:rFonts w:ascii="Times New Roman" w:hAnsi="Times New Roman"/>
                <w:b w:val="false"/>
                <w:i/>
                <w:color w:val="000000"/>
                <w:sz w:val="20"/>
              </w:rPr>
              <w:t>ontbonden</w:t>
            </w:r>
            <w:r>
              <w:rPr>
                <w:rFonts w:ascii="Times New Roman" w:hAnsi="Times New Roman"/>
                <w:b w:val="false"/>
                <w:i w:val="false"/>
                <w:color w:val="000000"/>
                <w:sz w:val="20"/>
              </w:rPr>
              <w:t>). A company such as the Company may be dissolved, inter alia by the competent court at the request of the company’s board of directors, any interested party (</w:t>
            </w:r>
            <w:r>
              <w:rPr>
                <w:rFonts w:ascii="Times New Roman" w:hAnsi="Times New Roman"/>
                <w:b w:val="false"/>
                <w:i/>
                <w:color w:val="000000"/>
                <w:sz w:val="20"/>
              </w:rPr>
              <w:t>belanghebbende</w:t>
            </w:r>
            <w:r>
              <w:rPr>
                <w:rFonts w:ascii="Times New Roman" w:hAnsi="Times New Roman"/>
                <w:b w:val="false"/>
                <w:i w:val="false"/>
                <w:color w:val="000000"/>
                <w:sz w:val="20"/>
              </w:rPr>
              <w:t xml:space="preserve">) or the public prosecution office in certain circumstances, such as when there are certain defects in the incorporation of the company. Any such dissolution will not have retro-active effect. </w:t>
            </w:r>
          </w:p>
        </w:tc>
      </w:tr>
    </w:tbl>
    <w:bookmarkEnd w:id="16"/>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20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200"/>
        <w:ind w:left="120"/>
        <w:jc w:val="center"/>
      </w:pPr>
      <w:r>
        <w:rPr>
          <w:rFonts w:ascii="Times New Roman" w:hAnsi="Times New Roman"/>
          <w:b w:val="false"/>
          <w:i w:val="false"/>
          <w:color w:val="000000"/>
          <w:sz w:val="20"/>
        </w:rPr>
        <w:t xml:space="preserve"> 5 </w:t>
      </w:r>
    </w:p>
    <w:bookmarkStart w:name="zadcc121509d54878acaaa3ecd75ee4a3" w:id="17"/>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5355"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B.</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Pursuant to Section 2:7 DCC, any transaction entered into by a legal entity may be nullified by the legal entity itself or its liquidator in bankruptcy proceedings (</w:t>
            </w:r>
            <w:r>
              <w:rPr>
                <w:rFonts w:ascii="Times New Roman" w:hAnsi="Times New Roman"/>
                <w:b w:val="false"/>
                <w:i/>
                <w:color w:val="000000"/>
                <w:sz w:val="20"/>
              </w:rPr>
              <w:t>curator</w:t>
            </w:r>
            <w:r>
              <w:rPr>
                <w:rFonts w:ascii="Times New Roman" w:hAnsi="Times New Roman"/>
                <w:b w:val="false"/>
                <w:i w:val="false"/>
                <w:color w:val="000000"/>
                <w:sz w:val="20"/>
              </w:rPr>
              <w:t>) if the objects of that entity were transgressed by the transaction and the other party to the transaction knew or should have known this without independent investigation (</w:t>
            </w:r>
            <w:r>
              <w:rPr>
                <w:rFonts w:ascii="Times New Roman" w:hAnsi="Times New Roman"/>
                <w:b w:val="false"/>
                <w:i/>
                <w:color w:val="000000"/>
                <w:sz w:val="20"/>
              </w:rPr>
              <w:t>wist of zonder eigen onderzoek moest weten</w:t>
            </w:r>
            <w:r>
              <w:rPr>
                <w:rFonts w:ascii="Times New Roman" w:hAnsi="Times New Roman"/>
                <w:b w:val="false"/>
                <w:i w:val="false"/>
                <w:color w:val="000000"/>
                <w:sz w:val="20"/>
              </w:rPr>
              <w:t>). The Dutch Supreme Court (</w:t>
            </w:r>
            <w:r>
              <w:rPr>
                <w:rFonts w:ascii="Times New Roman" w:hAnsi="Times New Roman"/>
                <w:b w:val="false"/>
                <w:i/>
                <w:color w:val="000000"/>
                <w:sz w:val="20"/>
              </w:rPr>
              <w:t>Hoge Raad der Nederlanden</w:t>
            </w:r>
            <w:r>
              <w:rPr>
                <w:rFonts w:ascii="Times New Roman" w:hAnsi="Times New Roman"/>
                <w:b w:val="false"/>
                <w:i w:val="false"/>
                <w:color w:val="000000"/>
                <w:sz w:val="20"/>
              </w:rPr>
              <w:t>) has ruled that in determining whether the objects of a legal entity are transgressed, not only the description of the objects in that legal entity’s articles of association (</w:t>
            </w:r>
            <w:r>
              <w:rPr>
                <w:rFonts w:ascii="Times New Roman" w:hAnsi="Times New Roman"/>
                <w:b w:val="false"/>
                <w:i/>
                <w:color w:val="000000"/>
                <w:sz w:val="20"/>
              </w:rPr>
              <w:t>statuten</w:t>
            </w:r>
            <w:r>
              <w:rPr>
                <w:rFonts w:ascii="Times New Roman" w:hAnsi="Times New Roman"/>
                <w:b w:val="false"/>
                <w:i w:val="false"/>
                <w:color w:val="000000"/>
                <w:sz w:val="20"/>
              </w:rPr>
              <w:t xml:space="preserve">) is decisive, but all (relevant) circumstances must be taken into account, in particular whether the interests of the legal entity were served by the transaction. Based on the objects clause contained in the Current Articles, we have no reason to believe that, by issuing Registered Securities, the Company would transgress the description of the objects contained in its Articles of Association. However, we cannot assess whether there are other relevant circumstances that must be taken into account, in particular whether the interests of the Company are served by issuing Registered Securities since this is a matter of fact. </w:t>
            </w:r>
          </w:p>
        </w:tc>
      </w:tr>
    </w:tbl>
    <w:bookmarkEnd w:id="17"/>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ff1254e6631f4296af43806d6bf5c373" w:id="18"/>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357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Pursuant to Section 2:98c DCC, a </w:t>
            </w:r>
            <w:r>
              <w:rPr>
                <w:rFonts w:ascii="Times New Roman" w:hAnsi="Times New Roman"/>
                <w:b w:val="false"/>
                <w:i/>
                <w:color w:val="000000"/>
                <w:sz w:val="20"/>
              </w:rPr>
              <w:t>naamloze vennootschap</w:t>
            </w:r>
            <w:r>
              <w:rPr>
                <w:rFonts w:ascii="Times New Roman" w:hAnsi="Times New Roman"/>
                <w:b w:val="false"/>
                <w:i w:val="false"/>
                <w:color w:val="000000"/>
                <w:sz w:val="20"/>
              </w:rPr>
              <w:t xml:space="preserve"> may grant loans (</w:t>
            </w:r>
            <w:r>
              <w:rPr>
                <w:rFonts w:ascii="Times New Roman" w:hAnsi="Times New Roman"/>
                <w:b w:val="false"/>
                <w:i/>
                <w:color w:val="000000"/>
                <w:sz w:val="20"/>
              </w:rPr>
              <w:t>leningen verstrekken</w:t>
            </w:r>
            <w:r>
              <w:rPr>
                <w:rFonts w:ascii="Times New Roman" w:hAnsi="Times New Roman"/>
                <w:b w:val="false"/>
                <w:i w:val="false"/>
                <w:color w:val="000000"/>
                <w:sz w:val="20"/>
              </w:rPr>
              <w:t>) only in accordance with the restrictions set out in Section 2:98c DCC, and may not provide security (</w:t>
            </w:r>
            <w:r>
              <w:rPr>
                <w:rFonts w:ascii="Times New Roman" w:hAnsi="Times New Roman"/>
                <w:b w:val="false"/>
                <w:i/>
                <w:color w:val="000000"/>
                <w:sz w:val="20"/>
              </w:rPr>
              <w:t>zekerheid stellen</w:t>
            </w:r>
            <w:r>
              <w:rPr>
                <w:rFonts w:ascii="Times New Roman" w:hAnsi="Times New Roman"/>
                <w:b w:val="false"/>
                <w:i w:val="false"/>
                <w:color w:val="000000"/>
                <w:sz w:val="20"/>
              </w:rPr>
              <w:t>), give a price guarantee (</w:t>
            </w:r>
            <w:r>
              <w:rPr>
                <w:rFonts w:ascii="Times New Roman" w:hAnsi="Times New Roman"/>
                <w:b w:val="false"/>
                <w:i/>
                <w:color w:val="000000"/>
                <w:sz w:val="20"/>
              </w:rPr>
              <w:t>koersgarantie geven</w:t>
            </w:r>
            <w:r>
              <w:rPr>
                <w:rFonts w:ascii="Times New Roman" w:hAnsi="Times New Roman"/>
                <w:b w:val="false"/>
                <w:i w:val="false"/>
                <w:color w:val="000000"/>
                <w:sz w:val="20"/>
              </w:rPr>
              <w:t>) or otherwise bind itself, whether jointly and severally or otherwise with or for third parties (</w:t>
            </w:r>
            <w:r>
              <w:rPr>
                <w:rFonts w:ascii="Times New Roman" w:hAnsi="Times New Roman"/>
                <w:b w:val="false"/>
                <w:i/>
                <w:color w:val="000000"/>
                <w:sz w:val="20"/>
              </w:rPr>
              <w:t>zich op andere wijze sterk maken of zich hoofdelijk of anderszins naast of voor anderen verbinden</w:t>
            </w:r>
            <w:r>
              <w:rPr>
                <w:rFonts w:ascii="Times New Roman" w:hAnsi="Times New Roman"/>
                <w:b w:val="false"/>
                <w:i w:val="false"/>
                <w:color w:val="000000"/>
                <w:sz w:val="20"/>
              </w:rPr>
              <w:t>) with a view to (</w:t>
            </w:r>
            <w:r>
              <w:rPr>
                <w:rFonts w:ascii="Times New Roman" w:hAnsi="Times New Roman"/>
                <w:b w:val="false"/>
                <w:i/>
                <w:color w:val="000000"/>
                <w:sz w:val="20"/>
              </w:rPr>
              <w:t>met het oog op</w:t>
            </w:r>
            <w:r>
              <w:rPr>
                <w:rFonts w:ascii="Times New Roman" w:hAnsi="Times New Roman"/>
                <w:b w:val="false"/>
                <w:i w:val="false"/>
                <w:color w:val="000000"/>
                <w:sz w:val="20"/>
              </w:rPr>
              <w:t>) the subscription or acquisition by third parties of shares in its share capital or depository receipts. This prohibition also applies to its subsidiaries (</w:t>
            </w:r>
            <w:r>
              <w:rPr>
                <w:rFonts w:ascii="Times New Roman" w:hAnsi="Times New Roman"/>
                <w:b w:val="false"/>
                <w:i/>
                <w:color w:val="000000"/>
                <w:sz w:val="20"/>
              </w:rPr>
              <w:t>dochtervennootschappen</w:t>
            </w:r>
            <w:r>
              <w:rPr>
                <w:rFonts w:ascii="Times New Roman" w:hAnsi="Times New Roman"/>
                <w:b w:val="false"/>
                <w:i w:val="false"/>
                <w:color w:val="000000"/>
                <w:sz w:val="20"/>
              </w:rPr>
              <w:t>). It is generally assumed that a transaction entered into in violation of Section 2:98c DCC is null and void (</w:t>
            </w:r>
            <w:r>
              <w:rPr>
                <w:rFonts w:ascii="Times New Roman" w:hAnsi="Times New Roman"/>
                <w:b w:val="false"/>
                <w:i/>
                <w:color w:val="000000"/>
                <w:sz w:val="20"/>
              </w:rPr>
              <w:t>nietig</w:t>
            </w:r>
            <w:r>
              <w:rPr>
                <w:rFonts w:ascii="Times New Roman" w:hAnsi="Times New Roman"/>
                <w:b w:val="false"/>
                <w:i w:val="false"/>
                <w:color w:val="000000"/>
                <w:sz w:val="20"/>
              </w:rPr>
              <w:t xml:space="preserve">). </w:t>
            </w:r>
          </w:p>
        </w:tc>
      </w:tr>
    </w:tbl>
    <w:bookmarkEnd w:id="18"/>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d94088efa14c48588b392b8350df30d7" w:id="19"/>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435"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opinions expressed in this opinion letter may be limited or affected by: </w:t>
            </w:r>
          </w:p>
        </w:tc>
      </w:tr>
    </w:tbl>
    <w:bookmarkEnd w:id="19"/>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8a7ff23785cc4e9ca46a668bb14a5ad5" w:id="20"/>
    <w:tbl>
      <w:tblPr>
        <w:tblW w:w="0" w:type="auto"/>
        <w:tblCellSpacing w:w="0" w:type="dxa"/>
        <w:tblBorders>
          <w:top w:val="none"/>
          <w:left w:val="none"/>
          <w:bottom w:val="none"/>
          <w:right w:val="none"/>
          <w:insideH w:val="none"/>
          <w:insideV w:val="none"/>
        </w:tblBorders>
      </w:tblPr>
      <w:tblGrid>
        <w:gridCol w:w="7787"/>
        <w:gridCol w:w="960"/>
        <w:gridCol w:w="4887"/>
      </w:tblGrid>
      <w:tr>
        <w:trPr>
          <w:trHeight w:val="885" w:hRule="atLeast"/>
        </w:trPr>
        <w:tc>
          <w:tcPr>
            <w:tcW w:w="7787" w:type="dxa"/>
            <w:tcBorders/>
            <w:tcMar>
              <w:top w:w="15" w:type="dxa"/>
              <w:left w:w="15" w:type="dxa"/>
              <w:bottom w:w="15" w:type="dxa"/>
              <w:right w:w="15" w:type="dxa"/>
            </w:tcMar>
            <w:vAlign w:val="center"/>
          </w:tcPr>
          <w:p>
            <w:pPr>
              <w:spacing w:before="0" w:after="0"/>
              <w:ind w:left="0"/>
              <w:jc w:val="left"/>
            </w:pPr>
            <w:r>
              <w:br/>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a.</w:t>
            </w:r>
          </w:p>
        </w:tc>
        <w:tc>
          <w:tcPr>
            <w:tcW w:w="488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rules relating to Insolvency Proceedings or similar proceedings under a foreign law and other rules affecting creditors’ rights generally</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20"/>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c081637c225541e39e082f9884a08b3c" w:id="21"/>
    <w:tbl>
      <w:tblPr>
        <w:tblW w:w="0" w:type="auto"/>
        <w:tblCellSpacing w:w="0" w:type="dxa"/>
        <w:tblBorders>
          <w:top w:val="none"/>
          <w:left w:val="none"/>
          <w:bottom w:val="none"/>
          <w:right w:val="none"/>
          <w:insideH w:val="none"/>
          <w:insideV w:val="none"/>
        </w:tblBorders>
      </w:tblPr>
      <w:tblGrid>
        <w:gridCol w:w="7787"/>
        <w:gridCol w:w="960"/>
        <w:gridCol w:w="4887"/>
      </w:tblGrid>
      <w:tr>
        <w:trPr>
          <w:trHeight w:val="1335" w:hRule="atLeast"/>
        </w:trPr>
        <w:tc>
          <w:tcPr>
            <w:tcW w:w="7787" w:type="dxa"/>
            <w:tcBorders/>
            <w:tcMar>
              <w:top w:w="15" w:type="dxa"/>
              <w:left w:w="15" w:type="dxa"/>
              <w:bottom w:w="15" w:type="dxa"/>
              <w:right w:w="15" w:type="dxa"/>
            </w:tcMar>
            <w:vAlign w:val="center"/>
          </w:tcPr>
          <w:p>
            <w:pPr>
              <w:spacing w:before="0" w:after="0"/>
              <w:ind w:left="0"/>
              <w:jc w:val="left"/>
            </w:pPr>
            <w:r>
              <w:br/>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b.</w:t>
            </w:r>
          </w:p>
        </w:tc>
        <w:tc>
          <w:tcPr>
            <w:tcW w:w="488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provisions of fraudulent preference and fraudulent conveyance (</w:t>
            </w:r>
            <w:r>
              <w:rPr>
                <w:rFonts w:ascii="Times New Roman" w:hAnsi="Times New Roman"/>
                <w:b w:val="false"/>
                <w:i/>
                <w:color w:val="000000"/>
                <w:sz w:val="20"/>
              </w:rPr>
              <w:t>Actio Pauliana</w:t>
            </w:r>
            <w:r>
              <w:rPr>
                <w:rFonts w:ascii="Times New Roman" w:hAnsi="Times New Roman"/>
                <w:b w:val="false"/>
                <w:i w:val="false"/>
                <w:color w:val="000000"/>
                <w:sz w:val="20"/>
              </w:rPr>
              <w:t>) and similar rights available in other jurisdictions to insolvency practitioners and insolvency office holders in bankruptcy proceedings or creditors</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21"/>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7a46893a201343e59c1b9bde16857e0b" w:id="22"/>
    <w:tbl>
      <w:tblPr>
        <w:tblW w:w="0" w:type="auto"/>
        <w:tblCellSpacing w:w="0" w:type="dxa"/>
        <w:tblBorders>
          <w:top w:val="none"/>
          <w:left w:val="none"/>
          <w:bottom w:val="none"/>
          <w:right w:val="none"/>
          <w:insideH w:val="none"/>
          <w:insideV w:val="none"/>
        </w:tblBorders>
      </w:tblPr>
      <w:tblGrid>
        <w:gridCol w:w="7787"/>
        <w:gridCol w:w="960"/>
        <w:gridCol w:w="4887"/>
      </w:tblGrid>
      <w:tr>
        <w:trPr>
          <w:trHeight w:val="210" w:hRule="atLeast"/>
        </w:trPr>
        <w:tc>
          <w:tcPr>
            <w:tcW w:w="7787" w:type="dxa"/>
            <w:tcBorders/>
            <w:tcMar>
              <w:top w:w="15" w:type="dxa"/>
              <w:left w:w="15" w:type="dxa"/>
              <w:bottom w:w="15" w:type="dxa"/>
              <w:right w:w="15" w:type="dxa"/>
            </w:tcMar>
            <w:vAlign w:val="center"/>
          </w:tcPr>
          <w:p>
            <w:pPr>
              <w:spacing w:before="0" w:after="0"/>
              <w:ind w:left="0"/>
              <w:jc w:val="left"/>
            </w:pPr>
            <w:r>
              <w:br/>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w:t>
            </w:r>
          </w:p>
        </w:tc>
        <w:tc>
          <w:tcPr>
            <w:tcW w:w="488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claims based on tort (</w:t>
            </w:r>
            <w:r>
              <w:rPr>
                <w:rFonts w:ascii="Times New Roman" w:hAnsi="Times New Roman"/>
                <w:b w:val="false"/>
                <w:i/>
                <w:color w:val="000000"/>
                <w:sz w:val="20"/>
              </w:rPr>
              <w:t>onrechtmatige daad</w:t>
            </w:r>
            <w:r>
              <w:rPr>
                <w:rFonts w:ascii="Times New Roman" w:hAnsi="Times New Roman"/>
                <w:b w:val="false"/>
                <w:i w:val="false"/>
                <w:color w:val="000000"/>
                <w:sz w:val="20"/>
              </w:rPr>
              <w:t xml:space="preserve">); </w:t>
            </w:r>
          </w:p>
        </w:tc>
      </w:tr>
    </w:tbl>
    <w:bookmarkEnd w:id="22"/>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3a100cec6a5847599e6c60fc40738e49" w:id="23"/>
    <w:tbl>
      <w:tblPr>
        <w:tblW w:w="0" w:type="auto"/>
        <w:tblCellSpacing w:w="0" w:type="dxa"/>
        <w:tblBorders>
          <w:top w:val="none"/>
          <w:left w:val="none"/>
          <w:bottom w:val="none"/>
          <w:right w:val="none"/>
          <w:insideH w:val="none"/>
          <w:insideV w:val="none"/>
        </w:tblBorders>
      </w:tblPr>
      <w:tblGrid>
        <w:gridCol w:w="7787"/>
        <w:gridCol w:w="960"/>
        <w:gridCol w:w="4887"/>
      </w:tblGrid>
      <w:tr>
        <w:trPr>
          <w:trHeight w:val="1560" w:hRule="atLeast"/>
        </w:trPr>
        <w:tc>
          <w:tcPr>
            <w:tcW w:w="7787" w:type="dxa"/>
            <w:tcBorders/>
            <w:tcMar>
              <w:top w:w="15" w:type="dxa"/>
              <w:left w:w="15" w:type="dxa"/>
              <w:bottom w:w="15" w:type="dxa"/>
              <w:right w:w="15" w:type="dxa"/>
            </w:tcMar>
            <w:vAlign w:val="center"/>
          </w:tcPr>
          <w:p>
            <w:pPr>
              <w:spacing w:before="0" w:after="0"/>
              <w:ind w:left="0"/>
              <w:jc w:val="left"/>
            </w:pPr>
            <w:r>
              <w:br/>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d.</w:t>
            </w:r>
          </w:p>
        </w:tc>
        <w:tc>
          <w:tcPr>
            <w:tcW w:w="488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sanctions and measures, including but not limited to those concerning export control, pursuant to European Union regulations, under the Dutch Sanctions Act 1977 (</w:t>
            </w:r>
            <w:r>
              <w:rPr>
                <w:rFonts w:ascii="Times New Roman" w:hAnsi="Times New Roman"/>
                <w:b w:val="false"/>
                <w:i/>
                <w:color w:val="000000"/>
                <w:sz w:val="20"/>
              </w:rPr>
              <w:t>Sanctiewet 1977</w:t>
            </w:r>
            <w:r>
              <w:rPr>
                <w:rFonts w:ascii="Times New Roman" w:hAnsi="Times New Roman"/>
                <w:b w:val="false"/>
                <w:i w:val="false"/>
                <w:color w:val="000000"/>
                <w:sz w:val="20"/>
              </w:rPr>
              <w:t>) or other legislation</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23"/>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20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200"/>
        <w:ind w:left="120"/>
        <w:jc w:val="center"/>
      </w:pPr>
      <w:r>
        <w:rPr>
          <w:rFonts w:ascii="Times New Roman" w:hAnsi="Times New Roman"/>
          <w:b w:val="false"/>
          <w:i w:val="false"/>
          <w:color w:val="000000"/>
          <w:sz w:val="20"/>
        </w:rPr>
        <w:t xml:space="preserve"> 6 </w:t>
      </w:r>
    </w:p>
    <w:bookmarkStart w:name="ze1a6656604034fc8a9a1a081d6d16492" w:id="24"/>
    <w:tbl>
      <w:tblPr>
        <w:tblW w:w="0" w:type="auto"/>
        <w:tblCellSpacing w:w="0" w:type="dxa"/>
        <w:tblBorders>
          <w:top w:val="none"/>
          <w:left w:val="none"/>
          <w:bottom w:val="none"/>
          <w:right w:val="none"/>
          <w:insideH w:val="none"/>
          <w:insideV w:val="none"/>
        </w:tblBorders>
      </w:tblPr>
      <w:tblGrid>
        <w:gridCol w:w="7787"/>
        <w:gridCol w:w="960"/>
        <w:gridCol w:w="4887"/>
      </w:tblGrid>
      <w:tr>
        <w:trPr>
          <w:trHeight w:val="435" w:hRule="atLeast"/>
        </w:trPr>
        <w:tc>
          <w:tcPr>
            <w:tcW w:w="7787" w:type="dxa"/>
            <w:tcBorders/>
            <w:tcMar>
              <w:top w:w="15" w:type="dxa"/>
              <w:left w:w="15" w:type="dxa"/>
              <w:bottom w:w="15" w:type="dxa"/>
              <w:right w:w="15" w:type="dxa"/>
            </w:tcMar>
            <w:vAlign w:val="center"/>
          </w:tcPr>
          <w:p>
            <w:pPr>
              <w:spacing w:before="0" w:after="0"/>
              <w:ind w:left="0"/>
              <w:jc w:val="left"/>
            </w:pPr>
            <w:r>
              <w:br/>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w:t>
            </w:r>
          </w:p>
        </w:tc>
        <w:tc>
          <w:tcPr>
            <w:tcW w:w="488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the Anti-Boycott Regulation, </w:t>
            </w:r>
            <w:r>
              <w:rPr>
                <w:rFonts w:ascii="Times New Roman" w:hAnsi="Times New Roman"/>
                <w:b w:val="false"/>
                <w:i w:val="false"/>
                <w:color w:val="000000"/>
                <w:sz w:val="20"/>
              </w:rPr>
              <w:t>Anti Money Laundering Laws</w:t>
            </w:r>
            <w:r>
              <w:rPr>
                <w:rFonts w:ascii="Times New Roman" w:hAnsi="Times New Roman"/>
                <w:b w:val="false"/>
                <w:i w:val="false"/>
                <w:color w:val="000000"/>
                <w:sz w:val="20"/>
              </w:rPr>
              <w:t xml:space="preserve"> and related legislation;</w:t>
            </w:r>
            <w:r>
              <w:rPr>
                <w:rFonts w:ascii="Times New Roman" w:hAnsi="Times New Roman"/>
                <w:b w:val="false"/>
                <w:i w:val="false"/>
                <w:color w:val="000000"/>
                <w:sz w:val="20"/>
              </w:rPr>
              <w:t xml:space="preserve"> </w:t>
            </w:r>
          </w:p>
        </w:tc>
      </w:tr>
    </w:tbl>
    <w:bookmarkEnd w:id="24"/>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226b67231bbd4444829559a03da1079b" w:id="25"/>
    <w:tbl>
      <w:tblPr>
        <w:tblW w:w="0" w:type="auto"/>
        <w:tblCellSpacing w:w="0" w:type="dxa"/>
        <w:tblBorders>
          <w:top w:val="none"/>
          <w:left w:val="none"/>
          <w:bottom w:val="none"/>
          <w:right w:val="none"/>
          <w:insideH w:val="none"/>
          <w:insideV w:val="none"/>
        </w:tblBorders>
      </w:tblPr>
      <w:tblGrid>
        <w:gridCol w:w="7787"/>
        <w:gridCol w:w="960"/>
        <w:gridCol w:w="4887"/>
      </w:tblGrid>
      <w:tr>
        <w:trPr>
          <w:trHeight w:val="885" w:hRule="atLeast"/>
        </w:trPr>
        <w:tc>
          <w:tcPr>
            <w:tcW w:w="7787" w:type="dxa"/>
            <w:tcBorders/>
            <w:tcMar>
              <w:top w:w="15" w:type="dxa"/>
              <w:left w:w="15" w:type="dxa"/>
              <w:bottom w:w="15" w:type="dxa"/>
              <w:right w:w="15" w:type="dxa"/>
            </w:tcMar>
            <w:vAlign w:val="center"/>
          </w:tcPr>
          <w:p>
            <w:pPr>
              <w:spacing w:before="0" w:after="0"/>
              <w:ind w:left="0"/>
              <w:jc w:val="left"/>
            </w:pPr>
            <w:r>
              <w:br/>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f.</w:t>
            </w:r>
          </w:p>
        </w:tc>
        <w:tc>
          <w:tcPr>
            <w:tcW w:w="488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any intervention, recovery or resolution measure by any regulatory or other authority or governmental body in relation to financial enterprises or their affiliated entities; and </w:t>
            </w:r>
          </w:p>
        </w:tc>
      </w:tr>
    </w:tbl>
    <w:bookmarkEnd w:id="25"/>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43a2c7edad0047f092021490ad957761" w:id="26"/>
    <w:tbl>
      <w:tblPr>
        <w:tblW w:w="0" w:type="auto"/>
        <w:tblCellSpacing w:w="0" w:type="dxa"/>
        <w:tblBorders>
          <w:top w:val="none"/>
          <w:left w:val="none"/>
          <w:bottom w:val="none"/>
          <w:right w:val="none"/>
          <w:insideH w:val="none"/>
          <w:insideV w:val="none"/>
        </w:tblBorders>
      </w:tblPr>
      <w:tblGrid>
        <w:gridCol w:w="7787"/>
        <w:gridCol w:w="960"/>
        <w:gridCol w:w="4887"/>
      </w:tblGrid>
      <w:tr>
        <w:trPr>
          <w:trHeight w:val="2235" w:hRule="atLeast"/>
        </w:trPr>
        <w:tc>
          <w:tcPr>
            <w:tcW w:w="7787" w:type="dxa"/>
            <w:tcBorders/>
            <w:tcMar>
              <w:top w:w="15" w:type="dxa"/>
              <w:left w:w="15" w:type="dxa"/>
              <w:bottom w:w="15" w:type="dxa"/>
              <w:right w:w="15" w:type="dxa"/>
            </w:tcMar>
            <w:vAlign w:val="center"/>
          </w:tcPr>
          <w:p>
            <w:pPr>
              <w:spacing w:before="0" w:after="0"/>
              <w:ind w:left="0"/>
              <w:jc w:val="left"/>
            </w:pPr>
            <w:r>
              <w:br/>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g.</w:t>
            </w:r>
          </w:p>
        </w:tc>
        <w:tc>
          <w:tcPr>
            <w:tcW w:w="488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rules of force majeure (</w:t>
            </w:r>
            <w:r>
              <w:rPr>
                <w:rFonts w:ascii="Times New Roman" w:hAnsi="Times New Roman"/>
                <w:b w:val="false"/>
                <w:i/>
                <w:color w:val="000000"/>
                <w:sz w:val="20"/>
              </w:rPr>
              <w:t>niet toerekenbare tekortkoming</w:t>
            </w:r>
            <w:r>
              <w:rPr>
                <w:rFonts w:ascii="Times New Roman" w:hAnsi="Times New Roman"/>
                <w:b w:val="false"/>
                <w:i w:val="false"/>
                <w:color w:val="000000"/>
                <w:sz w:val="20"/>
              </w:rPr>
              <w:t>), reasonableness and fairness (</w:t>
            </w:r>
            <w:r>
              <w:rPr>
                <w:rFonts w:ascii="Times New Roman" w:hAnsi="Times New Roman"/>
                <w:b w:val="false"/>
                <w:i/>
                <w:color w:val="000000"/>
                <w:sz w:val="20"/>
              </w:rPr>
              <w:t>redelijkheid en billijkheid</w:t>
            </w:r>
            <w:r>
              <w:rPr>
                <w:rFonts w:ascii="Times New Roman" w:hAnsi="Times New Roman"/>
                <w:b w:val="false"/>
                <w:i w:val="false"/>
                <w:color w:val="000000"/>
                <w:sz w:val="20"/>
              </w:rPr>
              <w:t>), suspension (</w:t>
            </w:r>
            <w:r>
              <w:rPr>
                <w:rFonts w:ascii="Times New Roman" w:hAnsi="Times New Roman"/>
                <w:b w:val="false"/>
                <w:i/>
                <w:color w:val="000000"/>
                <w:sz w:val="20"/>
              </w:rPr>
              <w:t>opschorting</w:t>
            </w:r>
            <w:r>
              <w:rPr>
                <w:rFonts w:ascii="Times New Roman" w:hAnsi="Times New Roman"/>
                <w:b w:val="false"/>
                <w:i w:val="false"/>
                <w:color w:val="000000"/>
                <w:sz w:val="20"/>
              </w:rPr>
              <w:t>), dissolution (</w:t>
            </w:r>
            <w:r>
              <w:rPr>
                <w:rFonts w:ascii="Times New Roman" w:hAnsi="Times New Roman"/>
                <w:b w:val="false"/>
                <w:i/>
                <w:color w:val="000000"/>
                <w:sz w:val="20"/>
              </w:rPr>
              <w:t>ontbinding</w:t>
            </w:r>
            <w:r>
              <w:rPr>
                <w:rFonts w:ascii="Times New Roman" w:hAnsi="Times New Roman"/>
                <w:b w:val="false"/>
                <w:i w:val="false"/>
                <w:color w:val="000000"/>
                <w:sz w:val="20"/>
              </w:rPr>
              <w:t>), unforeseen circumstances (</w:t>
            </w:r>
            <w:r>
              <w:rPr>
                <w:rFonts w:ascii="Times New Roman" w:hAnsi="Times New Roman"/>
                <w:b w:val="false"/>
                <w:i/>
                <w:color w:val="000000"/>
                <w:sz w:val="20"/>
              </w:rPr>
              <w:t>onvoorziene omstandigheden</w:t>
            </w:r>
            <w:r>
              <w:rPr>
                <w:rFonts w:ascii="Times New Roman" w:hAnsi="Times New Roman"/>
                <w:b w:val="false"/>
                <w:i w:val="false"/>
                <w:color w:val="000000"/>
                <w:sz w:val="20"/>
              </w:rPr>
              <w:t>) and vitiated consent (i.e., duress (</w:t>
            </w:r>
            <w:r>
              <w:rPr>
                <w:rFonts w:ascii="Times New Roman" w:hAnsi="Times New Roman"/>
                <w:b w:val="false"/>
                <w:i/>
                <w:color w:val="000000"/>
                <w:sz w:val="20"/>
              </w:rPr>
              <w:t>bedreiging</w:t>
            </w:r>
            <w:r>
              <w:rPr>
                <w:rFonts w:ascii="Times New Roman" w:hAnsi="Times New Roman"/>
                <w:b w:val="false"/>
                <w:i w:val="false"/>
                <w:color w:val="000000"/>
                <w:sz w:val="20"/>
              </w:rPr>
              <w:t>), fraud (</w:t>
            </w:r>
            <w:r>
              <w:rPr>
                <w:rFonts w:ascii="Times New Roman" w:hAnsi="Times New Roman"/>
                <w:b w:val="false"/>
                <w:i/>
                <w:color w:val="000000"/>
                <w:sz w:val="20"/>
              </w:rPr>
              <w:t>bedrog</w:t>
            </w:r>
            <w:r>
              <w:rPr>
                <w:rFonts w:ascii="Times New Roman" w:hAnsi="Times New Roman"/>
                <w:b w:val="false"/>
                <w:i w:val="false"/>
                <w:color w:val="000000"/>
                <w:sz w:val="20"/>
              </w:rPr>
              <w:t>), abuse of circumstances (</w:t>
            </w:r>
            <w:r>
              <w:rPr>
                <w:rFonts w:ascii="Times New Roman" w:hAnsi="Times New Roman"/>
                <w:b w:val="false"/>
                <w:i/>
                <w:color w:val="000000"/>
                <w:sz w:val="20"/>
              </w:rPr>
              <w:t>misbruik van omstandigheden</w:t>
            </w:r>
            <w:r>
              <w:rPr>
                <w:rFonts w:ascii="Times New Roman" w:hAnsi="Times New Roman"/>
                <w:b w:val="false"/>
                <w:i w:val="false"/>
                <w:color w:val="000000"/>
                <w:sz w:val="20"/>
              </w:rPr>
              <w:t>) and error (</w:t>
            </w:r>
            <w:r>
              <w:rPr>
                <w:rFonts w:ascii="Times New Roman" w:hAnsi="Times New Roman"/>
                <w:b w:val="false"/>
                <w:i/>
                <w:color w:val="000000"/>
                <w:sz w:val="20"/>
              </w:rPr>
              <w:t>dwaling</w:t>
            </w:r>
            <w:r>
              <w:rPr>
                <w:rFonts w:ascii="Times New Roman" w:hAnsi="Times New Roman"/>
                <w:b w:val="false"/>
                <w:i w:val="false"/>
                <w:color w:val="000000"/>
                <w:sz w:val="20"/>
              </w:rPr>
              <w:t>)) or a difference of intention (</w:t>
            </w:r>
            <w:r>
              <w:rPr>
                <w:rFonts w:ascii="Times New Roman" w:hAnsi="Times New Roman"/>
                <w:b w:val="false"/>
                <w:i/>
                <w:color w:val="000000"/>
                <w:sz w:val="20"/>
              </w:rPr>
              <w:t>wil</w:t>
            </w:r>
            <w:r>
              <w:rPr>
                <w:rFonts w:ascii="Times New Roman" w:hAnsi="Times New Roman"/>
                <w:b w:val="false"/>
                <w:i w:val="false"/>
                <w:color w:val="000000"/>
                <w:sz w:val="20"/>
              </w:rPr>
              <w:t>) and declaration (</w:t>
            </w:r>
            <w:r>
              <w:rPr>
                <w:rFonts w:ascii="Times New Roman" w:hAnsi="Times New Roman"/>
                <w:b w:val="false"/>
                <w:i/>
                <w:color w:val="000000"/>
                <w:sz w:val="20"/>
              </w:rPr>
              <w:t>verklaring</w:t>
            </w:r>
            <w:r>
              <w:rPr>
                <w:rFonts w:ascii="Times New Roman" w:hAnsi="Times New Roman"/>
                <w:b w:val="false"/>
                <w:i w:val="false"/>
                <w:color w:val="000000"/>
                <w:sz w:val="20"/>
              </w:rPr>
              <w:t xml:space="preserve">). </w:t>
            </w:r>
          </w:p>
        </w:tc>
      </w:tr>
    </w:tbl>
    <w:bookmarkEnd w:id="26"/>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d8ef2197021a45e491c703857dae00e4" w:id="27"/>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1560"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E.</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term “non-assessable” has no equivalent in the Dutch language and for purposes of this opinion letter such term should be interpreted to mean that a holder of an Ordinary Share shall not by reason of merely being such a holder be subject to assessment or calls by the Company or its creditors for further payment on such Ordinary Share. </w:t>
            </w:r>
          </w:p>
        </w:tc>
      </w:tr>
    </w:tbl>
    <w:bookmarkEnd w:id="27"/>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fa392f3e10594bb59323f4e2263cc556" w:id="28"/>
    <w:tbl>
      <w:tblPr>
        <w:tblW w:w="0" w:type="auto"/>
        <w:tblCellSpacing w:w="0" w:type="dxa"/>
        <w:tblBorders>
          <w:top w:val="none"/>
          <w:left w:val="none"/>
          <w:bottom w:val="none"/>
          <w:right w:val="none"/>
          <w:insideH w:val="none"/>
          <w:insideV w:val="none"/>
        </w:tblBorders>
      </w:tblPr>
      <w:tblGrid>
        <w:gridCol w:w="6827"/>
        <w:gridCol w:w="960"/>
        <w:gridCol w:w="5847"/>
      </w:tblGrid>
      <w:tr>
        <w:trPr>
          <w:trHeight w:val="885" w:hRule="atLeast"/>
        </w:trPr>
        <w:tc>
          <w:tcPr>
            <w:tcW w:w="682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96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F.</w:t>
            </w:r>
          </w:p>
        </w:tc>
        <w:tc>
          <w:tcPr>
            <w:tcW w:w="584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This opinion letter does not purport to express any opinion or view on the operational rules and procedures of any clearing or settlement system or agency. </w:t>
            </w:r>
          </w:p>
        </w:tc>
      </w:tr>
    </w:tbl>
    <w:bookmarkEnd w:id="28"/>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both"/>
      </w:pPr>
      <w:r>
        <w:rPr>
          <w:rFonts w:ascii="Times New Roman" w:hAnsi="Times New Roman"/>
          <w:b w:val="false"/>
          <w:i w:val="false"/>
          <w:color w:val="000000"/>
          <w:sz w:val="20"/>
        </w:rPr>
        <w:t xml:space="preserve"> We consent to the filing of this opinion letter as an exhibit to the Registration Statement and also consent to the reference to NautaDutilh in the Registration Statement under the caption “Legal Matters”. In giving this consent we do not admit or imply that we are a person whose consent is required under Section 7 of the United States Securities Act of 1933, as amended, or any rules and regulations promulgated thereunder.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bookmarkStart w:name="z4c48377978c64acf93f6286c59c4fec9" w:id="29"/>
    <w:tbl>
      <w:tblPr>
        <w:tblW w:w="0" w:type="auto"/>
        <w:tblCellSpacing w:w="0" w:type="dxa"/>
        <w:tblBorders>
          <w:top w:val="none"/>
          <w:left w:val="none"/>
          <w:bottom w:val="none"/>
          <w:right w:val="none"/>
          <w:insideH w:val="none"/>
          <w:insideV w:val="none"/>
        </w:tblBorders>
      </w:tblPr>
      <w:tblGrid>
        <w:gridCol w:w="5221"/>
        <w:gridCol w:w="1596"/>
        <w:gridCol w:w="6817"/>
      </w:tblGrid>
      <w:tr>
        <w:trPr>
          <w:trHeight w:val="435" w:hRule="atLeast"/>
        </w:trPr>
        <w:tc>
          <w:tcPr>
            <w:tcW w:w="522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596"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Sincerely yours,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522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59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10" w:hRule="atLeast"/>
        </w:trPr>
        <w:tc>
          <w:tcPr>
            <w:tcW w:w="522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59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55" w:hRule="atLeast"/>
        </w:trPr>
        <w:tc>
          <w:tcPr>
            <w:tcW w:w="522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4"/>
              </w:rPr>
              <w:t xml:space="preserve"> /s/ NautaDutilh N.V. </w:t>
            </w:r>
          </w:p>
        </w:tc>
      </w:tr>
    </w:tbl>
    <w:bookmarkEnd w:id="29"/>
    <w:p>
      <w:pPr>
        <w:spacing w:before="0"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20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200"/>
        <w:ind w:left="120"/>
        <w:jc w:val="center"/>
      </w:pPr>
      <w:r>
        <w:rPr>
          <w:rFonts w:ascii="Times New Roman" w:hAnsi="Times New Roman"/>
          <w:b w:val="false"/>
          <w:i w:val="false"/>
          <w:color w:val="000000"/>
          <w:sz w:val="20"/>
        </w:rPr>
        <w:t xml:space="preserve"> 7 </w:t>
      </w:r>
    </w:p>
    <w:p>
      <w:pPr>
        <w:spacing w:before="0" w:after="0"/>
        <w:ind w:left="5240"/>
        <w:jc w:val="left"/>
      </w:pPr>
      <w:r>
        <w:rPr>
          <w:rFonts w:ascii="Times New Roman" w:hAnsi="Times New Roman"/>
          <w:b/>
          <w:i w:val="false"/>
          <w:color w:val="000000"/>
          <w:sz w:val="20"/>
        </w:rPr>
        <w:t xml:space="preserve"> EXHIBIT A </w: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5240"/>
        <w:jc w:val="left"/>
      </w:pPr>
      <w:r>
        <w:rPr>
          <w:rFonts w:ascii="Times New Roman" w:hAnsi="Times New Roman"/>
          <w:b/>
          <w:i w:val="false"/>
          <w:color w:val="000000"/>
          <w:sz w:val="20"/>
        </w:rPr>
        <w:t xml:space="preserve"> LIST OF DEFINITIONS </w:t>
      </w:r>
    </w:p>
    <w:p>
      <w:pPr>
        <w:spacing w:before="0" w:after="0"/>
        <w:ind w:left="5240"/>
        <w:jc w:val="left"/>
      </w:pPr>
      <w:r>
        <w:rPr>
          <w:rFonts w:ascii="Times New Roman" w:hAnsi="Times New Roman"/>
          <w:b/>
          <w:i w:val="false"/>
          <w:color w:val="000000"/>
          <w:sz w:val="20"/>
        </w:rPr>
        <w:t xml:space="preserve"> </w:t>
      </w:r>
      <w:r>
        <w:br/>
      </w:r>
      <w:r>
        <w:rPr>
          <w:rFonts w:ascii="Times New Roman" w:hAnsi="Times New Roman"/>
          <w:b/>
          <w:i w:val="false"/>
          <w:color w:val="000000"/>
          <w:sz w:val="20"/>
        </w:rPr>
        <w:t xml:space="preserve"> </w:t>
      </w:r>
    </w:p>
    <w:bookmarkStart w:name="z900dfd053b814113b9d08fca37110bba" w:id="30"/>
    <w:tbl>
      <w:tblPr>
        <w:tblW w:w="0" w:type="auto"/>
        <w:tblCellSpacing w:w="0" w:type="dxa"/>
        <w:tblBorders>
          <w:top w:val="none"/>
          <w:left w:val="none"/>
          <w:bottom w:val="none"/>
          <w:right w:val="none"/>
          <w:insideH w:val="none"/>
          <w:insideV w:val="none"/>
        </w:tblBorders>
      </w:tblPr>
      <w:tblGrid>
        <w:gridCol w:w="3390"/>
        <w:gridCol w:w="1476"/>
        <w:gridCol w:w="272"/>
        <w:gridCol w:w="1679"/>
        <w:gridCol w:w="6817"/>
      </w:tblGrid>
      <w:tr>
        <w:trPr>
          <w:trHeight w:val="915"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Anti Money Laundering Law</w:t>
            </w:r>
            <w:r>
              <w:rPr>
                <w:rFonts w:ascii="Times New Roman" w:hAnsi="Times New Roman"/>
                <w:b w:val="false"/>
                <w:i w:val="false"/>
                <w:color w:val="000000"/>
                <w:sz w:val="20"/>
              </w:rPr>
              <w:t xml:space="preserve">s”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xml:space="preserve"> The </w:t>
            </w:r>
            <w:r>
              <w:rPr>
                <w:rFonts w:ascii="Times New Roman" w:hAnsi="Times New Roman"/>
                <w:b w:val="false"/>
                <w:i w:val="false"/>
                <w:color w:val="000000"/>
                <w:sz w:val="20"/>
              </w:rPr>
              <w:t>European</w:t>
            </w:r>
            <w:r>
              <w:rPr>
                <w:rFonts w:ascii="Times New Roman" w:hAnsi="Times New Roman"/>
                <w:b w:val="false"/>
                <w:i w:val="false"/>
                <w:color w:val="000000"/>
                <w:sz w:val="20"/>
              </w:rPr>
              <w:t xml:space="preserve"> Anti-Money Laundering Directives, as implemented in the Netherlands in the Money Laundering and Terrorist Financing Prevention Act (</w:t>
            </w:r>
            <w:r>
              <w:rPr>
                <w:rFonts w:ascii="Times New Roman" w:hAnsi="Times New Roman"/>
                <w:b w:val="false"/>
                <w:i/>
                <w:color w:val="000000"/>
                <w:sz w:val="20"/>
              </w:rPr>
              <w:t>Wet ter voorkoming van witwassen en financieren van terrorisme</w:t>
            </w:r>
            <w:r>
              <w:rPr>
                <w:rFonts w:ascii="Times New Roman" w:hAnsi="Times New Roman"/>
                <w:b w:val="false"/>
                <w:i w:val="false"/>
                <w:color w:val="000000"/>
                <w:sz w:val="20"/>
              </w:rPr>
              <w:t>)</w:t>
            </w:r>
            <w:r>
              <w:rPr>
                <w:rFonts w:ascii="Times New Roman" w:hAnsi="Times New Roman"/>
                <w:b w:val="false"/>
                <w:i/>
                <w:color w:val="000000"/>
                <w:sz w:val="20"/>
              </w:rPr>
              <w:t> </w:t>
            </w:r>
            <w:r>
              <w:rPr>
                <w:rFonts w:ascii="Times New Roman" w:hAnsi="Times New Roman"/>
                <w:b w:val="false"/>
                <w:i w:val="false"/>
                <w:color w:val="000000"/>
                <w:sz w:val="20"/>
              </w:rPr>
              <w:t>and the Dutch Criminal Code (</w:t>
            </w:r>
            <w:r>
              <w:rPr>
                <w:rFonts w:ascii="Times New Roman" w:hAnsi="Times New Roman"/>
                <w:b w:val="false"/>
                <w:i/>
                <w:color w:val="000000"/>
                <w:sz w:val="20"/>
              </w:rPr>
              <w:t>Wetboek van Strafrecht</w:t>
            </w:r>
            <w:r>
              <w:rPr>
                <w:rFonts w:ascii="Times New Roman" w:hAnsi="Times New Roman"/>
                <w:b w:val="false"/>
                <w:i w:val="false"/>
                <w:color w:val="000000"/>
                <w:sz w:val="20"/>
              </w:rPr>
              <w:t>).</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69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Anti-Boycott Regulation</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Council Regulation (EC) No 2271/96 of 22 November 1996 on protecting against the effects of the extra-territorial application of legislation adopted by a third country, and actions based thereon or resulting therefrom.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675"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Articles of Association</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Company’s articles of association (</w:t>
            </w:r>
            <w:r>
              <w:rPr>
                <w:rFonts w:ascii="Times New Roman" w:hAnsi="Times New Roman"/>
                <w:b w:val="false"/>
                <w:i/>
                <w:color w:val="000000"/>
                <w:sz w:val="20"/>
              </w:rPr>
              <w:t>statuten</w:t>
            </w:r>
            <w:r>
              <w:rPr>
                <w:rFonts w:ascii="Times New Roman" w:hAnsi="Times New Roman"/>
                <w:b w:val="false"/>
                <w:i w:val="false"/>
                <w:color w:val="000000"/>
                <w:sz w:val="20"/>
              </w:rPr>
              <w:t xml:space="preserve">) as they read from time to time.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675"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Bankruptcy Code</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Dutch Bankruptcy Code (</w:t>
            </w:r>
            <w:r>
              <w:rPr>
                <w:rFonts w:ascii="Times New Roman" w:hAnsi="Times New Roman"/>
                <w:b w:val="false"/>
                <w:i/>
                <w:color w:val="000000"/>
                <w:sz w:val="20"/>
              </w:rPr>
              <w:t>Faillissementswet</w:t>
            </w:r>
            <w:r>
              <w:rPr>
                <w:rFonts w:ascii="Times New Roman" w:hAnsi="Times New Roman"/>
                <w:b w:val="false"/>
                <w:i w:val="false"/>
                <w:color w:val="000000"/>
                <w:sz w:val="20"/>
              </w:rPr>
              <w:t xml:space="preserve">).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675"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Commercial Register</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Dutch Commercial Register (</w:t>
            </w:r>
            <w:r>
              <w:rPr>
                <w:rFonts w:ascii="Times New Roman" w:hAnsi="Times New Roman"/>
                <w:b w:val="false"/>
                <w:i/>
                <w:color w:val="000000"/>
                <w:sz w:val="20"/>
              </w:rPr>
              <w:t>handelsregister</w:t>
            </w:r>
            <w:r>
              <w:rPr>
                <w:rFonts w:ascii="Times New Roman" w:hAnsi="Times New Roman"/>
                <w:b w:val="false"/>
                <w:i w:val="false"/>
                <w:color w:val="000000"/>
                <w:sz w:val="20"/>
              </w:rPr>
              <w:t xml:space="preserve">).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35"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Company</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InflaRx N.V.</w:t>
            </w:r>
            <w:r>
              <w:rPr>
                <w:rFonts w:ascii="Times New Roman" w:hAnsi="Times New Roman"/>
                <w:b w:val="false"/>
                <w:i w:val="false"/>
                <w:color w:val="000000"/>
                <w:sz w:val="20"/>
              </w:rPr>
              <w:t>, registered with the Commercial Register under number 68904312.</w:t>
            </w:r>
            <w:r>
              <w:rPr>
                <w:rFonts w:ascii="Times New Roman" w:hAnsi="Times New Roman"/>
                <w:b w:val="false"/>
                <w:i w:val="false"/>
                <w:color w:val="000000"/>
                <w:sz w:val="20"/>
              </w:rPr>
              <w:t xml:space="preserve">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Corporate Documents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Deed of Incorporation, the Deed of Conversion and the Current Articles.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Current Articles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The Articles of Association as they read immediately after the execution of a deed of amendment dated </w:t>
            </w:r>
            <w:r>
              <w:rPr>
                <w:rFonts w:ascii="Times New Roman" w:hAnsi="Times New Roman"/>
                <w:b w:val="false"/>
                <w:i w:val="false"/>
                <w:color w:val="000000"/>
                <w:sz w:val="20"/>
              </w:rPr>
              <w:t xml:space="preserve">April 23, 2026.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25"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DCC</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Dutch Civil Code (</w:t>
            </w:r>
            <w:r>
              <w:rPr>
                <w:rFonts w:ascii="Times New Roman" w:hAnsi="Times New Roman"/>
                <w:b w:val="false"/>
                <w:i/>
                <w:color w:val="000000"/>
                <w:sz w:val="20"/>
              </w:rPr>
              <w:t>Burgerlijk Wetboek</w:t>
            </w:r>
            <w:r>
              <w:rPr>
                <w:rFonts w:ascii="Times New Roman" w:hAnsi="Times New Roman"/>
                <w:b w:val="false"/>
                <w:i w:val="false"/>
                <w:color w:val="000000"/>
                <w:sz w:val="20"/>
              </w:rPr>
              <w:t xml:space="preserve">).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Debt Securities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One or more series of debt securities issuable by the Company and registered pursuant to the Registration Statement. </w:t>
            </w:r>
          </w:p>
        </w:tc>
      </w:tr>
      <w:tr>
        <w:trPr>
          <w:trHeight w:val="210"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79" w:type="dxa"/>
            <w:tcBorders/>
            <w:tcMar>
              <w:top w:w="15" w:type="dxa"/>
              <w:left w:w="15" w:type="dxa"/>
              <w:bottom w:w="15" w:type="dxa"/>
              <w:right w:w="15" w:type="dxa"/>
            </w:tcMar>
            <w:vAlign w:val="top"/>
          </w:tcPr>
          <w:p>
            <w:pPr>
              <w:spacing w:before="0" w:after="0"/>
              <w:ind w:left="0"/>
              <w:jc w:val="left"/>
            </w:pP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675" w:hRule="atLeast"/>
        </w:trPr>
        <w:tc>
          <w:tcPr>
            <w:tcW w:w="339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Deed of Conversion</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The deed of conversion and amendment to the Articles of Association dated </w:t>
            </w:r>
            <w:r>
              <w:rPr>
                <w:rFonts w:ascii="Times New Roman" w:hAnsi="Times New Roman"/>
                <w:b w:val="false"/>
                <w:i w:val="false"/>
                <w:color w:val="000000"/>
                <w:sz w:val="20"/>
              </w:rPr>
              <w:t>November 8, 2017</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tc>
      </w:tr>
    </w:tbl>
    <w:bookmarkEnd w:id="30"/>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200"/>
        <w:ind w:left="120"/>
        <w:jc w:val="center"/>
      </w:pPr>
      <w:r>
        <w:rPr>
          <w:rFonts w:ascii="Times New Roman" w:hAnsi="Times New Roman"/>
          <w:b w:val="false"/>
          <w:i w:val="false"/>
          <w:color w:val="000000"/>
          <w:sz w:val="20"/>
        </w:rPr>
        <w:t xml:space="preserve"> 8 </w:t>
      </w:r>
    </w:p>
    <w:bookmarkStart w:name="z443d9a1f59814ae5b762a1df2580da82" w:id="31"/>
    <w:tbl>
      <w:tblPr>
        <w:tblW w:w="0" w:type="auto"/>
        <w:tblCellSpacing w:w="0" w:type="dxa"/>
        <w:tblBorders>
          <w:top w:val="none"/>
          <w:left w:val="none"/>
          <w:bottom w:val="none"/>
          <w:right w:val="none"/>
          <w:insideH w:val="none"/>
          <w:insideV w:val="none"/>
        </w:tblBorders>
      </w:tblPr>
      <w:tblGrid>
        <w:gridCol w:w="3212"/>
        <w:gridCol w:w="1602"/>
        <w:gridCol w:w="272"/>
        <w:gridCol w:w="1731"/>
        <w:gridCol w:w="6817"/>
      </w:tblGrid>
      <w:tr>
        <w:trPr>
          <w:trHeight w:val="675"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Deed of Incorporation</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Company’s deed of incorporation (</w:t>
            </w:r>
            <w:r>
              <w:rPr>
                <w:rFonts w:ascii="Times New Roman" w:hAnsi="Times New Roman"/>
                <w:b w:val="false"/>
                <w:i/>
                <w:color w:val="000000"/>
                <w:sz w:val="20"/>
              </w:rPr>
              <w:t>akte van oprichting</w:t>
            </w:r>
            <w:r>
              <w:rPr>
                <w:rFonts w:ascii="Times New Roman" w:hAnsi="Times New Roman"/>
                <w:b w:val="false"/>
                <w:i w:val="false"/>
                <w:color w:val="000000"/>
                <w:sz w:val="20"/>
              </w:rPr>
              <w:t xml:space="preserve">) dated </w:t>
            </w:r>
            <w:r>
              <w:rPr>
                <w:rFonts w:ascii="Times New Roman" w:hAnsi="Times New Roman"/>
                <w:b w:val="false"/>
                <w:i w:val="false"/>
                <w:color w:val="000000"/>
                <w:sz w:val="20"/>
              </w:rPr>
              <w:t xml:space="preserve">June 6, 2017. </w:t>
            </w:r>
          </w:p>
        </w:tc>
      </w:tr>
      <w:tr>
        <w:trPr>
          <w:trHeight w:val="21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73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66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eIDAS Regulation</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Regulation (EU) No 910/2014 of the European Parliament and of the Council of 23 July 2014 on electronic identification and trust services for electronic transactions in the internal market and repealing Directive 1999/93/EC. </w:t>
            </w:r>
          </w:p>
        </w:tc>
      </w:tr>
      <w:tr>
        <w:trPr>
          <w:trHeight w:val="21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73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1335"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Insolvency Proceedings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Any insolvency proceedings within the meaning of Regulation (EU) 2015/848 of the European Parliament and of the Council of 20 May 2015 on insolvency proceedings (recast), as amended by Regulation (EU) 2021/2260 of the European Parliament and of the Counsel of 15 December 2021, listed in Annex A thereto and any statutory proceedings for the restructuring of debts (</w:t>
            </w:r>
            <w:r>
              <w:rPr>
                <w:rFonts w:ascii="Times New Roman" w:hAnsi="Times New Roman"/>
                <w:b w:val="false"/>
                <w:i/>
                <w:color w:val="000000"/>
                <w:sz w:val="20"/>
              </w:rPr>
              <w:t>akkoordprocedure</w:t>
            </w:r>
            <w:r>
              <w:rPr>
                <w:rFonts w:ascii="Times New Roman" w:hAnsi="Times New Roman"/>
                <w:b w:val="false"/>
                <w:i w:val="false"/>
                <w:color w:val="000000"/>
                <w:sz w:val="20"/>
              </w:rPr>
              <w:t xml:space="preserve">) pursuant to the Bankruptcy Code. </w:t>
            </w:r>
          </w:p>
        </w:tc>
      </w:tr>
      <w:tr>
        <w:trPr>
          <w:trHeight w:val="21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73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NautaDutilh</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NautaDutilh N.V. </w:t>
            </w:r>
          </w:p>
        </w:tc>
      </w:tr>
      <w:tr>
        <w:trPr>
          <w:trHeight w:val="21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73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the Netherlands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European territory of the Kingdom of the Netherlands and “</w:t>
            </w:r>
            <w:r>
              <w:rPr>
                <w:rFonts w:ascii="Times New Roman" w:hAnsi="Times New Roman"/>
                <w:b/>
                <w:i w:val="false"/>
                <w:color w:val="000000"/>
                <w:sz w:val="20"/>
              </w:rPr>
              <w:t>Dutch</w:t>
            </w:r>
            <w:r>
              <w:rPr>
                <w:rFonts w:ascii="Times New Roman" w:hAnsi="Times New Roman"/>
                <w:b w:val="false"/>
                <w:i w:val="false"/>
                <w:color w:val="000000"/>
                <w:sz w:val="20"/>
              </w:rPr>
              <w:t xml:space="preserve">” is in or from the Netherlands. </w:t>
            </w:r>
          </w:p>
        </w:tc>
      </w:tr>
      <w:tr>
        <w:trPr>
          <w:trHeight w:val="21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73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Ordinary Shares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Ordinary shares in the Company’s capital, with a nominal value of EUR </w:t>
            </w:r>
            <w:r>
              <w:rPr>
                <w:rFonts w:ascii="Times New Roman" w:hAnsi="Times New Roman"/>
                <w:b w:val="false"/>
                <w:i w:val="false"/>
                <w:color w:val="000000"/>
                <w:sz w:val="20"/>
              </w:rPr>
              <w:t>0.12</w:t>
            </w:r>
            <w:r>
              <w:rPr>
                <w:rFonts w:ascii="Times New Roman" w:hAnsi="Times New Roman"/>
                <w:b w:val="false"/>
                <w:i w:val="false"/>
                <w:color w:val="000000"/>
                <w:sz w:val="20"/>
              </w:rPr>
              <w:t xml:space="preserve"> each.</w:t>
            </w:r>
            <w:r>
              <w:rPr>
                <w:rFonts w:ascii="Times New Roman" w:hAnsi="Times New Roman"/>
                <w:b w:val="false"/>
                <w:i w:val="false"/>
                <w:color w:val="000000"/>
                <w:sz w:val="20"/>
              </w:rPr>
              <w:t xml:space="preserve"> </w:t>
            </w:r>
          </w:p>
        </w:tc>
      </w:tr>
      <w:tr>
        <w:trPr>
          <w:trHeight w:val="21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73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66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PRIIPs Regulation</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Regulation (EU) No 1286/2014 of the European Parliament and of the Council of 26 November 2014 on key information documents for packaged retail and insurance-based investment products (PRIIPs). </w:t>
            </w:r>
          </w:p>
        </w:tc>
      </w:tr>
      <w:tr>
        <w:trPr>
          <w:trHeight w:val="210"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731"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885" w:hRule="atLeast"/>
        </w:trPr>
        <w:tc>
          <w:tcPr>
            <w:tcW w:w="321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602"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Prospectus Regulation</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Regulation (EU) 2017/1129 of the European Parliament and of the Council of 14 June 2017 on the prospectus to be published when securities are offered to the public or admitted to trading on a regulated market, and repealing Directive 2003/71/EC. </w:t>
            </w:r>
          </w:p>
        </w:tc>
      </w:tr>
    </w:tbl>
    <w:bookmarkEnd w:id="31"/>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center"/>
      </w:pPr>
      <w:r>
        <w:rPr>
          <w:rFonts w:ascii="Times New Roman" w:hAnsi="Times New Roman"/>
          <w:b w:val="false"/>
          <w:i w:val="false"/>
          <w:color w:val="000000"/>
          <w:sz w:val="20"/>
        </w:rPr>
        <w:t xml:space="preserve"> </w:t>
      </w:r>
      <w:r>
        <w:drawing>
          <wp:inline distT="0" distB="0" distL="0" distR="0">
            <wp:extent cx="223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35200" cy="2540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200"/>
        <w:ind w:left="120"/>
        <w:jc w:val="center"/>
      </w:pPr>
      <w:r>
        <w:rPr>
          <w:rFonts w:ascii="Times New Roman" w:hAnsi="Times New Roman"/>
          <w:b w:val="false"/>
          <w:i w:val="false"/>
          <w:color w:val="000000"/>
          <w:sz w:val="20"/>
        </w:rPr>
        <w:t xml:space="preserve"> 9 </w:t>
      </w:r>
    </w:p>
    <w:bookmarkStart w:name="z2df0276f080041989c76d521bcfa8e7a" w:id="32"/>
    <w:tbl>
      <w:tblPr>
        <w:tblW w:w="0" w:type="auto"/>
        <w:tblCellSpacing w:w="0" w:type="dxa"/>
        <w:tblBorders>
          <w:top w:val="none"/>
          <w:left w:val="none"/>
          <w:bottom w:val="none"/>
          <w:right w:val="none"/>
          <w:insideH w:val="none"/>
          <w:insideV w:val="none"/>
        </w:tblBorders>
      </w:tblPr>
      <w:tblGrid>
        <w:gridCol w:w="4202"/>
        <w:gridCol w:w="1476"/>
        <w:gridCol w:w="272"/>
        <w:gridCol w:w="867"/>
        <w:gridCol w:w="6817"/>
      </w:tblGrid>
      <w:tr>
        <w:trPr>
          <w:trHeight w:val="11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Purchase Contract</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 purchase contract entered into between the Company and the applicable counterparty for the purchase or sale of debt securities or equity securities or securities of third parties, a basket of such securities, an index or indices of such securities or any combination of such securities as specified in the applicable prospectus supplement. </w:t>
            </w:r>
            <w:r>
              <w:br/>
            </w:r>
            <w:r>
              <w:rPr>
                <w:rFonts w:ascii="Times New Roman" w:hAnsi="Times New Roman"/>
                <w:b w:val="false"/>
                <w:i w:val="false"/>
                <w:color w:val="000000"/>
                <w:sz w:val="20"/>
              </w:rPr>
              <w:t xml:space="preserve"> </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Registered Securities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Purchase Contracts, Debt Securities, Registered Shares, Units and Warrants. </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Registered Shares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The following Ordinary Shares: </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w:t>
            </w:r>
            <w:r>
              <w:rPr>
                <w:rFonts w:ascii="Times New Roman" w:hAnsi="Times New Roman"/>
                <w:b/>
                <w:i w:val="false"/>
                <w:color w:val="000000"/>
                <w:sz w:val="20"/>
              </w:rPr>
              <w:t>a.</w:t>
            </w:r>
            <w:r>
              <w:rPr>
                <w:rFonts w:ascii="Times New Roman" w:hAnsi="Times New Roman"/>
                <w:b w:val="false"/>
                <w:i w:val="false"/>
                <w:color w:val="000000"/>
                <w:sz w:val="1"/>
              </w:rPr>
              <w:t xml:space="preserve"> </w:t>
            </w:r>
            <w:r>
              <w:br/>
            </w:r>
          </w:p>
          <w:p>
            <w:pPr>
              <w:spacing w:before="0" w:after="0"/>
              <w:ind w:left="0"/>
              <w:jc w:val="both"/>
            </w:pPr>
            <w:r>
              <w:rPr>
                <w:rFonts w:ascii="Times New Roman" w:hAnsi="Times New Roman"/>
                <w:b w:val="false"/>
                <w:i w:val="false"/>
                <w:color w:val="000000"/>
                <w:sz w:val="20"/>
              </w:rPr>
              <w:t xml:space="preserve">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the Ordinary Shares registered pursuant to the Registration Statement; and</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35"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120"/>
              <w:jc w:val="left"/>
            </w:pPr>
            <w:r>
              <w:rPr>
                <w:rFonts w:ascii="Times New Roman" w:hAnsi="Times New Roman"/>
                <w:b/>
                <w:i w:val="false"/>
                <w:color w:val="000000"/>
                <w:sz w:val="20"/>
              </w:rPr>
              <w:t>b.</w:t>
            </w:r>
            <w:r>
              <w:rPr>
                <w:rFonts w:ascii="Times New Roman" w:hAnsi="Times New Roman"/>
                <w:b w:val="false"/>
                <w:i w:val="false"/>
                <w:color w:val="000000"/>
                <w:sz w:val="1"/>
              </w:rPr>
              <w:t xml:space="preserve"> </w:t>
            </w:r>
            <w:r>
              <w:br/>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the Ordinary Shares issuable pursuant to the conversion, exchange or exercise of other Registered Securities</w:t>
            </w:r>
            <w:r>
              <w:rPr>
                <w:rFonts w:ascii="Times New Roman" w:hAnsi="Times New Roman"/>
                <w:b w:val="false"/>
                <w:i w:val="false"/>
                <w:color w:val="000000"/>
                <w:sz w:val="20"/>
              </w:rPr>
              <w:t>.</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675"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Registration Statement</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Company’s registration statement on Form F-3 filed or to be filed with the SEC in the form reviewed by us. </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5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Relevant Moment</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Each time when one or more Registered Securities are issued by the Company. </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25"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SEC</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The United States Securities and Exchange Commission. </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11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Units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One or more series of units issuable by the Company and registered pursuant to the Registration Statement consisting of one or more Debt Securities, Registered Shares, Warrants, Purchase Contracts or any combination of such securities as specified in the applicable prospectus supplement. </w:t>
            </w:r>
          </w:p>
        </w:tc>
      </w:tr>
      <w:tr>
        <w:trPr>
          <w:trHeight w:val="210"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86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817"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885" w:hRule="atLeast"/>
        </w:trPr>
        <w:tc>
          <w:tcPr>
            <w:tcW w:w="420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47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Warrants</w:t>
            </w:r>
            <w:r>
              <w:rPr>
                <w:rFonts w:ascii="Times New Roman" w:hAnsi="Times New Roman"/>
                <w:b w:val="false"/>
                <w:i w:val="false"/>
                <w:color w:val="000000"/>
                <w:sz w:val="20"/>
              </w:rPr>
              <w:t xml:space="preserve">” </w:t>
            </w:r>
          </w:p>
        </w:tc>
        <w:tc>
          <w:tcPr>
            <w:tcW w:w="272"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0" w:type="auto"/>
            <w:gridSpan w:val="2"/>
            <w:tcBorders/>
            <w:tcMar>
              <w:top w:w="15" w:type="dxa"/>
              <w:left w:w="15" w:type="dxa"/>
              <w:bottom w:w="15" w:type="dxa"/>
              <w:right w:w="15" w:type="dxa"/>
            </w:tcMar>
            <w:vAlign w:val="top"/>
          </w:tcPr>
          <w:p>
            <w:pPr>
              <w:spacing w:before="0" w:after="0"/>
              <w:ind w:left="120"/>
              <w:jc w:val="both"/>
            </w:pPr>
            <w:r>
              <w:rPr>
                <w:rFonts w:ascii="Times New Roman" w:hAnsi="Times New Roman"/>
                <w:b w:val="false"/>
                <w:i w:val="false"/>
                <w:color w:val="000000"/>
                <w:sz w:val="20"/>
              </w:rPr>
              <w:t xml:space="preserve"> One or more series of warrants issuable by the Company and registered pursuant to the Registration Statement for the purchase of Debt Securities, Ordinary Shares or other securities as specified in the applicable prospectus supplement. </w:t>
            </w:r>
          </w:p>
        </w:tc>
      </w:tr>
    </w:tbl>
    <w:bookmarkEnd w:id="32"/>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br w:type="page"/>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EX-5.2 </w:t>
      </w:r>
      <w:r>
        <w:rPr>
          <w:rFonts w:ascii="Times New Roman" w:hAnsi="Times New Roman"/>
          <w:b w:val="false"/>
          <w:i w:val="false"/>
          <w:color w:val="000000"/>
          <w:sz w:val="20"/>
        </w:rPr>
        <w:t xml:space="preserve">5 </w:t>
      </w:r>
      <w:r>
        <w:rPr>
          <w:rFonts w:ascii="Times New Roman" w:hAnsi="Times New Roman"/>
          <w:b w:val="false"/>
          <w:i w:val="false"/>
          <w:color w:val="000000"/>
          <w:sz w:val="20"/>
        </w:rPr>
        <w:t xml:space="preserve">ny20075001x1_ex5-2.htm </w:t>
      </w:r>
      <w:r>
        <w:rPr>
          <w:rFonts w:ascii="Times New Roman" w:hAnsi="Times New Roman"/>
          <w:b w:val="false"/>
          <w:i w:val="false"/>
          <w:color w:val="000000"/>
          <w:sz w:val="20"/>
        </w:rPr>
        <w:t xml:space="preserve">EXHIBIT 5.2 </w:t>
      </w:r>
    </w:p>
    <w:p>
      <w:pPr>
        <w:spacing w:before="68" w:after="0"/>
        <w:ind w:left="120"/>
        <w:jc w:val="right"/>
      </w:pPr>
    </w:p>
    <w:p>
      <w:r>
        <w:pict>
          <v:rect style="width:0;height:1.5pt" id="_x0000_i1025" o:hr="t" o:hrstd="t" o:hralign="center" stroked="f" fillcolor="#a0a0a0"/>
        </w:pict>
      </w:r>
    </w:p>
    <w:p>
      <w:pPr>
        <w:spacing w:before="0" w:after="0"/>
        <w:ind w:left="120"/>
        <w:jc w:val="right"/>
      </w:pPr>
      <w:r>
        <w:rPr>
          <w:rFonts w:ascii="Times New Roman" w:hAnsi="Times New Roman"/>
          <w:b/>
          <w:i w:val="false"/>
          <w:color w:val="000000"/>
          <w:sz w:val="20"/>
        </w:rPr>
        <w:t>Exhibit 5.2</w:t>
      </w:r>
      <w:r>
        <w:rPr>
          <w:rFonts w:ascii="Times New Roman" w:hAnsi="Times New Roman"/>
          <w:b/>
          <w:i w:val="false"/>
          <w:color w:val="000000"/>
          <w:sz w:val="16"/>
        </w:rPr>
        <w:t xml:space="preserve"> </w:t>
      </w:r>
    </w:p>
    <w:p>
      <w:pPr>
        <w:spacing w:before="0" w:after="0"/>
        <w:ind w:left="120"/>
        <w:jc w:val="both"/>
      </w:pPr>
    </w:p>
    <w:p>
      <w:pPr>
        <w:spacing w:before="0" w:after="0"/>
        <w:ind w:left="120"/>
        <w:jc w:val="center"/>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8"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center"/>
      </w:pPr>
      <w:r>
        <w:rPr>
          <w:rFonts w:ascii="Times New Roman" w:hAnsi="Times New Roman"/>
          <w:b w:val="false"/>
          <w:i w:val="false"/>
          <w:color w:val="000000"/>
          <w:sz w:val="20"/>
        </w:rPr>
        <w:t xml:space="preserve"> </w:t>
      </w:r>
      <w:r>
        <w:drawing>
          <wp:inline distT="0" distB="0" distL="0" distR="0">
            <wp:extent cx="3556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0" cy="457200"/>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16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center"/>
      </w:pPr>
      <w:r>
        <w:rPr>
          <w:rFonts w:ascii="Times New Roman" w:hAnsi="Times New Roman"/>
          <w:b w:val="false"/>
          <w:i w:val="false"/>
          <w:color w:val="000000"/>
          <w:sz w:val="16"/>
        </w:rPr>
        <w:t xml:space="preserve"> 601 Lexington Avenue </w:t>
      </w:r>
    </w:p>
    <w:p>
      <w:pPr>
        <w:spacing w:before="0" w:after="0"/>
        <w:ind w:left="120"/>
        <w:jc w:val="both"/>
      </w:pPr>
    </w:p>
    <w:p>
      <w:pPr>
        <w:spacing w:before="0" w:after="0"/>
        <w:ind w:left="120"/>
        <w:jc w:val="center"/>
      </w:pPr>
      <w:r>
        <w:rPr>
          <w:rFonts w:ascii="Times New Roman" w:hAnsi="Times New Roman"/>
          <w:b w:val="false"/>
          <w:i w:val="false"/>
          <w:color w:val="000000"/>
          <w:sz w:val="16"/>
        </w:rPr>
        <w:t xml:space="preserve"> New York, NY 10022 </w:t>
      </w:r>
    </w:p>
    <w:p>
      <w:pPr>
        <w:spacing w:before="0" w:after="0"/>
        <w:ind w:left="120"/>
        <w:jc w:val="both"/>
      </w:pPr>
    </w:p>
    <w:p>
      <w:pPr>
        <w:spacing w:before="0" w:after="0"/>
        <w:ind w:left="120"/>
        <w:jc w:val="center"/>
      </w:pPr>
      <w:r>
        <w:rPr>
          <w:rFonts w:ascii="Times New Roman" w:hAnsi="Times New Roman"/>
          <w:b w:val="false"/>
          <w:i w:val="false"/>
          <w:color w:val="000000"/>
          <w:sz w:val="16"/>
        </w:rPr>
        <w:t xml:space="preserve"> United States </w:t>
      </w:r>
    </w:p>
    <w:p>
      <w:pPr>
        <w:spacing w:before="0" w:after="0"/>
        <w:ind w:left="120"/>
        <w:jc w:val="both"/>
      </w:pPr>
    </w:p>
    <w:p>
      <w:pPr>
        <w:spacing w:before="0" w:after="0"/>
        <w:ind w:left="5380"/>
        <w:jc w:val="center"/>
      </w:pPr>
      <w:r>
        <w:rPr>
          <w:rFonts w:ascii="Times New Roman" w:hAnsi="Times New Roman"/>
          <w:b w:val="false"/>
          <w:i w:val="false"/>
          <w:color w:val="000000"/>
          <w:sz w:val="16"/>
        </w:rPr>
        <w:t xml:space="preserve"> </w:t>
      </w:r>
      <w:r>
        <w:br/>
      </w:r>
      <w:r>
        <w:rPr>
          <w:rFonts w:ascii="Times New Roman" w:hAnsi="Times New Roman"/>
          <w:b w:val="false"/>
          <w:i w:val="false"/>
          <w:color w:val="000000"/>
          <w:sz w:val="16"/>
        </w:rPr>
        <w:t xml:space="preserve"> </w:t>
      </w:r>
    </w:p>
    <w:p>
      <w:pPr>
        <w:spacing w:before="0" w:after="0"/>
        <w:ind w:left="120"/>
        <w:jc w:val="both"/>
      </w:pPr>
    </w:p>
    <w:p>
      <w:pPr>
        <w:spacing w:before="0" w:after="0"/>
        <w:ind w:left="120"/>
        <w:jc w:val="center"/>
      </w:pPr>
      <w:r>
        <w:rPr>
          <w:rFonts w:ascii="Times New Roman" w:hAnsi="Times New Roman"/>
          <w:b w:val="false"/>
          <w:i w:val="false"/>
          <w:color w:val="000000"/>
          <w:sz w:val="16"/>
        </w:rPr>
        <w:t xml:space="preserve"> +1 212 446 4800 </w:t>
      </w:r>
    </w:p>
    <w:p>
      <w:pPr>
        <w:spacing w:before="0" w:after="0"/>
        <w:ind w:left="120"/>
        <w:jc w:val="both"/>
      </w:pPr>
    </w:p>
    <w:p>
      <w:pPr>
        <w:spacing w:before="0" w:after="0"/>
        <w:ind w:left="5390"/>
        <w:jc w:val="center"/>
      </w:pPr>
      <w:r>
        <w:rPr>
          <w:rFonts w:ascii="Times New Roman" w:hAnsi="Times New Roman"/>
          <w:b w:val="false"/>
          <w:i w:val="false"/>
          <w:color w:val="000000"/>
          <w:sz w:val="16"/>
        </w:rPr>
        <w:t xml:space="preserve"> </w:t>
      </w:r>
      <w:r>
        <w:br/>
      </w:r>
      <w:r>
        <w:rPr>
          <w:rFonts w:ascii="Times New Roman" w:hAnsi="Times New Roman"/>
          <w:b w:val="false"/>
          <w:i w:val="false"/>
          <w:color w:val="000000"/>
          <w:sz w:val="16"/>
        </w:rPr>
        <w:t xml:space="preserve"> </w:t>
      </w:r>
    </w:p>
    <w:p>
      <w:pPr>
        <w:spacing w:before="0" w:after="0"/>
        <w:ind w:left="120"/>
        <w:jc w:val="both"/>
      </w:pPr>
    </w:p>
    <w:p>
      <w:pPr>
        <w:spacing w:before="0" w:after="0"/>
        <w:ind w:left="120"/>
        <w:jc w:val="center"/>
      </w:pPr>
      <w:r>
        <w:rPr>
          <w:rFonts w:ascii="Times New Roman" w:hAnsi="Times New Roman"/>
          <w:b w:val="false"/>
          <w:i w:val="false"/>
          <w:color w:val="000000"/>
          <w:sz w:val="16"/>
        </w:rPr>
        <w:t xml:space="preserve"> www.kirkland.com </w:t>
      </w:r>
    </w:p>
    <w:p>
      <w:pPr>
        <w:spacing w:before="0" w:after="0"/>
        <w:ind w:left="120"/>
        <w:jc w:val="both"/>
      </w:pPr>
    </w:p>
    <w:p>
      <w:pPr>
        <w:spacing w:before="0" w:after="0"/>
        <w:ind w:left="5380"/>
        <w:jc w:val="center"/>
      </w:pPr>
      <w:r>
        <w:rPr>
          <w:rFonts w:ascii="Times New Roman" w:hAnsi="Times New Roman"/>
          <w:b w:val="false"/>
          <w:i w:val="false"/>
          <w:color w:val="000000"/>
          <w:sz w:val="16"/>
        </w:rPr>
        <w:t xml:space="preserve"> </w:t>
      </w:r>
      <w:r>
        <w:br/>
      </w:r>
      <w:r>
        <w:rPr>
          <w:rFonts w:ascii="Times New Roman" w:hAnsi="Times New Roman"/>
          <w:b w:val="false"/>
          <w:i w:val="false"/>
          <w:color w:val="000000"/>
          <w:sz w:val="16"/>
        </w:rPr>
        <w:t xml:space="preserve"> </w:t>
      </w:r>
    </w:p>
    <w:p>
      <w:pPr>
        <w:spacing w:before="0" w:after="0"/>
        <w:ind w:left="120"/>
        <w:jc w:val="both"/>
      </w:pPr>
    </w:p>
    <w:p>
      <w:pPr>
        <w:spacing w:before="0" w:after="0"/>
        <w:ind w:left="120"/>
        <w:jc w:val="center"/>
      </w:pPr>
      <w:r>
        <w:rPr>
          <w:rFonts w:ascii="Times New Roman" w:hAnsi="Times New Roman"/>
          <w:b w:val="false"/>
          <w:i w:val="false"/>
          <w:color w:val="000000"/>
          <w:sz w:val="16"/>
        </w:rPr>
        <w:t xml:space="preserve"> August 6, 2026 </w:t>
      </w:r>
    </w:p>
    <w:p>
      <w:pPr>
        <w:spacing w:before="0" w:after="0"/>
        <w:ind w:left="120"/>
        <w:jc w:val="both"/>
      </w:pPr>
    </w:p>
    <w:p>
      <w:pPr>
        <w:spacing w:before="35"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InflaRx N.V. </w:t>
      </w:r>
    </w:p>
    <w:p>
      <w:pPr>
        <w:spacing w:before="0" w:after="0"/>
        <w:ind w:left="120"/>
        <w:jc w:val="both"/>
      </w:pPr>
    </w:p>
    <w:p>
      <w:pPr>
        <w:spacing w:before="18" w:after="0"/>
        <w:ind w:left="120"/>
        <w:jc w:val="both"/>
      </w:pPr>
      <w:r>
        <w:rPr>
          <w:rFonts w:ascii="Times New Roman" w:hAnsi="Times New Roman"/>
          <w:b w:val="false"/>
          <w:i w:val="false"/>
          <w:color w:val="000000"/>
          <w:sz w:val="20"/>
        </w:rPr>
        <w:t xml:space="preserve"> Winzerlaer Str. 2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07745 Jena, Germany </w:t>
      </w:r>
    </w:p>
    <w:p>
      <w:pPr>
        <w:spacing w:before="0" w:after="0"/>
        <w:ind w:left="120"/>
        <w:jc w:val="both"/>
      </w:pPr>
    </w:p>
    <w:p>
      <w:pPr>
        <w:spacing w:before="35"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Re:</w:t>
      </w:r>
    </w:p>
    <w:p>
      <w:pPr>
        <w:spacing w:before="0" w:after="0"/>
        <w:ind w:left="0"/>
        <w:jc w:val="both"/>
      </w:pPr>
      <w:r>
        <w:rPr>
          <w:rFonts w:ascii="Times New Roman" w:hAnsi="Times New Roman"/>
          <w:b w:val="false"/>
          <w:i w:val="false"/>
          <w:color w:val="000000"/>
          <w:sz w:val="20"/>
          <w:u w:val="single"/>
        </w:rPr>
        <w:t>Registration Statement on Form F-3</w:t>
      </w:r>
      <w:r>
        <w:rPr>
          <w:rFonts w:ascii="Times New Roman" w:hAnsi="Times New Roman"/>
          <w:b w:val="false"/>
          <w:i w:val="false"/>
          <w:color w:val="000000"/>
          <w:sz w:val="20"/>
        </w:rPr>
        <w:t xml:space="preserve"> </w:t>
      </w:r>
    </w:p>
    <w:p>
      <w:pPr>
        <w:spacing w:before="0" w:after="0"/>
        <w:ind w:left="120"/>
        <w:jc w:val="both"/>
      </w:pPr>
    </w:p>
    <w:p>
      <w:pPr>
        <w:spacing w:before="35"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Ladies and Gentlemen: </w:t>
      </w:r>
    </w:p>
    <w:p>
      <w:pPr>
        <w:spacing w:before="0" w:after="0"/>
        <w:ind w:left="120"/>
        <w:jc w:val="both"/>
      </w:pPr>
    </w:p>
    <w:p>
      <w:pPr>
        <w:spacing w:before="35"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We are issuing this opinion letter in our capacity as special U.S. counsel to InflaRx N.V., a Dutch public company with limited liability (</w:t>
      </w:r>
      <w:r>
        <w:rPr>
          <w:rFonts w:ascii="Times New Roman" w:hAnsi="Times New Roman"/>
          <w:b w:val="false"/>
          <w:i/>
          <w:color w:val="000000"/>
          <w:sz w:val="20"/>
        </w:rPr>
        <w:t>naamloze vennootschap</w:t>
      </w:r>
      <w:r>
        <w:rPr>
          <w:rFonts w:ascii="Times New Roman" w:hAnsi="Times New Roman"/>
          <w:b w:val="false"/>
          <w:i w:val="false"/>
          <w:color w:val="000000"/>
          <w:sz w:val="20"/>
        </w:rPr>
        <w:t>) (the “</w:t>
      </w:r>
      <w:r>
        <w:rPr>
          <w:rFonts w:ascii="Times New Roman" w:hAnsi="Times New Roman"/>
          <w:b w:val="false"/>
          <w:i w:val="false"/>
          <w:color w:val="000000"/>
          <w:sz w:val="20"/>
          <w:u w:val="single"/>
        </w:rPr>
        <w:t>Company</w:t>
      </w:r>
      <w:r>
        <w:rPr>
          <w:rFonts w:ascii="Times New Roman" w:hAnsi="Times New Roman"/>
          <w:b w:val="false"/>
          <w:i w:val="false"/>
          <w:color w:val="000000"/>
          <w:sz w:val="20"/>
        </w:rPr>
        <w:t>”), in connection with the Registration Statement on Form F-3 (the “</w:t>
      </w:r>
      <w:r>
        <w:rPr>
          <w:rFonts w:ascii="Times New Roman" w:hAnsi="Times New Roman"/>
          <w:b w:val="false"/>
          <w:i w:val="false"/>
          <w:color w:val="000000"/>
          <w:sz w:val="20"/>
          <w:u w:val="single"/>
        </w:rPr>
        <w:t>Registration Statement</w:t>
      </w:r>
      <w:r>
        <w:rPr>
          <w:rFonts w:ascii="Times New Roman" w:hAnsi="Times New Roman"/>
          <w:b w:val="false"/>
          <w:i w:val="false"/>
          <w:color w:val="000000"/>
          <w:sz w:val="20"/>
        </w:rPr>
        <w:t>”) filed with the Securities and Exchange Commission (the “</w:t>
      </w:r>
      <w:r>
        <w:rPr>
          <w:rFonts w:ascii="Times New Roman" w:hAnsi="Times New Roman"/>
          <w:b w:val="false"/>
          <w:i w:val="false"/>
          <w:color w:val="000000"/>
          <w:sz w:val="20"/>
          <w:u w:val="single"/>
        </w:rPr>
        <w:t>Commission</w:t>
      </w:r>
      <w:r>
        <w:rPr>
          <w:rFonts w:ascii="Times New Roman" w:hAnsi="Times New Roman"/>
          <w:b w:val="false"/>
          <w:i w:val="false"/>
          <w:color w:val="000000"/>
          <w:sz w:val="20"/>
        </w:rPr>
        <w:t>”) by the Company on August 6, 2026 to register the offer and sale by the Company of up to $250,000,000 in initial offering price or number of: (i) ordinary shares, nominal value €0.12 per share (the “</w:t>
      </w:r>
      <w:r>
        <w:rPr>
          <w:rFonts w:ascii="Times New Roman" w:hAnsi="Times New Roman"/>
          <w:b w:val="false"/>
          <w:i w:val="false"/>
          <w:color w:val="000000"/>
          <w:sz w:val="20"/>
          <w:u w:val="single"/>
        </w:rPr>
        <w:t>Ordinary Shares</w:t>
      </w:r>
      <w:r>
        <w:rPr>
          <w:rFonts w:ascii="Times New Roman" w:hAnsi="Times New Roman"/>
          <w:b w:val="false"/>
          <w:i w:val="false"/>
          <w:color w:val="000000"/>
          <w:sz w:val="20"/>
        </w:rPr>
        <w:t>”), of the Company; (ii) senior debt securities (the “</w:t>
      </w:r>
      <w:r>
        <w:rPr>
          <w:rFonts w:ascii="Times New Roman" w:hAnsi="Times New Roman"/>
          <w:b w:val="false"/>
          <w:i w:val="false"/>
          <w:color w:val="000000"/>
          <w:sz w:val="20"/>
          <w:u w:val="single"/>
        </w:rPr>
        <w:t>Senior Debt Securities</w:t>
      </w:r>
      <w:r>
        <w:rPr>
          <w:rFonts w:ascii="Times New Roman" w:hAnsi="Times New Roman"/>
          <w:b w:val="false"/>
          <w:i w:val="false"/>
          <w:color w:val="000000"/>
          <w:sz w:val="20"/>
        </w:rPr>
        <w:t>”), which may be issued pursuant to an indenture (the “</w:t>
      </w:r>
      <w:r>
        <w:rPr>
          <w:rFonts w:ascii="Times New Roman" w:hAnsi="Times New Roman"/>
          <w:b w:val="false"/>
          <w:i w:val="false"/>
          <w:color w:val="000000"/>
          <w:sz w:val="20"/>
          <w:u w:val="single"/>
        </w:rPr>
        <w:t>Senior Indenture</w:t>
      </w:r>
      <w:r>
        <w:rPr>
          <w:rFonts w:ascii="Times New Roman" w:hAnsi="Times New Roman"/>
          <w:b w:val="false"/>
          <w:i w:val="false"/>
          <w:color w:val="000000"/>
          <w:sz w:val="20"/>
        </w:rPr>
        <w:t>”) to be executed by the Company and the trustee to be named therein; and subordinated debt securities (the “Subordinated Debt Securities” and, together with the Senior Debt Securities, the “</w:t>
      </w:r>
      <w:r>
        <w:rPr>
          <w:rFonts w:ascii="Times New Roman" w:hAnsi="Times New Roman"/>
          <w:b w:val="false"/>
          <w:i w:val="false"/>
          <w:color w:val="000000"/>
          <w:sz w:val="20"/>
          <w:u w:val="single"/>
        </w:rPr>
        <w:t>Debt</w:t>
      </w:r>
      <w:r>
        <w:rPr>
          <w:rFonts w:ascii="Times New Roman" w:hAnsi="Times New Roman"/>
          <w:b w:val="false"/>
          <w:i w:val="false"/>
          <w:color w:val="000000"/>
          <w:sz w:val="20"/>
        </w:rPr>
        <w:t> </w:t>
      </w:r>
      <w:r>
        <w:rPr>
          <w:rFonts w:ascii="Times New Roman" w:hAnsi="Times New Roman"/>
          <w:b w:val="false"/>
          <w:i w:val="false"/>
          <w:color w:val="000000"/>
          <w:sz w:val="20"/>
          <w:u w:val="single"/>
        </w:rPr>
        <w:t>Securities</w:t>
      </w:r>
      <w:r>
        <w:rPr>
          <w:rFonts w:ascii="Times New Roman" w:hAnsi="Times New Roman"/>
          <w:b w:val="false"/>
          <w:i w:val="false"/>
          <w:color w:val="000000"/>
          <w:sz w:val="20"/>
        </w:rPr>
        <w:t>”), which may be issued pursuant to an indenture (the “Subordinated Indenture” and, together with the Senior Indenture, the “</w:t>
      </w:r>
      <w:r>
        <w:rPr>
          <w:rFonts w:ascii="Times New Roman" w:hAnsi="Times New Roman"/>
          <w:b w:val="false"/>
          <w:i w:val="false"/>
          <w:color w:val="000000"/>
          <w:sz w:val="20"/>
          <w:u w:val="single"/>
        </w:rPr>
        <w:t>Indentures</w:t>
      </w:r>
      <w:r>
        <w:rPr>
          <w:rFonts w:ascii="Times New Roman" w:hAnsi="Times New Roman"/>
          <w:b w:val="false"/>
          <w:i w:val="false"/>
          <w:color w:val="000000"/>
          <w:sz w:val="20"/>
        </w:rPr>
        <w:t>”) to be executed by the Company and the trustee to be named therein; (iii) warrants or other rights to purchase or otherwise acquire Ordinary Shares or Debt Securities of the Company (the “</w:t>
      </w:r>
      <w:r>
        <w:rPr>
          <w:rFonts w:ascii="Times New Roman" w:hAnsi="Times New Roman"/>
          <w:b w:val="false"/>
          <w:i w:val="false"/>
          <w:color w:val="000000"/>
          <w:sz w:val="20"/>
          <w:u w:val="single"/>
        </w:rPr>
        <w:t>Warrants</w:t>
      </w:r>
      <w:r>
        <w:rPr>
          <w:rFonts w:ascii="Times New Roman" w:hAnsi="Times New Roman"/>
          <w:b w:val="false"/>
          <w:i w:val="false"/>
          <w:color w:val="000000"/>
          <w:sz w:val="20"/>
        </w:rPr>
        <w:t>”); (iv) purchase contracts (the “</w:t>
      </w:r>
      <w:r>
        <w:rPr>
          <w:rFonts w:ascii="Times New Roman" w:hAnsi="Times New Roman"/>
          <w:b w:val="false"/>
          <w:i w:val="false"/>
          <w:color w:val="000000"/>
          <w:sz w:val="20"/>
          <w:u w:val="single"/>
        </w:rPr>
        <w:t>Purchase Contracts</w:t>
      </w:r>
      <w:r>
        <w:rPr>
          <w:rFonts w:ascii="Times New Roman" w:hAnsi="Times New Roman"/>
          <w:b w:val="false"/>
          <w:i w:val="false"/>
          <w:color w:val="000000"/>
          <w:sz w:val="20"/>
        </w:rPr>
        <w:t>”) for the purchase or sale of the Company’s securities or securities of third parties, a basket of such securities, an index or indices of such securities or any combination of the above; and (v) units (the “</w:t>
      </w:r>
      <w:r>
        <w:rPr>
          <w:rFonts w:ascii="Times New Roman" w:hAnsi="Times New Roman"/>
          <w:b w:val="false"/>
          <w:i w:val="false"/>
          <w:color w:val="000000"/>
          <w:sz w:val="20"/>
          <w:u w:val="single"/>
        </w:rPr>
        <w:t>Units</w:t>
      </w:r>
      <w:r>
        <w:rPr>
          <w:rFonts w:ascii="Times New Roman" w:hAnsi="Times New Roman"/>
          <w:b w:val="false"/>
          <w:i w:val="false"/>
          <w:color w:val="000000"/>
          <w:sz w:val="20"/>
        </w:rPr>
        <w:t xml:space="preserve">”) consisting of one or more Ordinary Shares, Debt Securities, Warrants, Purchase Contracts or any combination of such securities.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For purposes of the opinions hereinafter expressed, we have examined the Registration Statement, copies of the forms of the Indentures and originals or copies, certified and otherwise identified to our satisfaction, of such other documents, corporate or limited liability company records, certificates of public officials and other instruments as we have deemed necessary as a basis for the opinions expressed herein. Insofar as the opinions expressed herein involve factual matters, we have relied (without independent factual investigation), to the extent we deemed proper or necessary, upon certificates of, and other communications with, officers and employees of the Company and upon certificates of public officials. </w:t>
      </w:r>
    </w:p>
    <w:p>
      <w:pPr>
        <w:spacing w:before="0" w:after="0"/>
        <w:ind w:left="120"/>
        <w:jc w:val="both"/>
      </w:pPr>
    </w:p>
    <w:p>
      <w:pPr>
        <w:spacing w:before="0" w:after="0"/>
        <w:ind w:left="395"/>
        <w:jc w:val="both"/>
      </w:pPr>
    </w:p>
    <w:p>
      <w:pPr>
        <w:spacing w:before="0" w:after="0"/>
        <w:ind w:left="120"/>
        <w:jc w:val="both"/>
      </w:pPr>
    </w:p>
    <w:p>
      <w:pPr>
        <w:spacing w:before="0" w:after="0"/>
        <w:ind w:left="120"/>
        <w:jc w:val="both"/>
      </w:pPr>
    </w:p>
    <w:p>
      <w:r>
        <w:pict>
          <v:rect style="width:0;height:1.5pt" id="_x0000_i1025" o:hr="t" o:hrstd="t" o:hralign="center" stroked="f" fillcolor="#a0a0a0"/>
        </w:pict>
      </w:r>
    </w:p>
    <w:p>
      <w:pPr>
        <w:spacing w:before="0" w:after="0"/>
        <w:ind w:left="120"/>
        <w:jc w:val="both"/>
      </w:pPr>
    </w:p>
    <w:p>
      <w:pPr>
        <w:spacing w:before="0" w:after="0"/>
        <w:ind w:left="120"/>
        <w:jc w:val="center"/>
      </w:pPr>
      <w:r>
        <w:rPr>
          <w:rFonts w:ascii="Times New Roman" w:hAnsi="Times New Roman"/>
          <w:b w:val="false"/>
          <w:i w:val="false"/>
          <w:color w:val="000000"/>
          <w:sz w:val="20"/>
        </w:rPr>
        <w:t xml:space="preserve"> </w:t>
      </w:r>
      <w:r>
        <w:drawing>
          <wp:inline distT="0" distB="0" distL="0" distR="0">
            <wp:extent cx="1647825" cy="1238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47825" cy="1238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InflaRx N.V. </w:t>
      </w:r>
      <w:r>
        <w:br/>
      </w:r>
      <w:r>
        <w:rPr>
          <w:rFonts w:ascii="Times New Roman" w:hAnsi="Times New Roman"/>
          <w:b w:val="false"/>
          <w:i w:val="false"/>
          <w:color w:val="000000"/>
          <w:sz w:val="20"/>
        </w:rPr>
        <w:t xml:space="preserve"> August 6, 2026 </w:t>
      </w:r>
      <w:r>
        <w:br/>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Page 2 </w:t>
      </w:r>
    </w:p>
    <w:p>
      <w:pPr>
        <w:spacing w:before="0" w:after="0"/>
        <w:ind w:left="120"/>
        <w:jc w:val="both"/>
      </w:pPr>
    </w:p>
    <w:p>
      <w:pPr>
        <w:spacing w:before="0" w:after="0"/>
        <w:ind w:left="395"/>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In connection with this opinion, we have assumed that: (i) the Registration Statement will have become effective under the Securities Act of 1933, as amended (the “</w:t>
      </w:r>
      <w:r>
        <w:rPr>
          <w:rFonts w:ascii="Times New Roman" w:hAnsi="Times New Roman"/>
          <w:b w:val="false"/>
          <w:i w:val="false"/>
          <w:color w:val="000000"/>
          <w:sz w:val="20"/>
          <w:u w:val="single"/>
        </w:rPr>
        <w:t>Act</w:t>
      </w:r>
      <w:r>
        <w:rPr>
          <w:rFonts w:ascii="Times New Roman" w:hAnsi="Times New Roman"/>
          <w:b w:val="false"/>
          <w:i w:val="false"/>
          <w:color w:val="000000"/>
          <w:sz w:val="20"/>
        </w:rPr>
        <w:t xml:space="preserve">”); (ii) a prospectus supplement will have been prepared and filed with the Commission describing the securities offered thereby; (iii) all offered securities will be issued and sold in compliance with applicable federal and state securities laws and in the manner stated in the Registration Statement and the applicable prospectus supplement; (iv) a definitive purchase, underwriting, sales agency or similar agreement with respect to the offered securities will have been duly authorized and validly executed and delivered by the Company and the other parties thereto; (v) any applicable indenture and indenture trustee will have been qualified under the Trust Indenture Act of 1939, as amended; and (vi) with respect to any Units, consisting of one or more Ordinary Shares, Debt Securities, Warrants, Purchase Contracts or any combination of such securities, such Units will be authorized, validly issued, fully paid and nonassessable (to the extent applicable). </w:t>
      </w:r>
    </w:p>
    <w:p>
      <w:pPr>
        <w:spacing w:before="0" w:after="0"/>
        <w:ind w:left="120"/>
        <w:jc w:val="both"/>
      </w:pPr>
    </w:p>
    <w:p>
      <w:pPr>
        <w:spacing w:before="20"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Based on the foregoing, and having regard for such legal considerations as we have deemed relevant, we advise you that: </w:t>
      </w:r>
    </w:p>
    <w:p>
      <w:pPr>
        <w:spacing w:before="0" w:after="0"/>
        <w:ind w:left="120"/>
        <w:jc w:val="both"/>
      </w:pPr>
    </w:p>
    <w:p>
      <w:pPr>
        <w:spacing w:before="35"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1"/>
        </w:rPr>
        <w:t> </w:t>
      </w:r>
    </w:p>
    <w:p>
      <w:pPr>
        <w:spacing w:before="1" w:after="0"/>
        <w:ind w:left="0"/>
        <w:jc w:val="left"/>
      </w:pPr>
      <w:r>
        <w:rPr>
          <w:rFonts w:ascii="Times New Roman" w:hAnsi="Times New Roman"/>
          <w:b w:val="false"/>
          <w:i w:val="false"/>
          <w:color w:val="000000"/>
          <w:sz w:val="20"/>
        </w:rPr>
        <w:t xml:space="preserve">1. </w:t>
      </w:r>
      <w:r>
        <w:rPr>
          <w:rFonts w:ascii="Times New Roman" w:hAnsi="Times New Roman"/>
          <w:b w:val="false"/>
          <w:i w:val="false"/>
          <w:color w:val="000000"/>
          <w:sz w:val="20"/>
        </w:rPr>
        <w:t xml:space="preserve">When the Debt Securities and the applicable Indenture have been authorized by appropriate corporate authorization, the applicable Indenture has been duly executed by the parties thereto, and the Debt Securities have been executed, authenticated and delivered in accordance with the applicable Indenture against payment therefor, the Debt Securities will be validly issued and will constitute binding obligations of the Company in accordance with their terms and the terms of the applicable Indenture. </w:t>
      </w:r>
    </w:p>
    <w:p>
      <w:pPr>
        <w:spacing w:before="0" w:after="0"/>
        <w:ind w:left="120"/>
        <w:jc w:val="both"/>
      </w:pPr>
    </w:p>
    <w:p>
      <w:pPr>
        <w:spacing w:before="18"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1"/>
        </w:rPr>
        <w:t> </w:t>
      </w:r>
    </w:p>
    <w:p>
      <w:pPr>
        <w:spacing w:before="0" w:after="0"/>
        <w:ind w:left="0"/>
        <w:jc w:val="both"/>
      </w:pPr>
      <w:r>
        <w:rPr>
          <w:rFonts w:ascii="Times New Roman" w:hAnsi="Times New Roman"/>
          <w:b w:val="false"/>
          <w:i w:val="false"/>
          <w:color w:val="000000"/>
          <w:sz w:val="20"/>
        </w:rPr>
        <w:t xml:space="preserve">2. When the Warrants and the related warrant agreement have been duly authorized by appropriate corporate authorization, the warrant agreement has been duly executed by the parties thereto, and the Warrants have been executed, countersigned, and delivered in accordance with the warrant agreement against payment therefor, the Warrants will be validly issued and will constitute binding obligations of the Company. </w:t>
      </w:r>
    </w:p>
    <w:p>
      <w:pPr>
        <w:spacing w:before="0"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1"/>
        </w:rPr>
        <w:t> </w:t>
      </w:r>
    </w:p>
    <w:p>
      <w:pPr>
        <w:spacing w:before="0" w:after="0"/>
        <w:ind w:left="0"/>
        <w:jc w:val="left"/>
      </w:pPr>
      <w:r>
        <w:rPr>
          <w:rFonts w:ascii="Times New Roman" w:hAnsi="Times New Roman"/>
          <w:b w:val="false"/>
          <w:i w:val="false"/>
          <w:color w:val="000000"/>
          <w:sz w:val="20"/>
        </w:rPr>
        <w:t xml:space="preserve">3. </w:t>
      </w:r>
      <w:r>
        <w:rPr>
          <w:rFonts w:ascii="Times New Roman" w:hAnsi="Times New Roman"/>
          <w:b w:val="false"/>
          <w:i w:val="false"/>
          <w:color w:val="000000"/>
          <w:sz w:val="20"/>
        </w:rPr>
        <w:t xml:space="preserve">When the Purchase Contracts and the related purchase contract agreement have been duly authorized by appropriate corporate authorization, and the Purchase Contracts have been duly executed and issued in accordance with the related purchase contract agreement, the Purchase Contracts will constitute valid and binding obligations of the Company, enforceable against the Company in accordance with their terms. </w:t>
      </w:r>
    </w:p>
    <w:p>
      <w:pPr>
        <w:spacing w:before="0"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1"/>
        </w:rPr>
        <w:t> </w:t>
      </w:r>
    </w:p>
    <w:p>
      <w:pPr>
        <w:spacing w:before="0" w:after="0"/>
        <w:ind w:left="0"/>
        <w:jc w:val="both"/>
      </w:pPr>
      <w:r>
        <w:rPr>
          <w:rFonts w:ascii="Times New Roman" w:hAnsi="Times New Roman"/>
          <w:b w:val="false"/>
          <w:i w:val="false"/>
          <w:color w:val="000000"/>
          <w:sz w:val="20"/>
        </w:rPr>
        <w:t xml:space="preserve">4. When the Units and the related unit agreement have been duly authorized by appropriate corporate authorization, and the Units have been duly executed and issued in accordance with the related unit agreement, the Units will constitute valid and binding obligations of the Company, enforceable against the Company in accordance with their terms. </w:t>
      </w:r>
    </w:p>
    <w:p>
      <w:pPr>
        <w:spacing w:before="0" w:after="0"/>
        <w:ind w:left="120"/>
        <w:jc w:val="both"/>
      </w:pPr>
    </w:p>
    <w:p>
      <w:pPr>
        <w:spacing w:before="0" w:after="0"/>
        <w:ind w:left="120"/>
        <w:jc w:val="both"/>
      </w:pPr>
    </w:p>
    <w:p>
      <w:r>
        <w:pict>
          <v:rect style="width:0;height:1.5pt" id="_x0000_i1025" o:hr="t" o:hrstd="t" o:hralign="center" stroked="f" fillcolor="#a0a0a0"/>
        </w:pict>
      </w:r>
    </w:p>
    <w:p>
      <w:pPr>
        <w:spacing w:before="0" w:after="0"/>
        <w:ind w:left="120"/>
        <w:jc w:val="both"/>
      </w:pPr>
    </w:p>
    <w:p>
      <w:pPr>
        <w:spacing w:before="0" w:after="0"/>
        <w:ind w:left="120"/>
        <w:jc w:val="both"/>
      </w:pPr>
    </w:p>
    <w:p>
      <w:pPr>
        <w:spacing w:before="0" w:after="0"/>
        <w:ind w:left="120"/>
        <w:jc w:val="both"/>
      </w:pPr>
    </w:p>
    <w:p>
      <w:pPr>
        <w:spacing w:before="0" w:after="0"/>
        <w:ind w:left="120"/>
        <w:jc w:val="center"/>
      </w:pPr>
      <w:r>
        <w:rPr>
          <w:rFonts w:ascii="Times New Roman" w:hAnsi="Times New Roman"/>
          <w:b w:val="false"/>
          <w:i w:val="false"/>
          <w:color w:val="000000"/>
          <w:sz w:val="20"/>
        </w:rPr>
        <w:t xml:space="preserve"> </w:t>
      </w:r>
      <w:r>
        <w:drawing>
          <wp:inline distT="0" distB="0" distL="0" distR="0">
            <wp:extent cx="1647825" cy="1238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47825" cy="1238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InflaRx N.V. </w:t>
      </w:r>
      <w:r>
        <w:br/>
      </w:r>
      <w:r>
        <w:rPr>
          <w:rFonts w:ascii="Times New Roman" w:hAnsi="Times New Roman"/>
          <w:b w:val="false"/>
          <w:i w:val="false"/>
          <w:color w:val="000000"/>
          <w:sz w:val="20"/>
        </w:rPr>
        <w:t xml:space="preserve"> August 6, 2026 </w:t>
      </w:r>
      <w:r>
        <w:br/>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Page 3 </w:t>
      </w:r>
    </w:p>
    <w:p>
      <w:pPr>
        <w:spacing w:before="0" w:after="0"/>
        <w:ind w:left="120"/>
        <w:jc w:val="both"/>
      </w:pPr>
      <w:r>
        <w:rPr>
          <w:rFonts w:ascii="Times New Roman" w:hAnsi="Times New Roman"/>
          <w:b w:val="false"/>
          <w:i w:val="false"/>
          <w:color w:val="000000"/>
          <w:sz w:val="20"/>
        </w:rPr>
        <w:t xml:space="preserve"> </w:t>
      </w:r>
    </w:p>
    <w:p>
      <w:pPr>
        <w:spacing w:before="0" w:after="0"/>
        <w:ind w:left="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21"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21" w:after="0"/>
        <w:ind w:left="120"/>
        <w:jc w:val="both"/>
      </w:pPr>
      <w:r>
        <w:rPr>
          <w:rFonts w:ascii="Times New Roman" w:hAnsi="Times New Roman"/>
          <w:b w:val="false"/>
          <w:i w:val="false"/>
          <w:color w:val="000000"/>
          <w:sz w:val="20"/>
        </w:rPr>
        <w:t xml:space="preserve"> Each opinion (an “</w:t>
      </w:r>
      <w:r>
        <w:rPr>
          <w:rFonts w:ascii="Times New Roman" w:hAnsi="Times New Roman"/>
          <w:b w:val="false"/>
          <w:i w:val="false"/>
          <w:color w:val="000000"/>
          <w:sz w:val="20"/>
          <w:u w:val="single"/>
        </w:rPr>
        <w:t>enforceability opinion</w:t>
      </w:r>
      <w:r>
        <w:rPr>
          <w:rFonts w:ascii="Times New Roman" w:hAnsi="Times New Roman"/>
          <w:b w:val="false"/>
          <w:i w:val="false"/>
          <w:color w:val="000000"/>
          <w:sz w:val="20"/>
        </w:rPr>
        <w:t xml:space="preserve">”) in this letter that any security is a   valid and binding obligation or is enforceable in accordance with its terms is subject to: (i) the effect of bankruptcy, insolvency, fraudulent conveyance and other similar laws and judicially developed doctrines in this area such as substantive   consolidation and equitable subordination; (ii) the effect of general principles of equity; and (iii) other commonly recognized statutory and judicial constraints on enforceability including statutes of limitations. In addition, we do not express any   opinion as to the enforceability of any rights to contribution or indemnification which may be violative of public policy underlying any law, rule or regulation (including any federal or state securities law, rule or regulation). “General principles of   equity” include, but are not limited to: principles limiting the availability of specific performance and injunctive relief; principles which limit the availability of a remedy under certain circumstances where another remedy has been elected; principles   requiring reasonableness, good faith and fair dealing in the performance and enforcement of an agreement by the party seeking enforcement; principles which may permit a party to cure a material failure to perform its obligations; and principles affording   equitable defenses such as waiver, laches and estoppel. We express no opinion with respect to the enforceability of any provision which purports to waive the benefit of usury laws. It is possible that terms in a particular contract covered by our   enforceability opinion may not prove enforceable for reasons other than those explicitly cited in this letter should an actual enforcement action be brought, but (subject to all the exceptions, qualifications, exclusions and other limitations contained   in this letter) such unenforceability would not in our opinion prevent the party entitled to enforce that contract from realizing the principal benefits purported to be provided to that party by the terms in that contract which are covered by our   enforceability opinion.    </w:t>
      </w:r>
    </w:p>
    <w:p>
      <w:pPr>
        <w:spacing w:before="0" w:after="0"/>
        <w:ind w:left="120"/>
        <w:jc w:val="both"/>
      </w:pPr>
    </w:p>
    <w:p>
      <w:pPr>
        <w:spacing w:before="21"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1" w:after="0"/>
        <w:ind w:left="120"/>
        <w:jc w:val="both"/>
      </w:pPr>
      <w:r>
        <w:rPr>
          <w:rFonts w:ascii="Times New Roman" w:hAnsi="Times New Roman"/>
          <w:b w:val="false"/>
          <w:i w:val="false"/>
          <w:color w:val="000000"/>
          <w:sz w:val="20"/>
        </w:rPr>
        <w:t xml:space="preserve"> This opinion does not cover the law of any jurisdiction other than the law of the State of New York. We did not find it necessary for the purposes of this opinion, and accordingly we do not purport to cover herein, the application of the securities or “Blue Sky” laws of the various states. We undertake no responsibility to update or supplement this opinion in response to changes in law or future events or other circumstances. We have assumed the indentures, purchase contract agreement, warrant agreement and unit agreement referenced in the numbered paragraphs above will be governed by the law of the State of New York. </w:t>
      </w:r>
    </w:p>
    <w:p>
      <w:pPr>
        <w:spacing w:before="0" w:after="0"/>
        <w:ind w:left="120"/>
        <w:jc w:val="both"/>
      </w:pPr>
    </w:p>
    <w:p>
      <w:pPr>
        <w:spacing w:before="18"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1" w:after="0"/>
        <w:ind w:left="120"/>
        <w:jc w:val="both"/>
      </w:pPr>
      <w:r>
        <w:rPr>
          <w:rFonts w:ascii="Times New Roman" w:hAnsi="Times New Roman"/>
          <w:b w:val="false"/>
          <w:i w:val="false"/>
          <w:color w:val="000000"/>
          <w:sz w:val="20"/>
        </w:rPr>
        <w:t xml:space="preserve"> This opinion is furnished to you in connection with the filing of the Registration Statement and is not to be used, circulated, quoted or otherwise relied upon or otherwise referred to by any other person for any other purpose. </w:t>
      </w:r>
    </w:p>
    <w:p>
      <w:pPr>
        <w:spacing w:before="0" w:after="0"/>
        <w:ind w:left="120"/>
        <w:jc w:val="both"/>
      </w:pPr>
    </w:p>
    <w:p>
      <w:pPr>
        <w:spacing w:before="0" w:after="0"/>
        <w:ind w:left="120"/>
        <w:jc w:val="both"/>
      </w:pPr>
    </w:p>
    <w:p>
      <w:r>
        <w:pict>
          <v:rect style="width:0;height:1.5pt" id="_x0000_i1025" o:hr="t" o:hrstd="t" o:hralign="center" stroked="f" fillcolor="#a0a0a0"/>
        </w:pict>
      </w:r>
    </w:p>
    <w:p>
      <w:pPr>
        <w:spacing w:before="0" w:after="0"/>
        <w:ind w:left="120"/>
        <w:jc w:val="both"/>
      </w:pPr>
    </w:p>
    <w:p>
      <w:pPr>
        <w:spacing w:before="0" w:after="0"/>
        <w:ind w:left="120"/>
        <w:jc w:val="center"/>
      </w:pPr>
      <w:r>
        <w:rPr>
          <w:rFonts w:ascii="Times New Roman" w:hAnsi="Times New Roman"/>
          <w:b w:val="false"/>
          <w:i w:val="false"/>
          <w:color w:val="000000"/>
          <w:sz w:val="20"/>
        </w:rPr>
        <w:t xml:space="preserve"> </w:t>
      </w:r>
      <w:r>
        <w:drawing>
          <wp:inline distT="0" distB="0" distL="0" distR="0">
            <wp:extent cx="1647825" cy="1238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47825" cy="123825"/>
                    </a:xfrm>
                    <a:prstGeom prst="rect">
                      <a:avLst/>
                    </a:prstGeom>
                  </pic:spPr>
                </pic:pic>
              </a:graphicData>
            </a:graphic>
          </wp:inline>
        </w:drawing>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InflaRx N.V. </w:t>
      </w:r>
      <w:r>
        <w:br/>
      </w:r>
      <w:r>
        <w:rPr>
          <w:rFonts w:ascii="Times New Roman" w:hAnsi="Times New Roman"/>
          <w:b w:val="false"/>
          <w:i w:val="false"/>
          <w:color w:val="000000"/>
          <w:sz w:val="20"/>
        </w:rPr>
        <w:t xml:space="preserve"> August 6, 2026 </w:t>
      </w:r>
      <w:r>
        <w:br/>
      </w:r>
      <w:r>
        <w:rPr>
          <w:rFonts w:ascii="Times New Roman" w:hAnsi="Times New Roman"/>
          <w:b w:val="false"/>
          <w:i w:val="false"/>
          <w:color w:val="000000"/>
          <w:sz w:val="20"/>
        </w:rPr>
        <w:t xml:space="preserve"> </w:t>
      </w:r>
    </w:p>
    <w:p>
      <w:pPr>
        <w:spacing w:before="0" w:after="0"/>
        <w:ind w:left="120"/>
        <w:jc w:val="both"/>
      </w:pPr>
      <w:r>
        <w:rPr>
          <w:rFonts w:ascii="Times New Roman" w:hAnsi="Times New Roman"/>
          <w:b w:val="false"/>
          <w:i w:val="false"/>
          <w:color w:val="000000"/>
          <w:sz w:val="20"/>
        </w:rPr>
        <w:t xml:space="preserve"> Page 4 </w:t>
      </w:r>
    </w:p>
    <w:p>
      <w:pPr>
        <w:spacing w:before="0" w:after="0"/>
        <w:ind w:left="120"/>
        <w:jc w:val="both"/>
      </w:pPr>
    </w:p>
    <w:p>
      <w:pPr>
        <w:spacing w:before="0" w:after="0"/>
        <w:ind w:left="395"/>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r>
        <w:rPr>
          <w:rFonts w:ascii="Times New Roman" w:hAnsi="Times New Roman"/>
          <w:b w:val="false"/>
          <w:i w:val="false"/>
          <w:color w:val="000000"/>
          <w:sz w:val="20"/>
        </w:rPr>
        <w:t xml:space="preserve"> This opinion is being furnished in accordance with the requirements of Item 601 of Regulation S-K promulgated under the Act, and no opinion is expressed herein as to any matter pertaining to the contents of the Registration Statement, other than as to the specific issues addressed herein, and no opinion may be inferred or implied beyond that expressly stated herein. </w:t>
      </w:r>
    </w:p>
    <w:p>
      <w:pPr>
        <w:spacing w:before="0" w:after="0"/>
        <w:ind w:left="120"/>
        <w:jc w:val="both"/>
      </w:pPr>
    </w:p>
    <w:p>
      <w:pPr>
        <w:spacing w:before="18"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1" w:after="0"/>
        <w:ind w:left="120"/>
        <w:jc w:val="both"/>
      </w:pPr>
      <w:r>
        <w:rPr>
          <w:rFonts w:ascii="Times New Roman" w:hAnsi="Times New Roman"/>
          <w:b w:val="false"/>
          <w:i w:val="false"/>
          <w:color w:val="000000"/>
          <w:sz w:val="20"/>
        </w:rPr>
        <w:t xml:space="preserve"> We hereby consent to the filing of this opinion as an exhibit to the Registration Statement and to the reference to our firm under the heading “Legal Matters” in the Registration Statement. In giving this consent, we do not thereby admit that we are in the category of persons whose consent is required under Section 7 of the Act or the rules and regulations of the Commission. </w:t>
      </w:r>
    </w:p>
    <w:p>
      <w:pPr>
        <w:spacing w:before="0" w:after="0"/>
        <w:ind w:left="120"/>
        <w:jc w:val="both"/>
      </w:pPr>
    </w:p>
    <w:p>
      <w:pPr>
        <w:spacing w:before="18"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6240"/>
        <w:jc w:val="both"/>
      </w:pPr>
      <w:r>
        <w:rPr>
          <w:rFonts w:ascii="Times New Roman" w:hAnsi="Times New Roman"/>
          <w:b w:val="false"/>
          <w:i w:val="false"/>
          <w:color w:val="000000"/>
          <w:sz w:val="20"/>
        </w:rPr>
        <w:t xml:space="preserve"> Yours very truly, </w:t>
      </w:r>
    </w:p>
    <w:p>
      <w:pPr>
        <w:spacing w:before="0" w:after="0"/>
        <w:ind w:left="120"/>
        <w:jc w:val="both"/>
      </w:pPr>
    </w:p>
    <w:p>
      <w:pPr>
        <w:spacing w:before="35" w:after="0"/>
        <w:ind w:left="12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6240"/>
        <w:jc w:val="both"/>
      </w:pPr>
      <w:r>
        <w:rPr>
          <w:rFonts w:ascii="Times New Roman" w:hAnsi="Times New Roman"/>
          <w:b w:val="false"/>
          <w:i w:val="false"/>
          <w:color w:val="000000"/>
          <w:sz w:val="20"/>
        </w:rPr>
        <w:t xml:space="preserve"> /s/ KIRKLAND &amp; ELLIS LLP </w:t>
      </w:r>
    </w:p>
    <w:p>
      <w:pPr>
        <w:spacing w:before="0" w:after="0"/>
        <w:ind w:left="120"/>
        <w:jc w:val="both"/>
      </w:pPr>
    </w:p>
    <w:p>
      <w:pPr>
        <w:spacing w:before="0" w:after="0"/>
        <w:ind w:left="624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6240"/>
        <w:jc w:val="both"/>
      </w:pPr>
      <w:r>
        <w:rPr>
          <w:rFonts w:ascii="Times New Roman" w:hAnsi="Times New Roman"/>
          <w:b w:val="false"/>
          <w:i w:val="false"/>
          <w:color w:val="000000"/>
          <w:sz w:val="20"/>
        </w:rPr>
        <w:t xml:space="preserve"> KIRKLAND &amp; ELLIS LLP </w:t>
      </w:r>
      <w:r>
        <w:br/>
      </w:r>
      <w:r>
        <w:rPr>
          <w:rFonts w:ascii="Times New Roman" w:hAnsi="Times New Roman"/>
          <w:b w:val="false"/>
          <w:i w:val="false"/>
          <w:color w:val="000000"/>
          <w:sz w:val="20"/>
        </w:rPr>
        <w:t xml:space="preserve"> </w:t>
      </w:r>
    </w:p>
    <w:p>
      <w:pPr>
        <w:spacing w:before="0" w:after="0"/>
        <w:ind w:left="120"/>
        <w:jc w:val="both"/>
      </w:pPr>
    </w:p>
    <w:p>
      <w:pPr>
        <w:spacing w:before="0" w:after="0"/>
        <w:ind w:left="6240"/>
        <w:jc w:val="both"/>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both"/>
      </w:pPr>
    </w:p>
    <w:p>
      <w:pPr>
        <w:spacing w:before="0" w:after="0"/>
        <w:ind w:left="120"/>
        <w:jc w:val="both"/>
      </w:pPr>
    </w:p>
    <w:p>
      <w:r>
        <w:pict>
          <v:rect style="width:0;height:1.5pt" id="_x0000_i1025" o:hr="t" o:hrstd="t" o:hralign="center" stroked="f" fillcolor="#a0a0a0"/>
        </w:pict>
      </w:r>
    </w:p>
    <w:p>
      <w:pPr>
        <w:spacing w:before="0" w:after="0"/>
        <w:ind w:left="120"/>
        <w:jc w:val="both"/>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EX-23.1 </w:t>
      </w:r>
      <w:r>
        <w:rPr>
          <w:rFonts w:ascii="Times New Roman" w:hAnsi="Times New Roman"/>
          <w:b w:val="false"/>
          <w:i w:val="false"/>
          <w:color w:val="000000"/>
          <w:sz w:val="20"/>
        </w:rPr>
        <w:t xml:space="preserve">6 </w:t>
      </w:r>
      <w:r>
        <w:rPr>
          <w:rFonts w:ascii="Times New Roman" w:hAnsi="Times New Roman"/>
          <w:b w:val="false"/>
          <w:i w:val="false"/>
          <w:color w:val="000000"/>
          <w:sz w:val="20"/>
        </w:rPr>
        <w:t xml:space="preserve">ny20075001x1_ex23-1.htm </w:t>
      </w:r>
      <w:r>
        <w:rPr>
          <w:rFonts w:ascii="Times New Roman" w:hAnsi="Times New Roman"/>
          <w:b w:val="false"/>
          <w:i w:val="false"/>
          <w:color w:val="000000"/>
          <w:sz w:val="20"/>
        </w:rPr>
        <w:t xml:space="preserve">EXHIBIT 23.1 </w:t>
      </w:r>
    </w:p>
    <w:p>
      <w:pPr>
        <w:spacing w:before="0" w:after="0"/>
        <w:ind w:left="120"/>
        <w:jc w:val="right"/>
      </w:pPr>
    </w:p>
    <w:p>
      <w:r>
        <w:pict>
          <v:rect style="width:0;height:1.5pt" id="_x0000_i1025" o:hr="t" o:hrstd="t" o:hralign="center" stroked="f" fillcolor="#a0a0a0"/>
        </w:pict>
      </w:r>
    </w:p>
    <w:p>
      <w:pPr>
        <w:spacing w:before="0" w:after="0"/>
        <w:ind w:left="120"/>
        <w:jc w:val="right"/>
      </w:pPr>
      <w:r>
        <w:rPr>
          <w:rFonts w:ascii="Times New Roman" w:hAnsi="Times New Roman"/>
          <w:b/>
          <w:i w:val="false"/>
          <w:color w:val="000000"/>
          <w:sz w:val="20"/>
        </w:rPr>
        <w:t>Exhibit 23.1</w:t>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i w:val="false"/>
          <w:color w:val="000000"/>
          <w:sz w:val="20"/>
        </w:rPr>
        <w:t xml:space="preserve"> </w:t>
      </w:r>
      <w:r>
        <w:br/>
      </w:r>
      <w:r>
        <w:rPr>
          <w:rFonts w:ascii="Times New Roman" w:hAnsi="Times New Roman"/>
          <w:b/>
          <w:i w:val="false"/>
          <w:color w:val="000000"/>
          <w:sz w:val="20"/>
        </w:rPr>
        <w:t xml:space="preserve"> </w:t>
      </w:r>
    </w:p>
    <w:p>
      <w:pPr>
        <w:spacing w:before="0" w:after="0"/>
        <w:ind w:left="120"/>
        <w:jc w:val="left"/>
      </w:pPr>
    </w:p>
    <w:p>
      <w:pPr>
        <w:spacing w:before="0" w:after="0"/>
        <w:ind w:left="120"/>
        <w:jc w:val="center"/>
      </w:pPr>
      <w:r>
        <w:rPr>
          <w:rFonts w:ascii="Times New Roman" w:hAnsi="Times New Roman"/>
          <w:b/>
          <w:i w:val="false"/>
          <w:color w:val="000000"/>
          <w:sz w:val="20"/>
        </w:rPr>
        <w:t xml:space="preserve"> Consent of Independent Registered Public Accounting Firm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We consent to the use of our report dated March 19, 2026, with respect to the consolidated financial statements of InflaRx N.V., incorporated herein by reference and to the reference to our firm under the heading “Experts” in the prospectus.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/s/ KPMG AG Wirtschaftsprüfungsgesellschaft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Munich, Germany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August 6, 2026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EX-23.2 </w:t>
      </w:r>
      <w:r>
        <w:rPr>
          <w:rFonts w:ascii="Times New Roman" w:hAnsi="Times New Roman"/>
          <w:b w:val="false"/>
          <w:i w:val="false"/>
          <w:color w:val="000000"/>
          <w:sz w:val="20"/>
        </w:rPr>
        <w:t xml:space="preserve">7 </w:t>
      </w:r>
      <w:r>
        <w:rPr>
          <w:rFonts w:ascii="Times New Roman" w:hAnsi="Times New Roman"/>
          <w:b w:val="false"/>
          <w:i w:val="false"/>
          <w:color w:val="000000"/>
          <w:sz w:val="20"/>
        </w:rPr>
        <w:t xml:space="preserve">ny20075001x1_ex23-2.htm </w:t>
      </w:r>
      <w:r>
        <w:rPr>
          <w:rFonts w:ascii="Times New Roman" w:hAnsi="Times New Roman"/>
          <w:b w:val="false"/>
          <w:i w:val="false"/>
          <w:color w:val="000000"/>
          <w:sz w:val="20"/>
        </w:rPr>
        <w:t xml:space="preserve">EXHIBIT 23.2 </w:t>
      </w:r>
    </w:p>
    <w:p>
      <w:pPr>
        <w:spacing w:before="0" w:after="0"/>
        <w:ind w:left="120"/>
        <w:jc w:val="right"/>
      </w:pPr>
    </w:p>
    <w:p>
      <w:r>
        <w:pict>
          <v:rect style="width:0;height:1.5pt" id="_x0000_i1025" o:hr="t" o:hrstd="t" o:hralign="center" stroked="f" fillcolor="#a0a0a0"/>
        </w:pict>
      </w:r>
    </w:p>
    <w:p>
      <w:pPr>
        <w:spacing w:before="0" w:after="0"/>
        <w:ind w:left="120"/>
        <w:jc w:val="right"/>
      </w:pPr>
      <w:r>
        <w:rPr>
          <w:rFonts w:ascii="Times New Roman" w:hAnsi="Times New Roman"/>
          <w:b/>
          <w:i w:val="false"/>
          <w:color w:val="000000"/>
          <w:sz w:val="20"/>
        </w:rPr>
        <w:t>Exhibit 23.2</w:t>
      </w: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i w:val="false"/>
          <w:color w:val="000000"/>
          <w:sz w:val="24"/>
        </w:rPr>
        <w:t xml:space="preserve"> </w:t>
      </w:r>
      <w:r>
        <w:br/>
      </w:r>
      <w:r>
        <w:rPr>
          <w:rFonts w:ascii="Times New Roman" w:hAnsi="Times New Roman"/>
          <w:b/>
          <w:i w:val="false"/>
          <w:color w:val="000000"/>
          <w:sz w:val="24"/>
        </w:rPr>
        <w:t xml:space="preserve"> </w:t>
      </w:r>
    </w:p>
    <w:p>
      <w:pPr>
        <w:spacing w:before="0" w:after="0"/>
        <w:ind w:left="120"/>
        <w:jc w:val="left"/>
      </w:pPr>
    </w:p>
    <w:p>
      <w:pPr>
        <w:spacing w:before="0" w:after="0"/>
        <w:ind w:left="120"/>
        <w:jc w:val="center"/>
      </w:pPr>
      <w:r>
        <w:rPr>
          <w:rFonts w:ascii="Times New Roman" w:hAnsi="Times New Roman"/>
          <w:b/>
          <w:i w:val="false"/>
          <w:color w:val="000000"/>
          <w:sz w:val="24"/>
        </w:rPr>
        <w:t xml:space="preserve"> Consent of Independent Registered Public Accounting Firm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We consent to the reference to our firm under the caption “Experts” in the Registration Statement (Form F-3) and related Prospectus of InflaRx N.V. for the registration of ordinary shares, debt securities, warrants, purchase contracts and units and to the incorporation by reference therein of our report dated March 20, 2025, with respect to the consolidated financial statements of InflaRx N.V. included in its Annual Report (Form 20-F) for the year ended December 31, 2025, filed with the Securities and Exchange Commission.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/s/ EY GmbH &amp; Co. KG Wirtschaftsprüfungsgesellschaft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Munich, Germany </w:t>
      </w:r>
      <w:r>
        <w:br/>
      </w:r>
      <w:r>
        <w:rPr>
          <w:rFonts w:ascii="Times New Roman" w:hAnsi="Times New Roman"/>
          <w:b w:val="false"/>
          <w:i w:val="false"/>
          <w:color w:val="000000"/>
          <w:sz w:val="24"/>
        </w:rPr>
        <w:t xml:space="preserve"> August 6, 2026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br/>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r>
        <w:pict>
          <v:rect style="width:0;height:1.5pt" id="_x0000_i1025" o:hr="t" o:hrstd="t" o:hralign="center" stroked="f" fillcolor="#a0a0a0"/>
        </w:pict>
      </w:r>
    </w:p>
    <w:p>
      <w:pPr>
        <w:spacing w:before="0" w:after="0"/>
        <w:ind w:left="120"/>
        <w:jc w:val="left"/>
      </w:pPr>
    </w:p>
    <w:p/>
    <w:br w:type="page"/>
    <w:p>
      <w:pPr>
        <w:spacing w:before="0" w:after="0"/>
        <w:ind w:left="0"/>
        <w:jc w:val="left"/>
      </w:pPr>
      <w:r>
        <w:rPr>
          <w:rFonts w:ascii="Times New Roman" w:hAnsi="Times New Roman"/>
          <w:b w:val="false"/>
          <w:i w:val="false"/>
          <w:color w:val="000000"/>
          <w:sz w:val="22"/>
        </w:rPr>
        <w:t xml:space="preserve"> </w:t>
      </w:r>
      <w:r>
        <w:rPr>
          <w:rFonts w:ascii="Times New Roman" w:hAnsi="Times New Roman"/>
          <w:b w:val="false"/>
          <w:i w:val="false"/>
          <w:color w:val="000000"/>
          <w:sz w:val="22"/>
        </w:rPr>
        <w:t xml:space="preserve">Please enable JavaScript to use the EDGAR Inline XBRL Viewer. </w:t>
      </w:r>
      <w:bookmarkStart w:name="ixvFrame" w:id="0"/>
    </w:p>
    <w:bookmarkEnd w:id="0"/>
    <w:p>
      <w:pPr>
        <w:spacing w:before="0" w:after="0"/>
        <w:ind w:left="0"/>
        <w:jc w:val="left"/>
      </w:pPr>
    </w:p>
    <w:p/>
    <w:br w:type="page"/>
    <w:sectPr>
      <w:pgSz w:w="11907" w:h="16839" w:code="9"/>
      <w:pgMar w:top="1440" w:right="1440" w:bottom="1440" w:left="1440"/>
    </w:sectPr>
  </w:body>
</w:document>
</file>

<file path=word/settings.xml><?xml version="1.0" encoding="utf-8"?>
<w:setting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media/document_image_rId4.jpeg" Type="http://schemas.openxmlformats.org/officeDocument/2006/relationships/image" Id="rId3"/>
    <Relationship Target="media/document_image_rId5.jpeg" Type="http://schemas.openxmlformats.org/officeDocument/2006/relationships/image" Id="rId4"/>
    <Relationship Target="media/document_image_rId42.jpeg" Type="http://schemas.openxmlformats.org/officeDocument/2006/relationships/image" Id="rId5"/>
    <Relationship Target="media/document_image_rId422.jpeg" Type="http://schemas.openxmlformats.org/officeDocument/2006/relationships/image" Id="rId6"/>
    <Relationship Target="media/document_image_rId4222.jpeg" Type="http://schemas.openxmlformats.org/officeDocument/2006/relationships/image" Id="rId7"/>
    <Relationship Target="media/document_image_rId42222.jpeg" Type="http://schemas.openxmlformats.org/officeDocument/2006/relationships/image" Id="rId8"/>
    <Relationship Target="media/document_image_rId422222.jpeg" Type="http://schemas.openxmlformats.org/officeDocument/2006/relationships/image" Id="rId9"/>
    <Relationship Target="media/document_image_rId4222222.jpeg" Type="http://schemas.openxmlformats.org/officeDocument/2006/relationships/image" Id="rId10"/>
    <Relationship Target="media/document_image_rId42222222.jpeg" Type="http://schemas.openxmlformats.org/officeDocument/2006/relationships/image" Id="rId11"/>
    <Relationship Target="media/document_image_rId422222222.jpeg" Type="http://schemas.openxmlformats.org/officeDocument/2006/relationships/image" Id="rId12"/>
    <Relationship Target="media/document_image_rId4222222222.jpeg" Type="http://schemas.openxmlformats.org/officeDocument/2006/relationships/image" Id="rId13"/>
    <Relationship Target="media/document_image_rId43.jpeg" Type="http://schemas.openxmlformats.org/officeDocument/2006/relationships/image" Id="rId14"/>
    <Relationship Target="media/document_image_rId52.jpeg" Type="http://schemas.openxmlformats.org/officeDocument/2006/relationships/image" Id="rId15"/>
    <Relationship Target="media/document_image_rId522.jpeg" Type="http://schemas.openxmlformats.org/officeDocument/2006/relationships/image" Id="rId16"/>
    <Relationship Target="media/document_image_rId5222.jpeg" Type="http://schemas.openxmlformats.org/officeDocument/2006/relationships/image" Id="rId17"/>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