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8.2.9 (Apache licensed) using REFERENCE JAXB in Red Hat, Inc. Java 17.0.18 on Linux -->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S-8 </w:t>
      </w:r>
      <w:r>
        <w:rPr>
          <w:rFonts w:ascii="Times New Roman" w:hAnsi="Times New Roman"/>
          <w:b w:val="false"/>
          <w:i w:val="false"/>
          <w:color w:val="000000"/>
          <w:sz w:val="24"/>
        </w:rPr>
        <w:t xml:space="preserve">1 </w:t>
      </w:r>
      <w:r>
        <w:rPr>
          <w:rFonts w:ascii="Times New Roman" w:hAnsi="Times New Roman"/>
          <w:b w:val="false"/>
          <w:i w:val="false"/>
          <w:color w:val="000000"/>
          <w:sz w:val="24"/>
        </w:rPr>
        <w:t xml:space="preserve">ef20077914_s8.htm </w:t>
      </w:r>
      <w:r>
        <w:rPr>
          <w:rFonts w:ascii="Times New Roman" w:hAnsi="Times New Roman"/>
          <w:b w:val="false"/>
          <w:i w:val="false"/>
          <w:color w:val="000000"/>
          <w:sz w:val="24"/>
        </w:rPr>
        <w:t xml:space="preserve">S-8 </w:t>
      </w: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As filed with the Securities and Exchange Commission on August 6, 2026</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right"/>
      </w:pPr>
      <w:r>
        <w:rPr>
          <w:rFonts w:ascii="Times New Roman" w:hAnsi="Times New Roman"/>
          <w:b w:val="false"/>
          <w:i w:val="false"/>
          <w:color w:val="000000"/>
          <w:sz w:val="24"/>
        </w:rPr>
        <w:t xml:space="preserve"> </w:t>
      </w:r>
      <w:r>
        <w:rPr>
          <w:rFonts w:ascii="Times New Roman" w:hAnsi="Times New Roman"/>
          <w:b/>
          <w:i w:val="false"/>
          <w:color w:val="000000"/>
          <w:sz w:val="20"/>
        </w:rPr>
        <w:t>Registration No. 333-</w:t>
      </w:r>
      <w:r>
        <w:rPr>
          <w:rFonts w:ascii="Times New Roman" w:hAnsi="Times New Roman"/>
          <w:b w:val="false"/>
          <w:i w:val="false"/>
          <w:color w:val="000000"/>
          <w:sz w:val="24"/>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center"/>
      </w:pPr>
      <w:r>
        <w:rPr>
          <w:rFonts w:ascii="Times New Roman" w:hAnsi="Times New Roman"/>
          <w:b w:val="false"/>
          <w:i w:val="false"/>
          <w:color w:val="000000"/>
          <w:sz w:val="28"/>
        </w:rPr>
        <w:t xml:space="preserve"> </w:t>
      </w:r>
      <w:r>
        <w:rPr>
          <w:rFonts w:ascii="Times New Roman" w:hAnsi="Times New Roman"/>
          <w:b/>
          <w:i w:val="false"/>
          <w:color w:val="000000"/>
          <w:sz w:val="28"/>
        </w:rPr>
        <w:t>UNITED STATES</w:t>
      </w:r>
      <w:r>
        <w:rPr>
          <w:rFonts w:ascii="Times New Roman" w:hAnsi="Times New Roman"/>
          <w:b w:val="false"/>
          <w:i w:val="false"/>
          <w:color w:val="000000"/>
          <w:sz w:val="28"/>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8"/>
        </w:rPr>
        <w:t xml:space="preserve"> </w:t>
      </w:r>
      <w:r>
        <w:rPr>
          <w:rFonts w:ascii="Times New Roman" w:hAnsi="Times New Roman"/>
          <w:b/>
          <w:i w:val="false"/>
          <w:color w:val="000000"/>
          <w:sz w:val="28"/>
        </w:rPr>
        <w:t>SECURITIES AND EXCHANGE COMMISSION</w:t>
      </w:r>
      <w:r>
        <w:rPr>
          <w:rFonts w:ascii="Times New Roman" w:hAnsi="Times New Roman"/>
          <w:b w:val="false"/>
          <w:i w:val="false"/>
          <w:color w:val="000000"/>
          <w:sz w:val="28"/>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4"/>
        </w:rPr>
        <w:t>WASHINGTON, D.C. 20549</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36"/>
        </w:rPr>
        <w:t xml:space="preserve"> </w:t>
      </w:r>
      <w:r>
        <w:rPr>
          <w:rFonts w:ascii="Times New Roman" w:hAnsi="Times New Roman"/>
          <w:b/>
          <w:i w:val="false"/>
          <w:color w:val="000000"/>
          <w:sz w:val="36"/>
        </w:rPr>
        <w:t>FORM S-8</w:t>
      </w:r>
      <w:r>
        <w:rPr>
          <w:rFonts w:ascii="Times New Roman" w:hAnsi="Times New Roman"/>
          <w:b w:val="false"/>
          <w:i w:val="false"/>
          <w:color w:val="000000"/>
          <w:sz w:val="36"/>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REGISTRATION STATEMENT</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color w:val="000000"/>
          <w:sz w:val="20"/>
        </w:rPr>
        <w:t>UNDER</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color w:val="000000"/>
          <w:sz w:val="20"/>
        </w:rPr>
        <w:t>THE SECURITIES ACT OF 1933</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48"/>
        </w:rPr>
        <w:t xml:space="preserve"> </w:t>
      </w:r>
      <w:r>
        <w:rPr>
          <w:rFonts w:ascii="Times New Roman" w:hAnsi="Times New Roman"/>
          <w:b/>
          <w:i w:val="false"/>
          <w:color w:val="000000"/>
          <w:sz w:val="48"/>
        </w:rPr>
        <w:t>InflaRx N.V.</w:t>
      </w:r>
      <w:r>
        <w:rPr>
          <w:rFonts w:ascii="Times New Roman" w:hAnsi="Times New Roman"/>
          <w:b w:val="false"/>
          <w:i w:val="false"/>
          <w:color w:val="000000"/>
          <w:sz w:val="48"/>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(Exact name of registrant as specified in its charter)</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681"/>
        <w:gridCol w:w="273"/>
        <w:gridCol w:w="6680"/>
      </w:tblGrid>
      <w:tr>
        <w:trPr>
          <w:trHeight w:val="30" w:hRule="atLeast"/>
        </w:trPr>
        <w:tc>
          <w:tcPr>
            <w:tcW w:w="668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27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795" w:hRule="atLeast"/>
        </w:trPr>
        <w:tc>
          <w:tcPr>
            <w:tcW w:w="6681" w:type="dxa"/>
            <w:tcBorders/>
            <w:tcMar>
              <w:top w:w="15" w:type="dxa"/>
              <w:left w:w="15" w:type="dxa"/>
              <w:bottom w:w="15" w:type="dxa"/>
              <w:right w:w="15" w:type="dxa"/>
            </w:tcMar>
            <w:vAlign w:val="top"/>
          </w:tcPr>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The Netherlands</w:t>
            </w:r>
            <w:r>
              <w:rPr>
                <w:rFonts w:ascii="Times New Roman" w:hAnsi="Times New Roman"/>
                <w:b w:val="false"/>
                <w:i w:val="false"/>
                <w:color w:val="000000"/>
                <w:sz w:val="24"/>
              </w:rPr>
              <w:t xml:space="preserve"> </w:t>
            </w: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(State or Other Jurisdiction of Incorporation or Organization)</w:t>
            </w:r>
            <w:r>
              <w:rPr>
                <w:rFonts w:ascii="Times New Roman" w:hAnsi="Times New Roman"/>
                <w:b w:val="false"/>
                <w:i w:val="false"/>
                <w:color w:val="000000"/>
                <w:sz w:val="24"/>
              </w:rPr>
              <w:t xml:space="preserve"> </w:t>
            </w:r>
          </w:p>
        </w:tc>
        <w:tc>
          <w:tcPr>
            <w:tcW w:w="27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 </w:t>
            </w:r>
            <w:r>
              <w:rPr>
                <w:rFonts w:ascii="Times New Roman" w:hAnsi="Times New Roman"/>
                <w:b w:val="false"/>
                <w:i w:val="false"/>
                <w:color w:val="000000"/>
                <w:sz w:val="24"/>
              </w:rPr>
              <w:t xml:space="preserve"> </w:t>
            </w:r>
          </w:p>
        </w:tc>
        <w:tc>
          <w:tcPr>
            <w:tcW w:w="6680" w:type="dxa"/>
            <w:tcBorders/>
            <w:tcMar>
              <w:top w:w="15" w:type="dxa"/>
              <w:left w:w="15" w:type="dxa"/>
              <w:bottom w:w="15" w:type="dxa"/>
              <w:right w:w="15" w:type="dxa"/>
            </w:tcMar>
            <w:vAlign w:val="top"/>
          </w:tcPr>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N/A</w:t>
            </w:r>
            <w:r>
              <w:rPr>
                <w:rFonts w:ascii="Times New Roman" w:hAnsi="Times New Roman"/>
                <w:b w:val="false"/>
                <w:i w:val="false"/>
                <w:color w:val="000000"/>
                <w:sz w:val="24"/>
              </w:rPr>
              <w:t xml:space="preserve"> </w:t>
            </w: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(I.R.S. Employer Identification No.)</w:t>
            </w:r>
            <w:r>
              <w:rPr>
                <w:rFonts w:ascii="Times New Roman" w:hAnsi="Times New Roman"/>
                <w:b w:val="false"/>
                <w:i w:val="false"/>
                <w:color w:val="000000"/>
                <w:sz w:val="24"/>
              </w:rPr>
              <w:t xml:space="preserve"> </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Winzerlaer Str. 2</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07745 Jena, Germany</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(Address of Principal Executive Offices, Zip Code)</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InflaRx N.V. Long-Term Incentive Plan 2026</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(Full title of the plan)</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InflaRx Pharmaceuticals, Inc.</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600 South Wagner Road</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Ann Arbor, Michigan 48103</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(734) 223-4387</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(Name and address of agent for service and telephone number, including area code, of agent for service)</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color w:val="000000"/>
          <w:sz w:val="20"/>
        </w:rPr>
        <w:t>Copies to:</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Sophia Hudson, P.C.</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Leia Andrew</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Kirkland &amp; Ellis LLP</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601 Lexington Avenue</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New York, New York 10022</w:t>
      </w:r>
      <w:r>
        <w:rPr>
          <w:rFonts w:ascii="Times New Roman" w:hAnsi="Times New Roman"/>
          <w:b w:val="false"/>
          <w:i w:val="false"/>
          <w:color w:val="000000"/>
          <w:sz w:val="24"/>
        </w:rPr>
        <w:t xml:space="preserve"> </w:t>
      </w:r>
    </w:p>
    <w:p>
      <w:pPr>
        <w:spacing w:before="0" w:after="0"/>
        <w:ind w:left="120"/>
        <w:jc w:val="left"/>
      </w:pPr>
    </w:p>
    <w:p>
      <w:pPr>
        <w:spacing w:before="0" w:after="0"/>
        <w:ind w:left="228"/>
        <w:jc w:val="center"/>
      </w:pPr>
      <w:r>
        <w:rPr>
          <w:rFonts w:ascii="Times New Roman" w:hAnsi="Times New Roman"/>
          <w:b w:val="false"/>
          <w:i w:val="false"/>
          <w:color w:val="000000"/>
          <w:sz w:val="24"/>
        </w:rPr>
        <w:t xml:space="preserve"> </w:t>
      </w:r>
      <w:r>
        <w:rPr>
          <w:rFonts w:ascii="Times New Roman" w:hAnsi="Times New Roman"/>
          <w:b/>
          <w:i w:val="false"/>
          <w:color w:val="000000"/>
          <w:sz w:val="20"/>
        </w:rPr>
        <w:t>(212) 446-4800</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410"/>
        <w:gridCol w:w="6407"/>
        <w:gridCol w:w="409"/>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41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40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409"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210" w:hRule="atLeast"/>
        </w:trPr>
        <w:tc>
          <w:tcPr>
            <w:tcW w:w="6408"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Large accelerated filer</w:t>
            </w:r>
            <w:r>
              <w:rPr>
                <w:rFonts w:ascii="Times New Roman" w:hAnsi="Times New Roman"/>
                <w:b w:val="false"/>
                <w:i w:val="false"/>
                <w:color w:val="000000"/>
                <w:sz w:val="20"/>
              </w:rPr>
              <w:t xml:space="preserve"> </w:t>
            </w:r>
          </w:p>
        </w:tc>
        <w:tc>
          <w:tcPr>
            <w:tcW w:w="410"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b w:val="false"/>
                <w:i w:val="false"/>
                <w:color w:val="000000"/>
                <w:sz w:val="20"/>
              </w:rPr>
              <w:t>☐</w:t>
            </w:r>
            <w:r>
              <w:rPr>
                <w:rFonts w:ascii="Times New Roman" w:hAnsi="Times New Roman"/>
                <w:b w:val="false"/>
                <w:i w:val="false"/>
                <w:color w:val="000000"/>
                <w:sz w:val="20"/>
              </w:rPr>
              <w:t xml:space="preserve"> </w:t>
            </w:r>
          </w:p>
        </w:tc>
        <w:tc>
          <w:tcPr>
            <w:tcW w:w="640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Accelerated filer</w:t>
            </w:r>
            <w:r>
              <w:rPr>
                <w:rFonts w:ascii="Times New Roman" w:hAnsi="Times New Roman"/>
                <w:b w:val="false"/>
                <w:i w:val="false"/>
                <w:color w:val="000000"/>
                <w:sz w:val="20"/>
              </w:rPr>
              <w:t xml:space="preserve"> </w:t>
            </w:r>
          </w:p>
        </w:tc>
        <w:tc>
          <w:tcPr>
            <w:tcW w:w="40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b w:val="false"/>
                <w:i w:val="false"/>
                <w:color w:val="000000"/>
                <w:sz w:val="20"/>
              </w:rPr>
              <w:t>☐</w:t>
            </w:r>
            <w:r>
              <w:rPr>
                <w:rFonts w:ascii="Times New Roman" w:hAnsi="Times New Roman"/>
                <w:b w:val="false"/>
                <w:i w:val="false"/>
                <w:color w:val="000000"/>
                <w:sz w:val="20"/>
              </w:rPr>
              <w:t xml:space="preserve"> </w:t>
            </w:r>
          </w:p>
        </w:tc>
      </w:tr>
      <w:tr>
        <w:trPr>
          <w:trHeight w:val="21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41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640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10" w:hRule="atLeast"/>
        </w:trPr>
        <w:tc>
          <w:tcPr>
            <w:tcW w:w="6408"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Non-accelerated filer</w:t>
            </w:r>
            <w:r>
              <w:rPr>
                <w:rFonts w:ascii="Times New Roman" w:hAnsi="Times New Roman"/>
                <w:b w:val="false"/>
                <w:i w:val="false"/>
                <w:color w:val="000000"/>
                <w:sz w:val="20"/>
              </w:rPr>
              <w:t xml:space="preserve"> </w:t>
            </w:r>
          </w:p>
        </w:tc>
        <w:tc>
          <w:tcPr>
            <w:tcW w:w="410"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b w:val="false"/>
                <w:i w:val="false"/>
                <w:color w:val="000000"/>
                <w:sz w:val="20"/>
              </w:rPr>
              <w:t>☒</w:t>
            </w:r>
            <w:r>
              <w:rPr>
                <w:rFonts w:ascii="Times New Roman" w:hAnsi="Times New Roman"/>
                <w:b w:val="false"/>
                <w:i w:val="false"/>
                <w:color w:val="000000"/>
                <w:sz w:val="20"/>
              </w:rPr>
              <w:t xml:space="preserve"> </w:t>
            </w:r>
          </w:p>
        </w:tc>
        <w:tc>
          <w:tcPr>
            <w:tcW w:w="640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Smaller reporting company</w:t>
            </w:r>
            <w:r>
              <w:rPr>
                <w:rFonts w:ascii="Times New Roman" w:hAnsi="Times New Roman"/>
                <w:b w:val="false"/>
                <w:i w:val="false"/>
                <w:color w:val="000000"/>
                <w:sz w:val="20"/>
              </w:rPr>
              <w:t xml:space="preserve"> </w:t>
            </w:r>
          </w:p>
        </w:tc>
        <w:tc>
          <w:tcPr>
            <w:tcW w:w="40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b w:val="false"/>
                <w:i w:val="false"/>
                <w:color w:val="000000"/>
                <w:sz w:val="20"/>
              </w:rPr>
              <w:t>☐</w:t>
            </w:r>
            <w:r>
              <w:rPr>
                <w:rFonts w:ascii="Times New Roman" w:hAnsi="Times New Roman"/>
                <w:b w:val="false"/>
                <w:i w:val="false"/>
                <w:color w:val="000000"/>
                <w:sz w:val="20"/>
              </w:rPr>
              <w:t xml:space="preserve"> </w:t>
            </w:r>
          </w:p>
        </w:tc>
      </w:tr>
      <w:tr>
        <w:trPr>
          <w:trHeight w:val="21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41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640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409"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10" w:hRule="atLeast"/>
        </w:trPr>
        <w:tc>
          <w:tcPr>
            <w:tcW w:w="6408"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rPr>
              <w:t> </w:t>
            </w:r>
          </w:p>
        </w:tc>
        <w:tc>
          <w:tcPr>
            <w:tcW w:w="410"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rPr>
              <w:t> </w:t>
            </w:r>
          </w:p>
        </w:tc>
        <w:tc>
          <w:tcPr>
            <w:tcW w:w="640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Emerging growth company</w:t>
            </w:r>
            <w:r>
              <w:rPr>
                <w:rFonts w:ascii="Times New Roman" w:hAnsi="Times New Roman"/>
                <w:b w:val="false"/>
                <w:i w:val="false"/>
                <w:color w:val="000000"/>
                <w:sz w:val="20"/>
              </w:rPr>
              <w:t xml:space="preserve"> </w:t>
            </w:r>
          </w:p>
        </w:tc>
        <w:tc>
          <w:tcPr>
            <w:tcW w:w="40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b w:val="false"/>
                <w:i w:val="false"/>
                <w:color w:val="000000"/>
                <w:sz w:val="20"/>
              </w:rPr>
              <w:t>☐</w:t>
            </w:r>
            <w:r>
              <w:rPr>
                <w:rFonts w:ascii="Times New Roman" w:hAnsi="Times New Roman"/>
                <w:b w:val="false"/>
                <w:i w:val="false"/>
                <w:color w:val="000000"/>
                <w:sz w:val="20"/>
              </w:rPr>
              <w:t xml:space="preserve"> </w:t>
            </w:r>
          </w:p>
        </w:tc>
      </w:tr>
    </w:tbl>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If an emerging growth company, indicate by check mark if the registrant has elected not to use the extended transition period for complying with any new or revised financial accounting standards provided pursuant to Section 7(a)(2)(B) of the Securities Act. </w:t>
      </w:r>
      <w:r>
        <w:rPr>
          <w:b w:val="false"/>
          <w:i w:val="false"/>
          <w:color w:val="000000"/>
          <w:sz w:val="20"/>
        </w:rPr>
        <w:t>☐</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6"/>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EXPLANATORY NOTE</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At the Annual General Meeting of Shareholders of InflaRx N.V. (the “Company”) held on April 23, 2026, the InflaRx N.V. Long-Term Incentive Plan 2026 (the “Plan”) was adopted. The Plan replaces the Company’s Long-Term Incentive Plan 2017 (as amended on January 1, 2021) (the “LTIP 2017”), provided that awards granted under the LTIP 2017 outstanding (and not yet exercised or settled) as of January 1, 2027 shall continue to be outstanding under, and subject to the terms of, the LTIP 2017 (and any Shares (as defined in the Plan) issued pursuant to such awards will therefore not reduce the number of Shares available for issuance under the Plan). The Plan includes an evergreen provision that provides that the total number of ordinary shares reserved for issuance under the Plan will be increased as of January 1 of each year starting January 1, 2027 by an amount equal to the lesser of (i) 6.5% of the outstanding ordinary shares on December 31 of the immediately preceding year or (ii) such number of ordinary shares as determined by the Company’s Board of Directors (the “Board”).</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We are filing this Registration Statement on Form S-8 (this “Registration Statement”) with the U.S. Securities and Exchange Commission (the “Commission”) to register 14,865,382 ordinary shares under the Plan, including 11,973,668 ordinary shares that may become reserved and again available for issuance pursuant to the evergreen provision of the Plan.</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6"/>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PART II</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INFORMATION REQUIRED IN THE REGISTRATION STATEMENT</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pBdr>
          <w:left w:space="54"/>
        </w:pBdr>
        <w:spacing w:before="0" w:after="0"/>
        <w:ind w:left="1560"/>
        <w:jc w:val="left"/>
      </w:pPr>
      <w:r>
        <w:rPr>
          <w:rFonts w:ascii="Times New Roman" w:hAnsi="Times New Roman"/>
          <w:b w:val="false"/>
          <w:i w:val="false"/>
          <w:color w:val="000000"/>
          <w:sz w:val="24"/>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4"/>
        </w:rPr>
        <w:t xml:space="preserve"> </w:t>
      </w:r>
      <w:r>
        <w:rPr>
          <w:rFonts w:ascii="Times New Roman" w:hAnsi="Times New Roman"/>
          <w:b/>
          <w:i w:val="false"/>
          <w:color w:val="000000"/>
          <w:sz w:val="20"/>
        </w:rPr>
        <w:t>Item 3.</w:t>
      </w:r>
      <w:r>
        <w:rPr>
          <w:rFonts w:ascii="Times New Roman" w:hAnsi="Times New Roman"/>
          <w:b w:val="false"/>
          <w:i w:val="false"/>
          <w:color w:val="000000"/>
          <w:sz w:val="24"/>
        </w:rPr>
        <w:t xml:space="preserve"> </w:t>
      </w:r>
    </w:p>
    <w:p>
      <w:pPr>
        <w:spacing w:before="0" w:after="0"/>
        <w:ind w:left="1560"/>
        <w:jc w:val="left"/>
      </w:pPr>
      <w:r>
        <w:rPr>
          <w:rFonts w:ascii="Times New Roman" w:hAnsi="Times New Roman"/>
          <w:b w:val="false"/>
          <w:i w:val="false"/>
          <w:color w:val="000000"/>
          <w:sz w:val="24"/>
        </w:rPr>
        <w:t xml:space="preserve"> </w:t>
      </w:r>
      <w:r>
        <w:rPr>
          <w:rFonts w:ascii="Times New Roman" w:hAnsi="Times New Roman"/>
          <w:b/>
          <w:i w:val="false"/>
          <w:color w:val="000000"/>
          <w:sz w:val="20"/>
        </w:rPr>
        <w:t>Incorporation of Certain Documents by Reference.</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The following documents are incorporated herein by reference:</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(a)</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 xml:space="preserve">The Company’s annual report on Form 20-F for the year ended December 31, 2025, filed on </w:t>
      </w:r>
      <w:r>
        <w:rPr>
          <w:rFonts w:ascii="Times New Roman" w:hAnsi="Times New Roman"/>
          <w:b/>
          <w:i w:val="false"/>
          <w:color w:val="000000"/>
          <w:sz w:val="20"/>
        </w:rPr>
        <w:t>March 20, 2026</w:t>
      </w:r>
      <w:r>
        <w:rPr>
          <w:rFonts w:ascii="Times New Roman" w:hAnsi="Times New Roman"/>
          <w:b w:val="false"/>
          <w:i w:val="false"/>
          <w:color w:val="000000"/>
          <w:sz w:val="20"/>
        </w:rPr>
        <w:t>.</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(b)</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 xml:space="preserve">The Company’s Forms 6-K filed on </w:t>
      </w:r>
      <w:r>
        <w:rPr>
          <w:rFonts w:ascii="Times New Roman" w:hAnsi="Times New Roman"/>
          <w:b/>
          <w:i w:val="false"/>
          <w:color w:val="000000"/>
          <w:sz w:val="20"/>
        </w:rPr>
        <w:t>January 8, 2026</w:t>
      </w:r>
      <w:r>
        <w:rPr>
          <w:rFonts w:ascii="Times New Roman" w:hAnsi="Times New Roman"/>
          <w:b w:val="false"/>
          <w:i w:val="false"/>
          <w:color w:val="000000"/>
          <w:sz w:val="20"/>
        </w:rPr>
        <w:t xml:space="preserve">, </w:t>
      </w:r>
      <w:r>
        <w:rPr>
          <w:rFonts w:ascii="Times New Roman" w:hAnsi="Times New Roman"/>
          <w:b/>
          <w:i w:val="false"/>
          <w:color w:val="000000"/>
          <w:sz w:val="20"/>
        </w:rPr>
        <w:t>March 16, 2026</w:t>
      </w:r>
      <w:r>
        <w:rPr>
          <w:rFonts w:ascii="Times New Roman" w:hAnsi="Times New Roman"/>
          <w:b w:val="false"/>
          <w:i w:val="false"/>
          <w:color w:val="000000"/>
          <w:sz w:val="20"/>
        </w:rPr>
        <w:t xml:space="preserve">, </w:t>
      </w:r>
      <w:r>
        <w:rPr>
          <w:rFonts w:ascii="Times New Roman" w:hAnsi="Times New Roman"/>
          <w:b/>
          <w:i w:val="false"/>
          <w:color w:val="000000"/>
          <w:sz w:val="20"/>
        </w:rPr>
        <w:t>April 2, 2026</w:t>
      </w:r>
      <w:r>
        <w:rPr>
          <w:rFonts w:ascii="Times New Roman" w:hAnsi="Times New Roman"/>
          <w:b w:val="false"/>
          <w:i w:val="false"/>
          <w:color w:val="000000"/>
          <w:sz w:val="20"/>
        </w:rPr>
        <w:t xml:space="preserve">, </w:t>
      </w:r>
      <w:r>
        <w:rPr>
          <w:rFonts w:ascii="Times New Roman" w:hAnsi="Times New Roman"/>
          <w:b/>
          <w:i w:val="false"/>
          <w:color w:val="000000"/>
          <w:sz w:val="20"/>
        </w:rPr>
        <w:t>April 9, 2026</w:t>
      </w:r>
      <w:r>
        <w:rPr>
          <w:rFonts w:ascii="Times New Roman" w:hAnsi="Times New Roman"/>
          <w:b w:val="false"/>
          <w:i w:val="false"/>
          <w:color w:val="000000"/>
          <w:sz w:val="20"/>
        </w:rPr>
        <w:t xml:space="preserve">, </w:t>
      </w:r>
      <w:r>
        <w:rPr>
          <w:rFonts w:ascii="Times New Roman" w:hAnsi="Times New Roman"/>
          <w:b/>
          <w:i w:val="false"/>
          <w:color w:val="000000"/>
          <w:sz w:val="20"/>
        </w:rPr>
        <w:t>April 23, 2026</w:t>
      </w:r>
      <w:r>
        <w:rPr>
          <w:rFonts w:ascii="Times New Roman" w:hAnsi="Times New Roman"/>
          <w:b w:val="false"/>
          <w:i w:val="false"/>
          <w:color w:val="000000"/>
          <w:sz w:val="20"/>
        </w:rPr>
        <w:t xml:space="preserve">, </w:t>
      </w:r>
      <w:r>
        <w:rPr>
          <w:rFonts w:ascii="Times New Roman" w:hAnsi="Times New Roman"/>
          <w:b/>
          <w:i w:val="false"/>
          <w:color w:val="000000"/>
          <w:sz w:val="20"/>
        </w:rPr>
        <w:t>April 28, 2026</w:t>
      </w:r>
      <w:r>
        <w:rPr>
          <w:rFonts w:ascii="Times New Roman" w:hAnsi="Times New Roman"/>
          <w:b w:val="false"/>
          <w:i w:val="false"/>
          <w:color w:val="000000"/>
          <w:sz w:val="20"/>
        </w:rPr>
        <w:t xml:space="preserve">, </w:t>
      </w:r>
      <w:r>
        <w:rPr>
          <w:rFonts w:ascii="Times New Roman" w:hAnsi="Times New Roman"/>
          <w:b/>
          <w:i w:val="false"/>
          <w:color w:val="000000"/>
          <w:sz w:val="20"/>
        </w:rPr>
        <w:t>May 4, 2026</w:t>
      </w:r>
      <w:r>
        <w:rPr>
          <w:rFonts w:ascii="Times New Roman" w:hAnsi="Times New Roman"/>
          <w:b w:val="false"/>
          <w:i w:val="false"/>
          <w:color w:val="000000"/>
          <w:sz w:val="20"/>
        </w:rPr>
        <w:t xml:space="preserve">, </w:t>
      </w:r>
      <w:r>
        <w:rPr>
          <w:rFonts w:ascii="Times New Roman" w:hAnsi="Times New Roman"/>
          <w:b/>
          <w:i w:val="false"/>
          <w:color w:val="000000"/>
          <w:sz w:val="20"/>
        </w:rPr>
        <w:t>May 6, 2026</w:t>
      </w:r>
      <w:r>
        <w:rPr>
          <w:rFonts w:ascii="Times New Roman" w:hAnsi="Times New Roman"/>
          <w:b w:val="false"/>
          <w:i w:val="false"/>
          <w:color w:val="000000"/>
          <w:sz w:val="20"/>
        </w:rPr>
        <w:t xml:space="preserve">, </w:t>
      </w:r>
      <w:r>
        <w:rPr>
          <w:rFonts w:ascii="Times New Roman" w:hAnsi="Times New Roman"/>
          <w:b/>
          <w:i w:val="false"/>
          <w:color w:val="000000"/>
          <w:sz w:val="20"/>
        </w:rPr>
        <w:t>May 7, 2026</w:t>
      </w:r>
      <w:r>
        <w:rPr>
          <w:rFonts w:ascii="Times New Roman" w:hAnsi="Times New Roman"/>
          <w:b w:val="false"/>
          <w:i w:val="false"/>
          <w:color w:val="000000"/>
          <w:sz w:val="20"/>
        </w:rPr>
        <w:t>, </w:t>
      </w:r>
      <w:r>
        <w:rPr>
          <w:rFonts w:ascii="Times New Roman" w:hAnsi="Times New Roman"/>
          <w:b/>
          <w:i w:val="false"/>
          <w:color w:val="000000"/>
          <w:sz w:val="20"/>
        </w:rPr>
        <w:t>June 30, 2026</w:t>
      </w:r>
      <w:r>
        <w:rPr>
          <w:rFonts w:ascii="Times New Roman" w:hAnsi="Times New Roman"/>
          <w:b w:val="false"/>
          <w:i w:val="false"/>
          <w:color w:val="000000"/>
          <w:sz w:val="20"/>
        </w:rPr>
        <w:t xml:space="preserve"> and </w:t>
      </w:r>
      <w:r>
        <w:rPr>
          <w:rFonts w:ascii="Times New Roman" w:hAnsi="Times New Roman"/>
          <w:b/>
          <w:i w:val="false"/>
          <w:color w:val="000000"/>
          <w:sz w:val="20"/>
        </w:rPr>
        <w:t>August 6, 2026</w:t>
      </w:r>
      <w:r>
        <w:rPr>
          <w:rFonts w:ascii="Times New Roman" w:hAnsi="Times New Roman"/>
          <w:b w:val="false"/>
          <w:i w:val="false"/>
          <w:color w:val="000000"/>
          <w:sz w:val="20"/>
        </w:rPr>
        <w:t>.</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(c)</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All other reports filed by the Company pursuant to Section 13(a) or 15(d) of the Exchange Act since the end of the fiscal year covered by the Company’s annual report referred to in (a) above.</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(d)</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 xml:space="preserve">The description of the Company’s ordinary shares contained in </w:t>
      </w:r>
      <w:r>
        <w:rPr>
          <w:rFonts w:ascii="Times New Roman" w:hAnsi="Times New Roman"/>
          <w:b/>
          <w:i w:val="false"/>
          <w:color w:val="000000"/>
          <w:sz w:val="20"/>
        </w:rPr>
        <w:t>Exhibit 2.4</w:t>
      </w:r>
      <w:r>
        <w:rPr>
          <w:rFonts w:ascii="Times New Roman" w:hAnsi="Times New Roman"/>
          <w:b w:val="false"/>
          <w:i w:val="false"/>
          <w:color w:val="000000"/>
          <w:sz w:val="20"/>
        </w:rPr>
        <w:t xml:space="preserve"> to our Annual Report on Form 20-F for the year ended December 31, 2025, including any amendments or reports filed for the purpose of updating such description.</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In addition, all documents subsequently filed by the Company with the Commission pursuant to Sections 13(a), 13(c), 14 and 15(d) of the Exchange Act, prior to the filing of a post-effective amendment to this Registration Statement which indicates that all securities offered have been sold or which deregisters all securities then remaining unsold, including any Reports of Foreign Private Issuers on Form 6-K submitted during such period (or portion thereof) that is identified in such form as being incorporated by reference into this Registration Statement, shall be deemed to be incorporated by reference in this Registration Statement and to be a part hereof from the date of the filing of such documents. The Company is not incorporating by reference any documents or portions thereof, whether specifically listed above or filed in the future, that are not deemed “filed” with the Commission.</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Any statement contained in a document incorporated or deemed to be incorporated by reference herein shall be deemed to be modified or superseded for purposes of this Registration Statement to the extent that a statement contained herein (or in any other subsequently filed document which also is incorporated or deemed to be incorporated by reference herein), modifies or supersedes such statement. Any such statement so modified or superseded shall not be deemed, except as so modified or superseded, to constitute a part of this Registration Statement.</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4"/>
        </w:rPr>
        <w:t xml:space="preserve"> </w:t>
      </w:r>
      <w:r>
        <w:rPr>
          <w:rFonts w:ascii="Times New Roman" w:hAnsi="Times New Roman"/>
          <w:b/>
          <w:i w:val="false"/>
          <w:color w:val="000000"/>
          <w:sz w:val="20"/>
        </w:rPr>
        <w:t>Item 6.</w:t>
      </w:r>
      <w:r>
        <w:rPr>
          <w:rFonts w:ascii="Times New Roman" w:hAnsi="Times New Roman"/>
          <w:b w:val="false"/>
          <w:i w:val="false"/>
          <w:color w:val="000000"/>
          <w:sz w:val="24"/>
        </w:rPr>
        <w:t xml:space="preserve"> </w:t>
      </w:r>
    </w:p>
    <w:p>
      <w:pPr>
        <w:spacing w:before="0" w:after="0"/>
        <w:ind w:left="1560"/>
        <w:jc w:val="left"/>
      </w:pPr>
      <w:r>
        <w:rPr>
          <w:rFonts w:ascii="Times New Roman" w:hAnsi="Times New Roman"/>
          <w:b w:val="false"/>
          <w:i w:val="false"/>
          <w:color w:val="000000"/>
          <w:sz w:val="24"/>
        </w:rPr>
        <w:t xml:space="preserve"> </w:t>
      </w:r>
      <w:r>
        <w:rPr>
          <w:rFonts w:ascii="Times New Roman" w:hAnsi="Times New Roman"/>
          <w:b/>
          <w:i w:val="false"/>
          <w:color w:val="000000"/>
          <w:sz w:val="20"/>
        </w:rPr>
        <w:t>Indemnification of Directors and Officers.</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The Company’s current and former directors (and such other current or former employee as designated by the Board) have the benefit of the following indemnification provisions in our Articles of Association:</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Indemnified persons shall be reimbursed for:</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(a)</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any financial losses or damages incurred by such indemnified person;</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(b)</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any expense reasonably paid or incurred by such indemnified person in connection with any threatened, pending or completed suit, claim, action or legal proceedings of a civil, criminal, administrative or other nature, formal or informal, in which he becomes involved:</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in each case to the extent this relates to his current or former position with the company and/or a group company and in each case to the extent permitted by applicable law.</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There shall be no entitlement to reimbursement as referred to above:</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(a)</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if a competent court or arbitral tribunal has established that the acts or omissions of such indemnified person that led to the financial losses, damages, expenses, suit, claim, action or legal proceedings as described above are of an unlawful nature (including acts or omissions that are considered to constitute malice, gross negligence, intentional recklessness and/or serious culpability attributable to such indemnified person);</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6"/>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(b)</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to the extent that his financial losses, damages and expenses are covered under an insurance and the relevant insurer has settled, or has provided reimbursement for, these financial losses, damages and expenses (or has irrevocably undertaken to do so); or</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(c)</w:t>
      </w:r>
      <w:r>
        <w:rPr>
          <w:rFonts w:ascii="Times New Roman" w:hAnsi="Times New Roman"/>
          <w:b w:val="false"/>
          <w:i w:val="false"/>
          <w:color w:val="000000"/>
          <w:sz w:val="24"/>
        </w:rPr>
        <w:t xml:space="preserve"> </w:t>
      </w:r>
    </w:p>
    <w:p>
      <w:pPr>
        <w:spacing w:before="0" w:after="0"/>
        <w:ind w:left="84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in relation to proceedings brought by such indemnified person against the Company, except for proceedings brought to enforce indemnification to which he is entitled pursuant to the Articles of Association, pursuant to an agreement between such indemnified person and the company that has been approved by the Board or pursuant to an insurance taken out by the Company for the benefit of such indemnified person.</w:t>
      </w:r>
      <w:r>
        <w:rPr>
          <w:rFonts w:ascii="Times New Roman" w:hAnsi="Times New Roman"/>
          <w:b w:val="false"/>
          <w:i w:val="false"/>
          <w:color w:val="000000"/>
          <w:sz w:val="24"/>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The Board may stipulate additional terms, conditions and restrictions in relation to the indemnification referred to above. We also entered into indemnification agreements with each of our directors and executive officers.</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4"/>
        </w:rPr>
        <w:t xml:space="preserve"> </w:t>
      </w:r>
      <w:r>
        <w:rPr>
          <w:rFonts w:ascii="Times New Roman" w:hAnsi="Times New Roman"/>
          <w:b/>
          <w:i w:val="false"/>
          <w:color w:val="000000"/>
          <w:sz w:val="20"/>
        </w:rPr>
        <w:t>Item 8.</w:t>
      </w:r>
      <w:r>
        <w:rPr>
          <w:rFonts w:ascii="Times New Roman" w:hAnsi="Times New Roman"/>
          <w:b w:val="false"/>
          <w:i w:val="false"/>
          <w:color w:val="000000"/>
          <w:sz w:val="24"/>
        </w:rPr>
        <w:t xml:space="preserve"> </w:t>
      </w:r>
    </w:p>
    <w:p>
      <w:pPr>
        <w:spacing w:before="0" w:after="0"/>
        <w:ind w:left="1560"/>
        <w:jc w:val="left"/>
      </w:pPr>
      <w:r>
        <w:rPr>
          <w:rFonts w:ascii="Times New Roman" w:hAnsi="Times New Roman"/>
          <w:b w:val="false"/>
          <w:i w:val="false"/>
          <w:color w:val="000000"/>
          <w:sz w:val="24"/>
        </w:rPr>
        <w:t xml:space="preserve"> </w:t>
      </w:r>
      <w:r>
        <w:rPr>
          <w:rFonts w:ascii="Times New Roman" w:hAnsi="Times New Roman"/>
          <w:b/>
          <w:i w:val="false"/>
          <w:color w:val="000000"/>
          <w:sz w:val="20"/>
        </w:rPr>
        <w:t>Exhibits</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u w:val="single"/>
        </w:rPr>
        <w:t>EXHIBIT INDEX</w:t>
      </w:r>
      <w:r>
        <w:rPr>
          <w:rFonts w:ascii="Times New Roman" w:hAnsi="Times New Roman"/>
          <w:b w:val="false"/>
          <w:i w:val="false"/>
          <w:color w:val="000000"/>
          <w:sz w:val="24"/>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955"/>
        <w:gridCol w:w="136"/>
        <w:gridCol w:w="12543"/>
      </w:tblGrid>
      <w:tr>
        <w:trPr>
          <w:trHeight w:val="30"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450" w:hRule="atLeast"/>
        </w:trPr>
        <w:tc>
          <w:tcPr>
            <w:tcW w:w="955"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Exhibit</w:t>
            </w:r>
            <w:r>
              <w:rPr>
                <w:rFonts w:ascii="Times New Roman" w:hAnsi="Times New Roman"/>
                <w:b w:val="false"/>
                <w:i w:val="false"/>
                <w:color w:val="000000"/>
                <w:sz w:val="20"/>
              </w:rPr>
              <w:t xml:space="preserve">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Number</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0"/>
              <w:jc w:val="left"/>
            </w:pPr>
            <w:r>
              <w:rPr>
                <w:rFonts w:ascii="Times New Roman" w:hAnsi="Times New Roman"/>
                <w:b w:val="false"/>
                <w:i w:val="false"/>
                <w:color w:val="000000"/>
                <w:sz w:val="20"/>
              </w:rPr>
              <w:t> </w:t>
            </w:r>
          </w:p>
        </w:tc>
        <w:tc>
          <w:tcPr>
            <w:tcW w:w="12543" w:type="dxa"/>
            <w:tcBorders>
              <w:bottom w:val="single" w:color="000000" w:sz="16"/>
            </w:tcBorders>
            <w:tcMar>
              <w:top w:w="15" w:type="dxa"/>
              <w:left w:w="15" w:type="dxa"/>
              <w:bottom w:w="15" w:type="dxa"/>
              <w:right w:w="15" w:type="dxa"/>
            </w:tcMar>
            <w:vAlign w:val="bottom"/>
          </w:tcPr>
          <w:p>
            <w:pPr>
              <w:spacing w:before="0" w:after="0"/>
              <w:ind w:left="0"/>
              <w:jc w:val="center"/>
            </w:pPr>
            <w:r>
              <w:rPr>
                <w:rFonts w:ascii="Times New Roman" w:hAnsi="Times New Roman"/>
                <w:b/>
                <w:i w:val="false"/>
                <w:color w:val="000000"/>
                <w:sz w:val="20"/>
              </w:rPr>
              <w:t>Description</w:t>
            </w:r>
          </w:p>
        </w:tc>
      </w:tr>
      <w:tr>
        <w:trPr>
          <w:trHeight w:val="240"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660" w:hRule="atLeast"/>
        </w:trPr>
        <w:tc>
          <w:tcPr>
            <w:tcW w:w="95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4.1</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Articles of Association of InflaRx N.V., dated August 25, 2021 (English language translation) (incorporated herein by reference to Exhibit 1.1 to the Annual Report on Form 20-F for the year ended December 31, 2025 filed with the SEC on March 20, 2026). </w:t>
            </w:r>
          </w:p>
        </w:tc>
      </w:tr>
      <w:tr>
        <w:trPr>
          <w:trHeight w:val="240" w:hRule="atLeast"/>
        </w:trPr>
        <w:tc>
          <w:tcPr>
            <w:tcW w:w="95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435" w:hRule="atLeast"/>
        </w:trPr>
        <w:tc>
          <w:tcPr>
            <w:tcW w:w="95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4.2</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Deed of Amendment to the Articles of Association, dated April 23, 2026 (incorporated herein by reference to Exhibit 99.1 to the Form 6-K Report filed with the SEC on April 23, 2026). </w:t>
            </w:r>
          </w:p>
        </w:tc>
      </w:tr>
      <w:tr>
        <w:trPr>
          <w:trHeight w:val="240"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435" w:hRule="atLeast"/>
        </w:trPr>
        <w:tc>
          <w:tcPr>
            <w:tcW w:w="95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4.3</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Registration Rights Agreement (incorporated herein by reference to Exhibit 4.2 to Post-Effective Amendment No. 1 to the Company’s Registration Statement on Form F-1, filed on November 9, 2017 (Registration No. 333-220962)). </w:t>
            </w:r>
          </w:p>
        </w:tc>
      </w:tr>
      <w:tr>
        <w:trPr>
          <w:trHeight w:val="240"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435" w:hRule="atLeast"/>
        </w:trPr>
        <w:tc>
          <w:tcPr>
            <w:tcW w:w="95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5.1*</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Opinion of NautaDutilh N.V., Dutch counsel of the Company, as to the validity of the ordinary shares (filed herewith). </w:t>
            </w:r>
          </w:p>
        </w:tc>
      </w:tr>
      <w:tr>
        <w:trPr>
          <w:trHeight w:val="240"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40" w:hRule="atLeast"/>
        </w:trPr>
        <w:tc>
          <w:tcPr>
            <w:tcW w:w="95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23.1*</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Consent of NautaDutilh N.V., counsel of the Company (included in Exhibit 5.1). </w:t>
            </w:r>
          </w:p>
        </w:tc>
      </w:tr>
      <w:tr>
        <w:trPr>
          <w:trHeight w:val="240" w:hRule="atLeast"/>
        </w:trPr>
        <w:tc>
          <w:tcPr>
            <w:tcW w:w="95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55" w:hRule="atLeast"/>
        </w:trPr>
        <w:tc>
          <w:tcPr>
            <w:tcW w:w="955" w:type="dxa"/>
            <w:tcBorders/>
            <w:tcMar>
              <w:top w:w="15" w:type="dxa"/>
              <w:left w:w="15" w:type="dxa"/>
              <w:bottom w:w="15" w:type="dxa"/>
              <w:right w:w="15" w:type="dxa"/>
            </w:tcMar>
            <w:vAlign w:val="top"/>
          </w:tcPr>
          <w:p>
            <w:pPr>
              <w:spacing w:before="0" w:after="0"/>
              <w:ind w:left="0"/>
              <w:jc w:val="left"/>
            </w:pPr>
            <w:r>
              <w:rPr>
                <w:rFonts w:ascii="Times New Roman" w:hAnsi="Times New Roman"/>
                <w:b/>
                <w:i w:val="false"/>
                <w:color w:val="000000"/>
                <w:sz w:val="20"/>
              </w:rPr>
              <w:t>23.2*</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Consent of KPMG AG Wirtschaftsprüfungsgesellschaft.</w:t>
            </w:r>
          </w:p>
        </w:tc>
      </w:tr>
      <w:tr>
        <w:trPr>
          <w:trHeight w:val="240" w:hRule="atLeast"/>
        </w:trPr>
        <w:tc>
          <w:tcPr>
            <w:tcW w:w="95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r>
      <w:tr>
        <w:trPr>
          <w:trHeight w:val="240" w:hRule="atLeast"/>
        </w:trPr>
        <w:tc>
          <w:tcPr>
            <w:tcW w:w="955"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23.3*</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0"/>
              </w:rPr>
              <w:t xml:space="preserve"> Consent of EY GmbH &amp; Co. KG Wirtschaftsprüfungsgesellschaft. </w:t>
            </w:r>
          </w:p>
        </w:tc>
      </w:tr>
      <w:tr>
        <w:trPr>
          <w:trHeight w:val="240"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40" w:hRule="atLeast"/>
        </w:trPr>
        <w:tc>
          <w:tcPr>
            <w:tcW w:w="955"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24.1*</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Power of Attorney (included in the signature pages hereto). </w:t>
            </w:r>
          </w:p>
        </w:tc>
      </w:tr>
      <w:tr>
        <w:trPr>
          <w:trHeight w:val="240"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40" w:hRule="atLeast"/>
        </w:trPr>
        <w:tc>
          <w:tcPr>
            <w:tcW w:w="955"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i w:val="false"/>
                <w:color w:val="000000"/>
                <w:sz w:val="20"/>
              </w:rPr>
              <w:t>99.1*</w:t>
            </w: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120"/>
              <w:jc w:val="left"/>
            </w:pPr>
            <w:r>
              <w:rPr>
                <w:rFonts w:ascii="Times New Roman" w:hAnsi="Times New Roman"/>
                <w:b w:val="false"/>
                <w:i w:val="false"/>
                <w:color w:val="000000"/>
                <w:sz w:val="20"/>
              </w:rPr>
              <w:t xml:space="preserve"> InflaRx N.V. Long-Term Incentive Plan 2026. </w:t>
            </w:r>
          </w:p>
        </w:tc>
      </w:tr>
      <w:tr>
        <w:trPr>
          <w:trHeight w:val="240"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55" w:hRule="atLeast"/>
        </w:trPr>
        <w:tc>
          <w:tcPr>
            <w:tcW w:w="955"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0"/>
              </w:rPr>
              <w:t>107*</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c>
          <w:tcPr>
            <w:tcW w:w="12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Filing Fee Table</w:t>
            </w:r>
          </w:p>
        </w:tc>
      </w:tr>
    </w:tbl>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*Filed herewith.</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6"/>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r>
        <w:rPr>
          <w:rFonts w:ascii="Times New Roman" w:hAnsi="Times New Roman"/>
          <w:b/>
          <w:i w:val="false"/>
          <w:color w:val="000000"/>
          <w:sz w:val="20"/>
        </w:rPr>
        <w:t>SIGNATURES</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 xml:space="preserve">Pursuant to the requirements of the Securities Act of 1933, as amended, the registrant certifies that it has reasonable grounds to believe that it meets all of the requirements for filing this Registration Statement and has duly caused this Registration Statement to be signed on its behalf by the undersigned, thereunto duly authorized, in the City of Jena, Germany on August 6, 2026.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749"/>
        <w:gridCol w:w="528"/>
        <w:gridCol w:w="6357"/>
      </w:tblGrid>
      <w:tr>
        <w:trPr>
          <w:trHeight w:val="30" w:hRule="atLeast"/>
        </w:trPr>
        <w:tc>
          <w:tcPr>
            <w:tcW w:w="6749"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2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35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15" w:hRule="atLeast"/>
        </w:trPr>
        <w:tc>
          <w:tcPr>
            <w:tcW w:w="674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0" w:type="auto"/>
            <w:gridSpan w:val="2"/>
            <w:tcBorders/>
            <w:tcMar>
              <w:top w:w="15" w:type="dxa"/>
              <w:left w:w="40" w:type="dxa"/>
              <w:bottom w:w="15" w:type="dxa"/>
              <w:right w:w="40" w:type="dxa"/>
            </w:tcMar>
            <w:vAlign w:val="bottom"/>
          </w:tcPr>
          <w:p>
            <w:pPr>
              <w:spacing w:before="0" w:after="0"/>
              <w:ind w:left="173"/>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INFLARX N.V.</w:t>
            </w:r>
            <w:r>
              <w:rPr>
                <w:rFonts w:ascii="Times New Roman" w:hAnsi="Times New Roman"/>
                <w:b w:val="false"/>
                <w:i w:val="false"/>
                <w:color w:val="000000"/>
                <w:sz w:val="24"/>
              </w:rPr>
              <w:t xml:space="preserve"> </w:t>
            </w:r>
          </w:p>
        </w:tc>
      </w:tr>
      <w:tr>
        <w:trPr>
          <w:trHeight w:val="315" w:hRule="atLeast"/>
        </w:trPr>
        <w:tc>
          <w:tcPr>
            <w:tcW w:w="674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28"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635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315" w:hRule="atLeast"/>
        </w:trPr>
        <w:tc>
          <w:tcPr>
            <w:tcW w:w="674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28" w:type="dxa"/>
            <w:tcBorders/>
            <w:tcMar>
              <w:top w:w="15" w:type="dxa"/>
              <w:left w:w="40" w:type="dxa"/>
              <w:bottom w:w="15" w:type="dxa"/>
              <w:right w:w="40" w:type="dxa"/>
            </w:tcMar>
            <w:vAlign w:val="bottom"/>
          </w:tcPr>
          <w:p>
            <w:pPr>
              <w:spacing w:before="0" w:after="0"/>
              <w:ind w:left="173"/>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By:</w:t>
            </w:r>
            <w:r>
              <w:rPr>
                <w:rFonts w:ascii="Times New Roman" w:hAnsi="Times New Roman"/>
                <w:b w:val="false"/>
                <w:i w:val="false"/>
                <w:color w:val="000000"/>
                <w:sz w:val="24"/>
              </w:rPr>
              <w:t xml:space="preserve"> </w:t>
            </w:r>
          </w:p>
        </w:tc>
        <w:tc>
          <w:tcPr>
            <w:tcW w:w="6357" w:type="dxa"/>
            <w:tcBorders>
              <w:bottom w:val="single" w:color="000000" w:sz="16"/>
            </w:tcBorders>
            <w:tcMar>
              <w:top w:w="15" w:type="dxa"/>
              <w:left w:w="40" w:type="dxa"/>
              <w:bottom w:w="15" w:type="dxa"/>
              <w:right w:w="40" w:type="dxa"/>
            </w:tcMar>
            <w:vAlign w:val="bottom"/>
          </w:tcPr>
          <w:p>
            <w:pPr>
              <w:spacing w:before="0" w:after="0"/>
              <w:ind w:left="173"/>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/s/ Niels Riedemann</w:t>
            </w:r>
            <w:r>
              <w:rPr>
                <w:rFonts w:ascii="Times New Roman" w:hAnsi="Times New Roman"/>
                <w:b w:val="false"/>
                <w:i w:val="false"/>
                <w:color w:val="000000"/>
                <w:sz w:val="24"/>
              </w:rPr>
              <w:t xml:space="preserve"> </w:t>
            </w:r>
          </w:p>
        </w:tc>
      </w:tr>
      <w:tr>
        <w:trPr>
          <w:trHeight w:val="315" w:hRule="atLeast"/>
        </w:trPr>
        <w:tc>
          <w:tcPr>
            <w:tcW w:w="674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0" w:type="auto"/>
            <w:gridSpan w:val="2"/>
            <w:tcBorders/>
            <w:tcMar>
              <w:top w:w="15" w:type="dxa"/>
              <w:left w:w="40" w:type="dxa"/>
              <w:bottom w:w="15" w:type="dxa"/>
              <w:right w:w="40" w:type="dxa"/>
            </w:tcMar>
            <w:vAlign w:val="bottom"/>
          </w:tcPr>
          <w:p>
            <w:pPr>
              <w:spacing w:before="0" w:after="0"/>
              <w:ind w:left="173"/>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Name: Niels Riedemann</w:t>
            </w:r>
            <w:r>
              <w:rPr>
                <w:rFonts w:ascii="Times New Roman" w:hAnsi="Times New Roman"/>
                <w:b w:val="false"/>
                <w:i w:val="false"/>
                <w:color w:val="000000"/>
                <w:sz w:val="24"/>
              </w:rPr>
              <w:t xml:space="preserve"> </w:t>
            </w:r>
          </w:p>
        </w:tc>
      </w:tr>
      <w:tr>
        <w:trPr>
          <w:trHeight w:val="315" w:hRule="atLeast"/>
        </w:trPr>
        <w:tc>
          <w:tcPr>
            <w:tcW w:w="6749"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0" w:type="auto"/>
            <w:gridSpan w:val="2"/>
            <w:tcBorders/>
            <w:tcMar>
              <w:top w:w="15" w:type="dxa"/>
              <w:left w:w="40" w:type="dxa"/>
              <w:bottom w:w="15" w:type="dxa"/>
              <w:right w:w="40" w:type="dxa"/>
            </w:tcMar>
            <w:vAlign w:val="bottom"/>
          </w:tcPr>
          <w:p>
            <w:pPr>
              <w:spacing w:before="0" w:after="0"/>
              <w:ind w:left="173"/>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 xml:space="preserve">Title: Chief Executive Officer </w:t>
            </w:r>
          </w:p>
        </w:tc>
      </w:tr>
    </w:tbl>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4"/>
        </w:rPr>
        <w:t xml:space="preserve"> </w:t>
      </w:r>
      <w:bookmarkStart w:name="POWER_OF_ATTORNEY" w:id="0"/>
      <w:bookmarkEnd w:id="0"/>
      <w:r>
        <w:rPr>
          <w:rFonts w:ascii="Times New Roman" w:hAnsi="Times New Roman"/>
          <w:b/>
          <w:i w:val="false"/>
          <w:color w:val="000000"/>
          <w:sz w:val="20"/>
        </w:rPr>
        <w:t>POWER OF ATTORNEY</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Each person whose signature appears below hereby constitutes and appoints Niels Riedemann and Thomas Taapken and each of them, individually, as his true and lawful attorneys-in-fact and agents, with full power of substitution and re-substitution, for him and in his name, place and stead in any and all capacities, in connection with this Registration Statement on Form S-8, including to sign in the name and on behalf of the undersigned, this Registration Statement and any and all amendments thereto, including post-effective amendments and registrations filed pursuant to Rule 462 under the Securities Act of 1933, as amended, and to file the same, with all exhibits thereto, and other documents in connection therewith, with the U.S. Securities and Exchange Commission, granting unto such attorneys-in-fact and agents full power and authority to do and perform each and every act and thing requisite and necessary to be done in and about the premises, as fully to all intents and purposes as he might or could do in person, hereby ratifying and confirming all that said attorneys-in-fact and agents or his substitute, may lawfully do or cause to be done by virtue hereof.</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4"/>
        </w:rPr>
        <w:t xml:space="preserve"> </w:t>
      </w:r>
      <w:r>
        <w:rPr>
          <w:rFonts w:ascii="Times New Roman" w:hAnsi="Times New Roman"/>
          <w:b w:val="false"/>
          <w:i w:val="false"/>
          <w:color w:val="000000"/>
          <w:sz w:val="20"/>
        </w:rPr>
        <w:t>Pursuant to the requirements of the Securities Act of 1933, as amended, this Registration Statement has been signed by the following persons on August 6, 2026 in the capacities and on the dates indicated.</w:t>
      </w:r>
      <w:r>
        <w:rPr>
          <w:rFonts w:ascii="Times New Roman" w:hAnsi="Times New Roman"/>
          <w:b w:val="false"/>
          <w:i w:val="false"/>
          <w:color w:val="000000"/>
          <w:sz w:val="24"/>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5454"/>
        <w:gridCol w:w="137"/>
        <w:gridCol w:w="5453"/>
        <w:gridCol w:w="136"/>
        <w:gridCol w:w="2454"/>
      </w:tblGrid>
      <w:tr>
        <w:trPr>
          <w:trHeight w:val="30" w:hRule="atLeast"/>
        </w:trPr>
        <w:tc>
          <w:tcPr>
            <w:tcW w:w="545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137"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5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13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245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270" w:hRule="atLeast"/>
        </w:trPr>
        <w:tc>
          <w:tcPr>
            <w:tcW w:w="5454" w:type="dxa"/>
            <w:tcBorders>
              <w:bottom w:val="single" w:color="000000" w:sz="16"/>
            </w:tcBorders>
            <w:tcMar>
              <w:top w:w="15" w:type="dxa"/>
              <w:left w:w="40" w:type="dxa"/>
              <w:bottom w:w="15" w:type="dxa"/>
              <w:right w:w="40" w:type="dxa"/>
            </w:tcMar>
            <w:vAlign w:val="bottom"/>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i w:val="false"/>
                <w:color w:val="000000"/>
                <w:sz w:val="20"/>
              </w:rPr>
              <w:t>Signature</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bottom w:val="single" w:color="000000" w:sz="16"/>
            </w:tcBorders>
            <w:tcMar>
              <w:top w:w="15" w:type="dxa"/>
              <w:left w:w="40" w:type="dxa"/>
              <w:bottom w:w="15" w:type="dxa"/>
              <w:right w:w="40" w:type="dxa"/>
            </w:tcMar>
            <w:vAlign w:val="bottom"/>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i w:val="false"/>
                <w:color w:val="000000"/>
                <w:sz w:val="20"/>
              </w:rPr>
              <w:t>Title</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bottom w:val="single" w:color="000000" w:sz="16"/>
            </w:tcBorders>
            <w:tcMar>
              <w:top w:w="15" w:type="dxa"/>
              <w:left w:w="40" w:type="dxa"/>
              <w:bottom w:w="15" w:type="dxa"/>
              <w:right w:w="40" w:type="dxa"/>
            </w:tcMar>
            <w:vAlign w:val="bottom"/>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i w:val="false"/>
                <w:color w:val="000000"/>
                <w:sz w:val="20"/>
              </w:rPr>
              <w:t>Date</w:t>
            </w:r>
            <w:r>
              <w:rPr>
                <w:rFonts w:ascii="Times New Roman" w:hAnsi="Times New Roman"/>
                <w:b w:val="false"/>
                <w:i w:val="false"/>
                <w:color w:val="000000"/>
                <w:sz w:val="24"/>
              </w:rPr>
              <w:t xml:space="preserve"> </w:t>
            </w:r>
          </w:p>
        </w:tc>
      </w:tr>
      <w:tr>
        <w:trPr>
          <w:trHeight w:val="225" w:hRule="atLeast"/>
        </w:trPr>
        <w:tc>
          <w:tcPr>
            <w:tcW w:w="5454" w:type="dxa"/>
            <w:tcBorders>
              <w:top w:val="single" w:color="000000" w:sz="11"/>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op w:val="single" w:color="000000" w:sz="11"/>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op w:val="single" w:color="000000" w:sz="11"/>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bottom w:val="single" w:color="000000" w:sz="16"/>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/s/ Niels Riedemann</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525" w:hRule="atLeast"/>
        </w:trPr>
        <w:tc>
          <w:tcPr>
            <w:tcW w:w="5454" w:type="dxa"/>
            <w:tcBorders>
              <w:top w:val="single" w:color="000000" w:sz="11"/>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Niels Riedemann</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Chief Executive Officer and Director</w:t>
            </w:r>
            <w:r>
              <w:rPr>
                <w:rFonts w:ascii="Times New Roman" w:hAnsi="Times New Roman"/>
                <w:b w:val="false"/>
                <w:i w:val="false"/>
                <w:color w:val="000000"/>
                <w:sz w:val="24"/>
              </w:rPr>
              <w:t xml:space="preserve"> </w:t>
            </w:r>
          </w:p>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(Principal Executive Officer)</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August 6, 2026</w:t>
            </w:r>
            <w:r>
              <w:rPr>
                <w:rFonts w:ascii="Times New Roman" w:hAnsi="Times New Roman"/>
                <w:b w:val="false"/>
                <w:i w:val="false"/>
                <w:color w:val="000000"/>
                <w:sz w:val="24"/>
              </w:rPr>
              <w:t xml:space="preserve"> </w:t>
            </w:r>
          </w:p>
        </w:tc>
      </w:tr>
      <w:tr>
        <w:trPr>
          <w:trHeight w:val="210" w:hRule="atLeast"/>
        </w:trPr>
        <w:tc>
          <w:tcPr>
            <w:tcW w:w="5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85" w:hRule="atLeast"/>
        </w:trPr>
        <w:tc>
          <w:tcPr>
            <w:tcW w:w="5454" w:type="dxa"/>
            <w:tcBorders>
              <w:bottom w:val="single" w:color="000000" w:sz="16"/>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/s/ Thomas Taapken</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vMerge w:val="restart"/>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Chief Financial Officer</w:t>
            </w:r>
            <w:r>
              <w:rPr>
                <w:rFonts w:ascii="Times New Roman" w:hAnsi="Times New Roman"/>
                <w:b w:val="false"/>
                <w:i w:val="false"/>
                <w:color w:val="000000"/>
                <w:sz w:val="24"/>
              </w:rPr>
              <w:t xml:space="preserve"> </w:t>
            </w:r>
          </w:p>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(Principal Financial and Accounting Officer)</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top w:val="single" w:color="000000" w:sz="11"/>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Thomas Taapken</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0" w:type="auto"/>
            <w:vMerge/>
            <w:tcBorders>
              <w:top w:val="nil"/>
            </w:tcBorders>
          </w:tcP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August 6, 2026</w:t>
            </w:r>
            <w:r>
              <w:rPr>
                <w:rFonts w:ascii="Times New Roman" w:hAnsi="Times New Roman"/>
                <w:b w:val="false"/>
                <w:i w:val="false"/>
                <w:color w:val="000000"/>
                <w:sz w:val="24"/>
              </w:rPr>
              <w:t xml:space="preserve"> </w:t>
            </w:r>
          </w:p>
        </w:tc>
      </w:tr>
      <w:tr>
        <w:trPr>
          <w:trHeight w:val="210" w:hRule="atLeast"/>
        </w:trPr>
        <w:tc>
          <w:tcPr>
            <w:tcW w:w="5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bottom w:val="single" w:color="000000" w:sz="16"/>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/s/ Nicolas Fulpius</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top w:val="single" w:color="000000" w:sz="11"/>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Nicolas Fulpius</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Chairman and </w:t>
            </w:r>
            <w:r>
              <w:rPr>
                <w:rFonts w:ascii="Times New Roman" w:hAnsi="Times New Roman"/>
                <w:b w:val="false"/>
                <w:i w:val="false"/>
                <w:color w:val="000000"/>
                <w:sz w:val="20"/>
              </w:rPr>
              <w:t>Director </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August 6, 2026</w:t>
            </w:r>
            <w:r>
              <w:rPr>
                <w:rFonts w:ascii="Times New Roman" w:hAnsi="Times New Roman"/>
                <w:b w:val="false"/>
                <w:i w:val="false"/>
                <w:color w:val="000000"/>
                <w:sz w:val="24"/>
              </w:rPr>
              <w:t xml:space="preserve"> </w:t>
            </w:r>
          </w:p>
        </w:tc>
      </w:tr>
      <w:tr>
        <w:trPr>
          <w:trHeight w:val="210" w:hRule="atLeast"/>
        </w:trPr>
        <w:tc>
          <w:tcPr>
            <w:tcW w:w="5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bottom w:val="single" w:color="000000" w:sz="16"/>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/s/ Renfeng Guo</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0"/>
              </w:rPr>
              <w:t xml:space="preserve">   </w:t>
            </w:r>
          </w:p>
        </w:tc>
      </w:tr>
      <w:tr>
        <w:trPr>
          <w:trHeight w:val="525" w:hRule="atLeast"/>
        </w:trPr>
        <w:tc>
          <w:tcPr>
            <w:tcW w:w="5454" w:type="dxa"/>
            <w:tcBorders>
              <w:top w:val="single" w:color="000000" w:sz="11"/>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Renfeng Guo</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Director and Authorized Representative in the United States</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August 6, 2026</w:t>
            </w:r>
            <w:r>
              <w:rPr>
                <w:rFonts w:ascii="Times New Roman" w:hAnsi="Times New Roman"/>
                <w:b w:val="false"/>
                <w:i w:val="false"/>
                <w:color w:val="000000"/>
                <w:sz w:val="24"/>
              </w:rPr>
              <w:t xml:space="preserve"> </w:t>
            </w:r>
          </w:p>
        </w:tc>
      </w:tr>
      <w:tr>
        <w:trPr>
          <w:trHeight w:val="210" w:hRule="atLeast"/>
        </w:trPr>
        <w:tc>
          <w:tcPr>
            <w:tcW w:w="5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bottom w:val="single" w:color="000000" w:sz="16"/>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 xml:space="preserve">/s/ Richard Brudnick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top w:val="single" w:color="000000" w:sz="11"/>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Richard Brudnick</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Director</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August 6, 2026</w:t>
            </w:r>
            <w:r>
              <w:rPr>
                <w:rFonts w:ascii="Times New Roman" w:hAnsi="Times New Roman"/>
                <w:b w:val="false"/>
                <w:i w:val="false"/>
                <w:color w:val="000000"/>
                <w:sz w:val="24"/>
              </w:rPr>
              <w:t xml:space="preserve"> </w:t>
            </w:r>
          </w:p>
        </w:tc>
      </w:tr>
      <w:tr>
        <w:trPr>
          <w:trHeight w:val="285" w:hRule="atLeast"/>
        </w:trPr>
        <w:tc>
          <w:tcPr>
            <w:tcW w:w="5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bottom w:val="single" w:color="000000" w:sz="16"/>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 xml:space="preserve">/s/ Mark Kubler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top w:val="single" w:color="000000" w:sz="11"/>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Mark Kubler</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Director</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August 6, 2026</w:t>
            </w:r>
            <w:r>
              <w:rPr>
                <w:rFonts w:ascii="Times New Roman" w:hAnsi="Times New Roman"/>
                <w:b w:val="false"/>
                <w:i w:val="false"/>
                <w:color w:val="000000"/>
                <w:sz w:val="24"/>
              </w:rPr>
              <w:t xml:space="preserve"> </w:t>
            </w:r>
          </w:p>
        </w:tc>
      </w:tr>
      <w:tr>
        <w:trPr>
          <w:trHeight w:val="210" w:hRule="atLeast"/>
        </w:trPr>
        <w:tc>
          <w:tcPr>
            <w:tcW w:w="5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bottom w:val="single" w:color="000000" w:sz="16"/>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/s/ Anthony Gibney</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top w:val="single" w:color="000000" w:sz="11"/>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Anthony Gibney</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Director</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August 6, 2026</w:t>
            </w:r>
            <w:r>
              <w:rPr>
                <w:rFonts w:ascii="Times New Roman" w:hAnsi="Times New Roman"/>
                <w:b w:val="false"/>
                <w:i w:val="false"/>
                <w:color w:val="000000"/>
                <w:sz w:val="24"/>
              </w:rPr>
              <w:t xml:space="preserve"> </w:t>
            </w:r>
          </w:p>
        </w:tc>
      </w:tr>
      <w:tr>
        <w:trPr>
          <w:trHeight w:val="210" w:hRule="atLeast"/>
        </w:trPr>
        <w:tc>
          <w:tcPr>
            <w:tcW w:w="5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bottom w:val="single" w:color="000000" w:sz="16"/>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/s/ Hege Hellstrom</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r>
      <w:tr>
        <w:trPr>
          <w:trHeight w:val="270" w:hRule="atLeast"/>
        </w:trPr>
        <w:tc>
          <w:tcPr>
            <w:tcW w:w="5454" w:type="dxa"/>
            <w:tcBorders>
              <w:top w:val="single" w:color="000000" w:sz="11"/>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Hege Hellstrom</w:t>
            </w:r>
            <w:r>
              <w:rPr>
                <w:rFonts w:ascii="Times New Roman" w:hAnsi="Times New Roman"/>
                <w:b w:val="false"/>
                <w:i w:val="false"/>
                <w:color w:val="000000"/>
                <w:sz w:val="24"/>
              </w:rPr>
              <w:t xml:space="preserve"> </w:t>
            </w:r>
          </w:p>
        </w:tc>
        <w:tc>
          <w:tcPr>
            <w:tcW w:w="137"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5453" w:type="dxa"/>
            <w:tcBorders/>
            <w:tcMar>
              <w:top w:w="15" w:type="dxa"/>
              <w:left w:w="40" w:type="dxa"/>
              <w:bottom w:w="15" w:type="dxa"/>
              <w:right w:w="40" w:type="dxa"/>
            </w:tcMar>
            <w:vAlign w:val="center"/>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Director</w:t>
            </w:r>
            <w:r>
              <w:rPr>
                <w:rFonts w:ascii="Times New Roman" w:hAnsi="Times New Roman"/>
                <w:b w:val="false"/>
                <w:i w:val="false"/>
                <w:color w:val="000000"/>
                <w:sz w:val="24"/>
              </w:rPr>
              <w:t xml:space="preserve"> </w:t>
            </w:r>
          </w:p>
        </w:tc>
        <w:tc>
          <w:tcPr>
            <w:tcW w:w="136" w:type="dxa"/>
            <w:tcBorders/>
            <w:tcMar>
              <w:top w:w="15" w:type="dxa"/>
              <w:left w:w="15" w:type="dxa"/>
              <w:bottom w:w="15" w:type="dxa"/>
              <w:right w:w="15" w:type="dxa"/>
            </w:tcMar>
            <w:vAlign w:val="bottom"/>
          </w:tcPr>
          <w:p>
            <w:pPr>
              <w:spacing w:before="0" w:after="0"/>
              <w:ind w:left="120"/>
              <w:jc w:val="left"/>
            </w:pPr>
            <w:r>
              <w:rPr>
                <w:rFonts w:ascii="Times New Roman" w:hAnsi="Times New Roman"/>
                <w:b w:val="false"/>
                <w:i w:val="false"/>
                <w:color w:val="000000"/>
                <w:sz w:val="20"/>
              </w:rPr>
              <w:t xml:space="preserve">   </w:t>
            </w:r>
          </w:p>
        </w:tc>
        <w:tc>
          <w:tcPr>
            <w:tcW w:w="2454" w:type="dxa"/>
            <w:tcBorders/>
            <w:tcMar>
              <w:top w:w="15" w:type="dxa"/>
              <w:left w:w="40" w:type="dxa"/>
              <w:bottom w:w="15" w:type="dxa"/>
              <w:right w:w="40" w:type="dxa"/>
            </w:tcMar>
            <w:vAlign w:val="top"/>
          </w:tcPr>
          <w:p>
            <w:pPr>
              <w:spacing w:before="0" w:after="0"/>
              <w:ind w:left="173"/>
              <w:jc w:val="center"/>
            </w:pPr>
            <w:r>
              <w:rPr>
                <w:rFonts w:ascii="Times New Roman" w:hAnsi="Times New Roman"/>
                <w:b w:val="false"/>
                <w:i w:val="false"/>
                <w:color w:val="000000"/>
                <w:sz w:val="24"/>
              </w:rPr>
              <w:t xml:space="preserve"> </w:t>
            </w:r>
            <w:r>
              <w:rPr>
                <w:rFonts w:ascii="Times New Roman" w:hAnsi="Times New Roman"/>
                <w:b w:val="false"/>
                <w:i w:val="false"/>
                <w:color w:val="000000"/>
                <w:sz w:val="20"/>
              </w:rPr>
              <w:t>August 6, 2026</w:t>
            </w:r>
            <w:r>
              <w:rPr>
                <w:rFonts w:ascii="Times New Roman" w:hAnsi="Times New Roman"/>
                <w:b w:val="false"/>
                <w:i w:val="false"/>
                <w:color w:val="000000"/>
                <w:sz w:val="24"/>
              </w:rPr>
              <w:t xml:space="preserve"> </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br w:type="page"/>
    <w:p>
      <w:pPr>
        <w:spacing w:before="0" w:after="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2"/>
        </w:rPr>
        <w:t xml:space="preserve">EX-5.1 </w:t>
      </w:r>
      <w:r>
        <w:rPr>
          <w:rFonts w:ascii="Times New Roman" w:hAnsi="Times New Roman"/>
          <w:b w:val="false"/>
          <w:i w:val="false"/>
          <w:color w:val="000000"/>
          <w:sz w:val="22"/>
        </w:rPr>
        <w:t xml:space="preserve">2 </w:t>
      </w:r>
      <w:r>
        <w:rPr>
          <w:rFonts w:ascii="Times New Roman" w:hAnsi="Times New Roman"/>
          <w:b w:val="false"/>
          <w:i w:val="false"/>
          <w:color w:val="000000"/>
          <w:sz w:val="22"/>
        </w:rPr>
        <w:t xml:space="preserve">ef20077914_ex5-1.htm </w:t>
      </w:r>
      <w:r>
        <w:rPr>
          <w:rFonts w:ascii="Times New Roman" w:hAnsi="Times New Roman"/>
          <w:b w:val="false"/>
          <w:i w:val="false"/>
          <w:color w:val="000000"/>
          <w:sz w:val="22"/>
        </w:rPr>
        <w:t xml:space="preserve">EXHIBIT 5.1 </w:t>
      </w:r>
    </w:p>
    <w:p>
      <w:r>
        <w:pict>
          <v:rect style="width:0;height:1.5pt" id="_x0000_i1025" o:hr="t" o:hrstd="t" o:hralign="center" stroked="f" fillcolor="#a0a0a0"/>
        </w:pict>
      </w:r>
    </w:p>
    <w:p>
      <w:pPr>
        <w:spacing w:before="0" w:after="0"/>
        <w:ind w:left="120"/>
        <w:jc w:val="left"/>
      </w:pPr>
    </w:p>
    <w:p>
      <w:pPr>
        <w:spacing w:before="0" w:after="0"/>
        <w:ind w:left="120"/>
        <w:jc w:val="right"/>
      </w:pPr>
      <w:r>
        <w:rPr>
          <w:rFonts w:ascii="Times New Roman" w:hAnsi="Times New Roman"/>
          <w:b/>
          <w:i w:val="false"/>
          <w:color w:val="000000"/>
          <w:sz w:val="22"/>
        </w:rPr>
        <w:t xml:space="preserve"> </w:t>
      </w:r>
      <w:r>
        <w:rPr>
          <w:rFonts w:ascii="Times New Roman" w:hAnsi="Times New Roman"/>
          <w:b/>
          <w:i w:val="false"/>
          <w:color w:val="000000"/>
          <w:sz w:val="20"/>
        </w:rPr>
        <w:t>Exhibit 5.1</w:t>
      </w:r>
      <w:r>
        <w:rPr>
          <w:rFonts w:ascii="Times New Roman" w:hAnsi="Times New Roman"/>
          <w:b/>
          <w:i w:val="false"/>
          <w:color w:val="000000"/>
          <w:sz w:val="22"/>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435" w:hRule="atLeast"/>
        </w:trPr>
        <w:tc>
          <w:tcPr>
            <w:tcW w:w="6408"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ATTORNEYS • CIVIL LAW NOTARIES • TAX ADVISERS </w:t>
            </w:r>
          </w:p>
        </w:tc>
        <w:tc>
          <w:tcPr>
            <w:tcW w:w="0" w:type="auto"/>
            <w:gridSpan w:val="2"/>
            <w:tcBorders/>
            <w:tcMar>
              <w:top w:w="43"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w:t>
            </w:r>
            <w:r>
              <w:drawing>
                <wp:inline distT="0" distB="0" distL="0" distR="0">
                  <wp:extent cx="2248747" cy="26585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248747" cy="265853"/>
                          </a:xfrm>
                          <a:prstGeom prst="rect">
                            <a:avLst/>
                          </a:prstGeom>
                        </pic:spPr>
                      </pic:pic>
                    </a:graphicData>
                  </a:graphic>
                </wp:inline>
              </w:drawing>
            </w:r>
            <w:r>
              <w:rPr>
                <w:rFonts w:ascii="Times New Roman" w:hAnsi="Times New Roman"/>
                <w:b w:val="false"/>
                <w:i w:val="false"/>
                <w:color w:val="000000"/>
                <w:sz w:val="20"/>
              </w:rPr>
              <w:t xml:space="preserve"> </w:t>
            </w:r>
          </w:p>
        </w:tc>
      </w:tr>
      <w:tr>
        <w:trPr>
          <w:trHeight w:val="300" w:hRule="atLeast"/>
        </w:trPr>
        <w:tc>
          <w:tcPr>
            <w:tcW w:w="6408"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15"/>
              </w:rPr>
              <w:t xml:space="preserve">   </w:t>
            </w:r>
          </w:p>
        </w:tc>
        <w:tc>
          <w:tcPr>
            <w:tcW w:w="0" w:type="auto"/>
            <w:gridSpan w:val="2"/>
            <w:tcBorders/>
            <w:tcMar>
              <w:top w:w="43"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r>
      <w:tr>
        <w:trPr>
          <w:trHeight w:val="1965" w:hRule="atLeast"/>
        </w:trPr>
        <w:tc>
          <w:tcPr>
            <w:tcW w:w="6408" w:type="dxa"/>
            <w:tcBorders/>
            <w:tcMar>
              <w:top w:w="15" w:type="dxa"/>
              <w:left w:w="15" w:type="dxa"/>
              <w:bottom w:w="128" w:type="dxa"/>
              <w:right w:w="15" w:type="dxa"/>
            </w:tcMar>
            <w:vAlign w:val="top"/>
          </w:tcPr>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P.O. Box 7113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1007 JC Amsterdam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Beethovenstraat 400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1082 PR Amsterdam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 +31 20 71 71 000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F +31 20 71 71 111 </w:t>
            </w:r>
          </w:p>
        </w:tc>
        <w:tc>
          <w:tcPr>
            <w:tcW w:w="54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6680" w:type="dxa"/>
            <w:tcBorders/>
            <w:tcMar>
              <w:top w:w="15" w:type="dxa"/>
              <w:left w:w="51" w:type="dxa"/>
              <w:bottom w:w="15" w:type="dxa"/>
              <w:right w:w="15" w:type="dxa"/>
            </w:tcMar>
            <w:vAlign w:val="top"/>
          </w:tcPr>
          <w:p>
            <w:pPr>
              <w:spacing w:before="0" w:after="0"/>
              <w:ind w:left="188"/>
              <w:jc w:val="left"/>
            </w:pPr>
            <w:r>
              <w:rPr>
                <w:b w:val="false"/>
                <w:i w:val="false"/>
                <w:color w:val="000000"/>
                <w:sz w:val="20"/>
              </w:rPr>
              <w:t xml:space="preserve"> Amsterdam, 6 August,</w:t>
            </w:r>
            <w:r>
              <w:rPr>
                <w:b w:val="false"/>
                <w:i w:val="false"/>
                <w:color w:val="000000"/>
                <w:sz w:val="20"/>
              </w:rPr>
              <w:t xml:space="preserve"> 2026 </w:t>
            </w:r>
          </w:p>
          <w:p>
            <w:pPr>
              <w:spacing w:before="0" w:after="0"/>
              <w:ind w:left="188"/>
              <w:jc w:val="left"/>
            </w:pPr>
            <w:r>
              <w:rPr>
                <w:b w:val="false"/>
                <w:i w:val="false"/>
                <w:color w:val="000000"/>
                <w:sz w:val="20"/>
              </w:rPr>
              <w:t xml:space="preserve">   </w:t>
            </w:r>
          </w:p>
        </w:tc>
      </w:tr>
    </w:tbl>
    <w:p>
      <w:pPr>
        <w:spacing w:before="0" w:after="0"/>
        <w:ind w:left="120"/>
        <w:jc w:val="left"/>
      </w:pPr>
    </w:p>
    <w:p>
      <w:pPr>
        <w:pBdr>
          <w:left w:space="8"/>
        </w:pBdr>
        <w:spacing w:before="0" w:after="0"/>
        <w:ind w:left="27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To the Company:</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We have acted as legal counsel as to Dutch law to the Company in connection with the Plan and the filing of the Registration Statement with the SEC. This opinion letter is rendered to you in order to be filed with the SEC as an exhibit to the Registration Statement.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Capitalised terms used in this opinion letter have the meanings set forth in Exhibit A to this opinion letter. The headings used in this opinion letter are for convenience of reference only and are not to affect its construction or to be taken into consideration in its interpretation.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This opinion letter is strictly limited to the matters stated in it and may not be read as extending by implication to any matters not specifically referred to in it. Nothing in this opinion letter should be taken as expressing an opinion in respect of any representations or warranties, or other information, contained in any document reviewed by us in connection with this opinion letter.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In rendering the opinions expressed in this opinion letter, we have reviewed and relied upon the Plan, a draft of the Registration Statement and pdf copies of the Corporate Documents, and we have assumed that Awards under the Plan shall be made for bona fide commercial reasons. We have not investigated or verified any factual matter disclosed to us in the course of our review.</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This opinion letter sets out our opinion on certain matters of the laws with general applicability of the Netherlands, and, insofar as they are directly applicable in the Netherlands, of the European Union, as at today's date and as presently interpreted under published authoritative case law of the Dutch courts, the General Court and the Court of Justice of the European Union. We do not express any opinion on Dutch or European competition law, </w:t>
      </w:r>
      <w:r>
        <w:rPr>
          <w:rFonts w:ascii="Times New Roman" w:hAnsi="Times New Roman"/>
          <w:b w:val="false"/>
          <w:i w:val="false"/>
          <w:color w:val="000000"/>
          <w:sz w:val="20"/>
        </w:rPr>
        <w:t xml:space="preserve">data protection law, </w:t>
      </w:r>
      <w:r>
        <w:rPr>
          <w:rFonts w:ascii="Times New Roman" w:hAnsi="Times New Roman"/>
          <w:b w:val="false"/>
          <w:i w:val="false"/>
          <w:color w:val="000000"/>
          <w:sz w:val="20"/>
        </w:rPr>
        <w:t>tax law, securitisation law, or regulatory law. No undertaking is assumed on our part to revise, update or amend this opinion letter in connection with or to notify or inform you of, any developments and/or changes of Dutch law subsequent to today's date. We do not purport to opine on the consequences of amendments to the Plan, the Registration Statement or the Corporate Documents subsequent to the date of this opinion letter.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Alllegal relationships are subject to NautaDutilh N.V.'s general terms andconditions (see https://www.nautadutilh.com/terms), which apply mutatismutandis to our relationship with third parties relying on statements ofNautaDutilh N.V., include a limitation of liability clause, have been filedwith the Rotterdam District Court and will be provided free of charge uponrequest. NautaDutilh N.V.; corporate seat Rotterdam; trade register no.24338323.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0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0" w:type="auto"/>
            <w:gridSpan w:val="2"/>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r>
              <w:drawing>
                <wp:inline distT="0" distB="0" distL="0" distR="0">
                  <wp:extent cx="2201333"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1333" cy="254000"/>
                          </a:xfrm>
                          <a:prstGeom prst="rect">
                            <a:avLst/>
                          </a:prstGeom>
                        </pic:spPr>
                      </pic:pic>
                    </a:graphicData>
                  </a:graphic>
                </wp:inline>
              </w:drawing>
            </w:r>
          </w:p>
        </w:tc>
      </w:tr>
      <w:tr>
        <w:trPr>
          <w:trHeight w:val="270" w:hRule="atLeast"/>
        </w:trPr>
        <w:tc>
          <w:tcPr>
            <w:tcW w:w="640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r>
      <w:tr>
        <w:trPr>
          <w:trHeight w:val="420" w:hRule="atLeast"/>
        </w:trPr>
        <w:tc>
          <w:tcPr>
            <w:tcW w:w="640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546" w:type="dxa"/>
            <w:tcBorders/>
            <w:tcMar>
              <w:top w:w="43"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top"/>
          </w:tcPr>
          <w:p>
            <w:pPr>
              <w:spacing w:before="0" w:after="0"/>
              <w:ind w:left="135"/>
              <w:jc w:val="left"/>
            </w:pPr>
            <w:r>
              <w:rPr>
                <w:rFonts w:ascii="Times New Roman" w:hAnsi="Times New Roman"/>
                <w:b w:val="false"/>
                <w:i w:val="false"/>
                <w:color w:val="000000"/>
                <w:sz w:val="22"/>
              </w:rPr>
              <w:t xml:space="preserve"> 2 </w:t>
            </w:r>
          </w:p>
        </w:tc>
      </w:tr>
    </w:tbl>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The opinions expressed in this opinion letter are to be construed and interpreted in accordance with Dutch law. The competent courts at Amsterdam, the Netherlands, have exclusive jurisdiction to settle any issues of interpretation or liability arising out of or in connection with this opinion letter. Any legal relationship arising out of or in connection with this opinion letter (whether contractual or non-contractual), including the above submission to jurisdiction, is governed by Dutch law and shall be subject to the general terms and conditions of NautaDutilh. Any liability arising out of or in connection with this opinion letter shall be limited to the amount which is paid out under NautaDutilh's insurance policy in the matter concerned. No person other than NautaDutilh may be held liable in connection with this opinion letter.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In this opinion letter, legal concepts are expressed in English terms. The Dutch legal concepts concerned may not be identical in meaning to the concepts described by the English terms as they exist under the law of other jurisdictions. In the event of a conflict or inconsistency, the relevant expression shall be deemed to refer only to the Dutch legal concepts described by the English terms.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For the purposes of this opinion letter, we have assumed that: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a.</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each copy of a document conforms to the original, each original is authentic, and each signature is the genuine signature of the individual purported to have placed that signature;</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b.</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if any signature under any document is an electronic signature (as opposed to a handwritten ("wet ink") signature) only, it is either a qualified electronic signature within the meaning of the eIDAS Regulation, or the method used for signing is otherwise sufficiently reliable;</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c.</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the Registration Statement has been or will be filed with the SEC in the form reviewed by us;</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d.</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at each Relevant Moment, (i) Ordinary Shares shall have been admitted for trading on a trading system outside the European Economic Area comparable to a regulated market or a multilateral trading facility as referred to in Section 2:86c(1) DCC and (ii) no financial instruments issued by the Company (or depository receipts for or otherwise representing such financial instruments) have been admitted to trading on a regulated market, multilateral trading facility or organised trading facility operating in the European Economic Area (and no request for admission of any such financial instruments to trading on any such trading venue has been made);</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e.</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the Current Articles are the Articles of Association currently in force and as they will be in force at each Relevant Moment;</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0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0" w:type="auto"/>
            <w:gridSpan w:val="2"/>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r>
              <w:drawing>
                <wp:inline distT="0" distB="0" distL="0" distR="0">
                  <wp:extent cx="2201333"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1333" cy="254000"/>
                          </a:xfrm>
                          <a:prstGeom prst="rect">
                            <a:avLst/>
                          </a:prstGeom>
                        </pic:spPr>
                      </pic:pic>
                    </a:graphicData>
                  </a:graphic>
                </wp:inline>
              </w:drawing>
            </w:r>
          </w:p>
        </w:tc>
      </w:tr>
      <w:tr>
        <w:trPr>
          <w:trHeight w:val="270" w:hRule="atLeast"/>
        </w:trPr>
        <w:tc>
          <w:tcPr>
            <w:tcW w:w="640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r>
      <w:tr>
        <w:trPr>
          <w:trHeight w:val="420" w:hRule="atLeast"/>
        </w:trPr>
        <w:tc>
          <w:tcPr>
            <w:tcW w:w="640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546" w:type="dxa"/>
            <w:tcBorders/>
            <w:tcMar>
              <w:top w:w="43"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6680" w:type="dxa"/>
            <w:tcBorders/>
            <w:tcMar>
              <w:top w:w="43"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3</w:t>
            </w:r>
            <w:r>
              <w:rPr>
                <w:rFonts w:ascii="Times New Roman" w:hAnsi="Times New Roman"/>
                <w:b w:val="false"/>
                <w:i w:val="false"/>
                <w:color w:val="000000"/>
                <w:sz w:val="22"/>
              </w:rPr>
              <w:t xml:space="preserve"> </w:t>
            </w:r>
          </w:p>
        </w:tc>
      </w:tr>
    </w:tbl>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f.</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at each Relevant Moment, the authorised share capital (</w:t>
      </w:r>
      <w:r>
        <w:rPr>
          <w:rFonts w:ascii="Times New Roman" w:hAnsi="Times New Roman"/>
          <w:b w:val="false"/>
          <w:i/>
          <w:color w:val="000000"/>
          <w:sz w:val="20"/>
        </w:rPr>
        <w:t>maatschappelijk kapitaal</w:t>
      </w:r>
      <w:r>
        <w:rPr>
          <w:rFonts w:ascii="Times New Roman" w:hAnsi="Times New Roman"/>
          <w:b w:val="false"/>
          <w:i w:val="false"/>
          <w:color w:val="000000"/>
          <w:sz w:val="20"/>
        </w:rPr>
        <w:t>) of the Company shall allow for the grant of Awards and the issuance of Plan Shares pursuant to the exercise or settlement thereof;</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g.</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at each Relevant Moment, the Company will not have (i) been dissolved (</w:t>
      </w:r>
      <w:r>
        <w:rPr>
          <w:rFonts w:ascii="Times New Roman" w:hAnsi="Times New Roman"/>
          <w:b w:val="false"/>
          <w:i/>
          <w:color w:val="000000"/>
          <w:sz w:val="20"/>
        </w:rPr>
        <w:t>ontbonden</w:t>
      </w:r>
      <w:r>
        <w:rPr>
          <w:rFonts w:ascii="Times New Roman" w:hAnsi="Times New Roman"/>
          <w:b w:val="false"/>
          <w:i w:val="false"/>
          <w:color w:val="000000"/>
          <w:sz w:val="20"/>
        </w:rPr>
        <w:t>), (ii) ceased to exist pursuant to a merger (</w:t>
      </w:r>
      <w:r>
        <w:rPr>
          <w:rFonts w:ascii="Times New Roman" w:hAnsi="Times New Roman"/>
          <w:b w:val="false"/>
          <w:i/>
          <w:color w:val="000000"/>
          <w:sz w:val="20"/>
        </w:rPr>
        <w:t>fusie</w:t>
      </w:r>
      <w:r>
        <w:rPr>
          <w:rFonts w:ascii="Times New Roman" w:hAnsi="Times New Roman"/>
          <w:b w:val="false"/>
          <w:i w:val="false"/>
          <w:color w:val="000000"/>
          <w:sz w:val="20"/>
        </w:rPr>
        <w:t>) or a division (</w:t>
      </w:r>
      <w:r>
        <w:rPr>
          <w:rFonts w:ascii="Times New Roman" w:hAnsi="Times New Roman"/>
          <w:b w:val="false"/>
          <w:i/>
          <w:color w:val="000000"/>
          <w:sz w:val="20"/>
        </w:rPr>
        <w:t>splitsing</w:t>
      </w:r>
      <w:r>
        <w:rPr>
          <w:rFonts w:ascii="Times New Roman" w:hAnsi="Times New Roman"/>
          <w:b w:val="false"/>
          <w:i w:val="false"/>
          <w:color w:val="000000"/>
          <w:sz w:val="20"/>
        </w:rPr>
        <w:t>), (iii) been converted (</w:t>
      </w:r>
      <w:r>
        <w:rPr>
          <w:rFonts w:ascii="Times New Roman" w:hAnsi="Times New Roman"/>
          <w:b w:val="false"/>
          <w:i/>
          <w:color w:val="000000"/>
          <w:sz w:val="20"/>
        </w:rPr>
        <w:t>omgezet</w:t>
      </w:r>
      <w:r>
        <w:rPr>
          <w:rFonts w:ascii="Times New Roman" w:hAnsi="Times New Roman"/>
          <w:b w:val="false"/>
          <w:i w:val="false"/>
          <w:color w:val="000000"/>
          <w:sz w:val="20"/>
        </w:rPr>
        <w:t>) into another legal form, either national or foreign, (iv) had its assets placed under administration (</w:t>
      </w:r>
      <w:r>
        <w:rPr>
          <w:rFonts w:ascii="Times New Roman" w:hAnsi="Times New Roman"/>
          <w:b w:val="false"/>
          <w:i/>
          <w:color w:val="000000"/>
          <w:sz w:val="20"/>
        </w:rPr>
        <w:t>onder bewind gesteld</w:t>
      </w:r>
      <w:r>
        <w:rPr>
          <w:rFonts w:ascii="Times New Roman" w:hAnsi="Times New Roman"/>
          <w:b w:val="false"/>
          <w:i w:val="false"/>
          <w:color w:val="000000"/>
          <w:sz w:val="20"/>
        </w:rPr>
        <w:t>), (v) been declared bankrupt (</w:t>
      </w:r>
      <w:r>
        <w:rPr>
          <w:rFonts w:ascii="Times New Roman" w:hAnsi="Times New Roman"/>
          <w:b w:val="false"/>
          <w:i/>
          <w:color w:val="000000"/>
          <w:sz w:val="20"/>
        </w:rPr>
        <w:t>failliet verklaard</w:t>
      </w:r>
      <w:r>
        <w:rPr>
          <w:rFonts w:ascii="Times New Roman" w:hAnsi="Times New Roman"/>
          <w:b w:val="false"/>
          <w:i w:val="false"/>
          <w:color w:val="000000"/>
          <w:sz w:val="20"/>
        </w:rPr>
        <w:t>), (vi) been granted a suspension of payments (</w:t>
      </w:r>
      <w:r>
        <w:rPr>
          <w:rFonts w:ascii="Times New Roman" w:hAnsi="Times New Roman"/>
          <w:b w:val="false"/>
          <w:i/>
          <w:color w:val="000000"/>
          <w:sz w:val="20"/>
        </w:rPr>
        <w:t>surseance van betaling verleend</w:t>
      </w:r>
      <w:r>
        <w:rPr>
          <w:rFonts w:ascii="Times New Roman" w:hAnsi="Times New Roman"/>
          <w:b w:val="false"/>
          <w:i w:val="false"/>
          <w:color w:val="000000"/>
          <w:sz w:val="20"/>
        </w:rPr>
        <w:t>), (vii) started or become subject to statutory proceedings for the restructuring of its debts (</w:t>
      </w:r>
      <w:r>
        <w:rPr>
          <w:rFonts w:ascii="Times New Roman" w:hAnsi="Times New Roman"/>
          <w:b w:val="false"/>
          <w:i/>
          <w:color w:val="000000"/>
          <w:sz w:val="20"/>
        </w:rPr>
        <w:t>akkoordprocedure</w:t>
      </w:r>
      <w:r>
        <w:rPr>
          <w:rFonts w:ascii="Times New Roman" w:hAnsi="Times New Roman"/>
          <w:b w:val="false"/>
          <w:i w:val="false"/>
          <w:color w:val="000000"/>
          <w:sz w:val="20"/>
        </w:rPr>
        <w:t xml:space="preserve">) or (viii) been made subject to similar proceedings in any jurisdiction or otherwise been limited in its power to dispose of its assets;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h.</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no Awards shall be offered to the public (</w:t>
      </w:r>
      <w:r>
        <w:rPr>
          <w:rFonts w:ascii="Times New Roman" w:hAnsi="Times New Roman"/>
          <w:b w:val="false"/>
          <w:i/>
          <w:color w:val="000000"/>
          <w:sz w:val="20"/>
        </w:rPr>
        <w:t>aanbieden aan het publiek</w:t>
      </w:r>
      <w:r>
        <w:rPr>
          <w:rFonts w:ascii="Times New Roman" w:hAnsi="Times New Roman"/>
          <w:b w:val="false"/>
          <w:i w:val="false"/>
          <w:color w:val="000000"/>
          <w:sz w:val="20"/>
        </w:rPr>
        <w:t>) in the Netherlands other than in conformity with the Prospectus Regulation and the rules promulgated thereunder;</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i.</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at each Relevant Moment, the relevant Award(s) (i) shall have been validly granted as a right to subscribe for </w:t>
      </w:r>
      <w:r>
        <w:rPr>
          <w:rFonts w:ascii="Times New Roman" w:hAnsi="Times New Roman"/>
          <w:b w:val="false"/>
          <w:i w:val="false"/>
          <w:color w:val="000000"/>
          <w:sz w:val="20"/>
        </w:rPr>
        <w:t xml:space="preserve">Ordinary Shares </w:t>
      </w:r>
      <w:r>
        <w:rPr>
          <w:rFonts w:ascii="Times New Roman" w:hAnsi="Times New Roman"/>
          <w:b w:val="false"/>
          <w:i w:val="false"/>
          <w:color w:val="000000"/>
          <w:sz w:val="20"/>
        </w:rPr>
        <w:t>(</w:t>
      </w:r>
      <w:r>
        <w:rPr>
          <w:rFonts w:ascii="Times New Roman" w:hAnsi="Times New Roman"/>
          <w:b w:val="false"/>
          <w:i/>
          <w:color w:val="000000"/>
          <w:sz w:val="20"/>
        </w:rPr>
        <w:t>recht tot het nemen van aandelen</w:t>
      </w:r>
      <w:r>
        <w:rPr>
          <w:rFonts w:ascii="Times New Roman" w:hAnsi="Times New Roman"/>
          <w:b w:val="false"/>
          <w:i w:val="false"/>
          <w:color w:val="000000"/>
          <w:sz w:val="20"/>
        </w:rPr>
        <w:t>) by the corporate body authorised to do so, (ii) shall be in full force and effect upon being exercised or settled, as applicable, (iii) shall have been validly exercised or settled, as applicable, in accordance with the terms and conditions applicable to such Award(s) and (iv) any pre-emption rights in respect of such Award(s) shall have been validly excluded by the corporate body authorised to do so; and</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j.</w:t>
      </w:r>
      <w:r>
        <w:rPr>
          <w:rFonts w:ascii="Times New Roman" w:hAnsi="Times New Roman"/>
          <w:b w:val="false"/>
          <w:i w:val="false"/>
          <w:color w:val="000000"/>
          <w:sz w:val="20"/>
        </w:rPr>
        <w:t xml:space="preserve"> </w:t>
      </w:r>
    </w:p>
    <w:p>
      <w:pPr>
        <w:spacing w:before="0" w:after="0"/>
        <w:ind w:left="84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at each Relevant Moment, each holder of the relevant Award(s) shall be an individual who has not (i) deceased, (ii) had such individual's assets placed under administration (</w:t>
      </w:r>
      <w:r>
        <w:rPr>
          <w:rFonts w:ascii="Times New Roman" w:hAnsi="Times New Roman"/>
          <w:b w:val="false"/>
          <w:i/>
          <w:color w:val="000000"/>
          <w:sz w:val="20"/>
        </w:rPr>
        <w:t>onder bewind gesteld</w:t>
      </w:r>
      <w:r>
        <w:rPr>
          <w:rFonts w:ascii="Times New Roman" w:hAnsi="Times New Roman"/>
          <w:b w:val="false"/>
          <w:i w:val="false"/>
          <w:color w:val="000000"/>
          <w:sz w:val="20"/>
        </w:rPr>
        <w:t>), (iii) been declared bankrupt (</w:t>
      </w:r>
      <w:r>
        <w:rPr>
          <w:rFonts w:ascii="Times New Roman" w:hAnsi="Times New Roman"/>
          <w:b w:val="false"/>
          <w:i/>
          <w:color w:val="000000"/>
          <w:sz w:val="20"/>
        </w:rPr>
        <w:t>failliet verklaard</w:t>
      </w:r>
      <w:r>
        <w:rPr>
          <w:rFonts w:ascii="Times New Roman" w:hAnsi="Times New Roman"/>
          <w:b w:val="false"/>
          <w:i w:val="false"/>
          <w:color w:val="000000"/>
          <w:sz w:val="20"/>
        </w:rPr>
        <w:t>), (iv) been granted a suspension of payments (</w:t>
      </w:r>
      <w:r>
        <w:rPr>
          <w:rFonts w:ascii="Times New Roman" w:hAnsi="Times New Roman"/>
          <w:b w:val="false"/>
          <w:i/>
          <w:color w:val="000000"/>
          <w:sz w:val="20"/>
        </w:rPr>
        <w:t>surseance van betaling verleend</w:t>
      </w:r>
      <w:r>
        <w:rPr>
          <w:rFonts w:ascii="Times New Roman" w:hAnsi="Times New Roman"/>
          <w:b w:val="false"/>
          <w:i w:val="false"/>
          <w:color w:val="000000"/>
          <w:sz w:val="20"/>
        </w:rPr>
        <w:t>), (v) been subjected to a debt reorganisation procedure (</w:t>
      </w:r>
      <w:r>
        <w:rPr>
          <w:rFonts w:ascii="Times New Roman" w:hAnsi="Times New Roman"/>
          <w:b w:val="false"/>
          <w:i/>
          <w:color w:val="000000"/>
          <w:sz w:val="20"/>
        </w:rPr>
        <w:t>schuldsanering</w:t>
      </w:r>
      <w:r>
        <w:rPr>
          <w:rFonts w:ascii="Times New Roman" w:hAnsi="Times New Roman"/>
          <w:b w:val="false"/>
          <w:i w:val="false"/>
          <w:color w:val="000000"/>
          <w:sz w:val="20"/>
        </w:rPr>
        <w:t xml:space="preserve">), (vi) </w:t>
      </w:r>
      <w:r>
        <w:rPr>
          <w:rFonts w:ascii="Times New Roman" w:hAnsi="Times New Roman"/>
          <w:b w:val="false"/>
          <w:i w:val="false"/>
          <w:color w:val="000000"/>
          <w:sz w:val="20"/>
        </w:rPr>
        <w:t xml:space="preserve">started or become subject to statutory proceedings for the restructuring of such </w:t>
      </w:r>
      <w:r>
        <w:rPr>
          <w:rFonts w:ascii="Times New Roman" w:hAnsi="Times New Roman"/>
          <w:b w:val="false"/>
          <w:i w:val="false"/>
          <w:color w:val="000000"/>
          <w:sz w:val="20"/>
        </w:rPr>
        <w:t xml:space="preserve">individual's </w:t>
      </w:r>
      <w:r>
        <w:rPr>
          <w:rFonts w:ascii="Times New Roman" w:hAnsi="Times New Roman"/>
          <w:b w:val="false"/>
          <w:i w:val="false"/>
          <w:color w:val="000000"/>
          <w:sz w:val="20"/>
        </w:rPr>
        <w:t>debts (</w:t>
      </w:r>
      <w:r>
        <w:rPr>
          <w:rFonts w:ascii="Times New Roman" w:hAnsi="Times New Roman"/>
          <w:b w:val="false"/>
          <w:i/>
          <w:color w:val="000000"/>
          <w:sz w:val="20"/>
        </w:rPr>
        <w:t>akkoordprocedure</w:t>
      </w:r>
      <w:r>
        <w:rPr>
          <w:rFonts w:ascii="Times New Roman" w:hAnsi="Times New Roman"/>
          <w:b w:val="false"/>
          <w:i w:val="false"/>
          <w:color w:val="000000"/>
          <w:sz w:val="20"/>
        </w:rPr>
        <w:t xml:space="preserve">) or </w:t>
      </w:r>
      <w:r>
        <w:rPr>
          <w:rFonts w:ascii="Times New Roman" w:hAnsi="Times New Roman"/>
          <w:b w:val="false"/>
          <w:i w:val="false"/>
          <w:color w:val="000000"/>
          <w:sz w:val="20"/>
        </w:rPr>
        <w:t>(vii) been made subject to similar proceedings in any jurisdiction or otherwise been limited in the power to dispose of such individual's assets.</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Based upon and subject to the foregoing and subject to the qualifications set forth in this opinion letter and to any matters, documents or events not disclosed to us, we express the following opinions: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0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0" w:type="auto"/>
            <w:gridSpan w:val="2"/>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r>
              <w:drawing>
                <wp:inline distT="0" distB="0" distL="0" distR="0">
                  <wp:extent cx="2201333"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01333" cy="254000"/>
                          </a:xfrm>
                          <a:prstGeom prst="rect">
                            <a:avLst/>
                          </a:prstGeom>
                        </pic:spPr>
                      </pic:pic>
                    </a:graphicData>
                  </a:graphic>
                </wp:inline>
              </w:drawing>
            </w:r>
          </w:p>
        </w:tc>
      </w:tr>
      <w:tr>
        <w:trPr>
          <w:trHeight w:val="270" w:hRule="atLeast"/>
        </w:trPr>
        <w:tc>
          <w:tcPr>
            <w:tcW w:w="640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r>
      <w:tr>
        <w:trPr>
          <w:trHeight w:val="420" w:hRule="atLeast"/>
        </w:trPr>
        <w:tc>
          <w:tcPr>
            <w:tcW w:w="6408"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546" w:type="dxa"/>
            <w:tcBorders/>
            <w:tcMar>
              <w:top w:w="43" w:type="dxa"/>
              <w:left w:w="15" w:type="dxa"/>
              <w:bottom w:w="15" w:type="dxa"/>
              <w:right w:w="15" w:type="dxa"/>
            </w:tcMar>
            <w:vAlign w:val="top"/>
          </w:tcPr>
          <w:p>
            <w:pPr>
              <w:spacing w:before="0" w:after="0"/>
              <w:ind w:left="0"/>
              <w:jc w:val="left"/>
            </w:pPr>
            <w:r>
              <w:rPr>
                <w:rFonts w:ascii="Times New Roman" w:hAnsi="Times New Roman"/>
                <w:b w:val="false"/>
                <w:i w:val="false"/>
                <w:color w:val="000000"/>
                <w:sz w:val="22"/>
              </w:rPr>
              <w:t> </w:t>
            </w:r>
          </w:p>
        </w:tc>
        <w:tc>
          <w:tcPr>
            <w:tcW w:w="6680" w:type="dxa"/>
            <w:tcBorders/>
            <w:tcMar>
              <w:top w:w="43"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4</w:t>
            </w:r>
            <w:r>
              <w:rPr>
                <w:rFonts w:ascii="Times New Roman" w:hAnsi="Times New Roman"/>
                <w:b w:val="false"/>
                <w:i w:val="false"/>
                <w:color w:val="000000"/>
                <w:sz w:val="22"/>
              </w:rPr>
              <w:t xml:space="preserve"> </w:t>
            </w:r>
          </w:p>
        </w:tc>
      </w:tr>
    </w:tbl>
    <w:p>
      <w:pPr>
        <w:spacing w:before="0" w:after="0"/>
        <w:ind w:left="120"/>
        <w:jc w:val="left"/>
      </w:pPr>
    </w:p>
    <w:p>
      <w:pPr>
        <w:spacing w:before="0" w:after="0"/>
        <w:ind w:left="829"/>
        <w:jc w:val="left"/>
      </w:pPr>
      <w:r>
        <w:rPr>
          <w:rFonts w:ascii="Times New Roman" w:hAnsi="Times New Roman"/>
          <w:b w:val="false"/>
          <w:i w:val="false"/>
          <w:color w:val="000000"/>
          <w:sz w:val="20"/>
        </w:rPr>
        <w:t xml:space="preserve"> </w:t>
      </w:r>
      <w:r>
        <w:rPr>
          <w:rFonts w:ascii="Times New Roman" w:hAnsi="Times New Roman"/>
          <w:b/>
          <w:i w:val="false"/>
          <w:color w:val="000000"/>
          <w:sz w:val="20"/>
        </w:rPr>
        <w:t>Corporate Status</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1.</w:t>
      </w:r>
      <w:r>
        <w:rPr>
          <w:rFonts w:ascii="Times New Roman" w:hAnsi="Times New Roman"/>
          <w:b w:val="false"/>
          <w:i w:val="false"/>
          <w:color w:val="000000"/>
          <w:sz w:val="20"/>
        </w:rPr>
        <w:t xml:space="preserve"> </w:t>
      </w: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The Company has been duly incorporated as a </w:t>
      </w:r>
      <w:r>
        <w:rPr>
          <w:rFonts w:ascii="Times New Roman" w:hAnsi="Times New Roman"/>
          <w:b w:val="false"/>
          <w:i/>
          <w:color w:val="000000"/>
          <w:sz w:val="20"/>
        </w:rPr>
        <w:t>besloten vennootschap met beperkte aansprakelijkheid</w:t>
      </w:r>
      <w:r>
        <w:rPr>
          <w:rFonts w:ascii="Times New Roman" w:hAnsi="Times New Roman"/>
          <w:b w:val="false"/>
          <w:i w:val="false"/>
          <w:color w:val="000000"/>
          <w:sz w:val="20"/>
        </w:rPr>
        <w:t xml:space="preserve"> and is validly existing as a </w:t>
      </w:r>
      <w:r>
        <w:rPr>
          <w:rFonts w:ascii="Times New Roman" w:hAnsi="Times New Roman"/>
          <w:b w:val="false"/>
          <w:i/>
          <w:color w:val="000000"/>
          <w:sz w:val="20"/>
        </w:rPr>
        <w:t>naamloze vennootschap</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i w:val="false"/>
          <w:color w:val="000000"/>
          <w:sz w:val="20"/>
        </w:rPr>
        <w:t>Plan Shares</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2.</w:t>
      </w:r>
      <w:r>
        <w:rPr>
          <w:rFonts w:ascii="Times New Roman" w:hAnsi="Times New Roman"/>
          <w:b w:val="false"/>
          <w:i w:val="false"/>
          <w:color w:val="000000"/>
          <w:sz w:val="20"/>
        </w:rPr>
        <w:t xml:space="preserve"> </w:t>
      </w: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Subject to receipt by the Company of payment in full for, or other satisfaction of the issue price of, the Plan Shares in accordance with the Plan, and when issued and accepted in accordance with the Plan, the Plan Shares shall be validly issued, fully paid and non-assessable.</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The opinions expressed above are subject to the following qualifications: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A.</w:t>
      </w:r>
      <w:r>
        <w:rPr>
          <w:rFonts w:ascii="Times New Roman" w:hAnsi="Times New Roman"/>
          <w:b w:val="false"/>
          <w:i w:val="false"/>
          <w:color w:val="000000"/>
          <w:sz w:val="20"/>
        </w:rPr>
        <w:t xml:space="preserve"> </w:t>
      </w: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Opinion 1 must not be read to imply that the Company cannot be dissolved (</w:t>
      </w:r>
      <w:r>
        <w:rPr>
          <w:rFonts w:ascii="Times New Roman" w:hAnsi="Times New Roman"/>
          <w:b w:val="false"/>
          <w:i/>
          <w:color w:val="000000"/>
          <w:sz w:val="20"/>
        </w:rPr>
        <w:t>ontbonden</w:t>
      </w:r>
      <w:r>
        <w:rPr>
          <w:rFonts w:ascii="Times New Roman" w:hAnsi="Times New Roman"/>
          <w:b w:val="false"/>
          <w:i w:val="false"/>
          <w:color w:val="000000"/>
          <w:sz w:val="20"/>
        </w:rPr>
        <w:t>). A company such as the Company may be dissolved, inter alia by the competent court at the request of the company's board of directors, any interested party (</w:t>
      </w:r>
      <w:r>
        <w:rPr>
          <w:rFonts w:ascii="Times New Roman" w:hAnsi="Times New Roman"/>
          <w:b w:val="false"/>
          <w:i/>
          <w:color w:val="000000"/>
          <w:sz w:val="20"/>
        </w:rPr>
        <w:t>belanghebbende</w:t>
      </w:r>
      <w:r>
        <w:rPr>
          <w:rFonts w:ascii="Times New Roman" w:hAnsi="Times New Roman"/>
          <w:b w:val="false"/>
          <w:i w:val="false"/>
          <w:color w:val="000000"/>
          <w:sz w:val="20"/>
        </w:rPr>
        <w:t>) or the public prosecution office in certain circumstances, such as when there are certain defects in the incorporation of the company. Any such dissolution will not have retro-active effect.</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B.</w:t>
      </w:r>
      <w:r>
        <w:rPr>
          <w:rFonts w:ascii="Times New Roman" w:hAnsi="Times New Roman"/>
          <w:b w:val="false"/>
          <w:i w:val="false"/>
          <w:color w:val="000000"/>
          <w:sz w:val="20"/>
        </w:rPr>
        <w:t xml:space="preserve"> </w:t>
      </w: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Pursuant to Section 2:7 DCC, any transaction entered into by a legal entity may be nullified by the legal entity itself or its liquidator in bankruptcy proceedings (</w:t>
      </w:r>
      <w:r>
        <w:rPr>
          <w:rFonts w:ascii="Times New Roman" w:hAnsi="Times New Roman"/>
          <w:b w:val="false"/>
          <w:i/>
          <w:color w:val="000000"/>
          <w:sz w:val="20"/>
        </w:rPr>
        <w:t>curator</w:t>
      </w:r>
      <w:r>
        <w:rPr>
          <w:rFonts w:ascii="Times New Roman" w:hAnsi="Times New Roman"/>
          <w:b w:val="false"/>
          <w:i w:val="false"/>
          <w:color w:val="000000"/>
          <w:sz w:val="20"/>
        </w:rPr>
        <w:t>) if the objects of that entity were transgressed by the transaction and the other party to the transaction knew or should have known this without independent investigation (</w:t>
      </w:r>
      <w:r>
        <w:rPr>
          <w:rFonts w:ascii="Times New Roman" w:hAnsi="Times New Roman"/>
          <w:b w:val="false"/>
          <w:i/>
          <w:color w:val="000000"/>
          <w:sz w:val="20"/>
        </w:rPr>
        <w:t>wist of zonder eigen onderzoek moest weten</w:t>
      </w:r>
      <w:r>
        <w:rPr>
          <w:rFonts w:ascii="Times New Roman" w:hAnsi="Times New Roman"/>
          <w:b w:val="false"/>
          <w:i w:val="false"/>
          <w:color w:val="000000"/>
          <w:sz w:val="20"/>
        </w:rPr>
        <w:t>). The Dutch Supreme Court (</w:t>
      </w:r>
      <w:r>
        <w:rPr>
          <w:rFonts w:ascii="Times New Roman" w:hAnsi="Times New Roman"/>
          <w:b w:val="false"/>
          <w:i/>
          <w:color w:val="000000"/>
          <w:sz w:val="20"/>
        </w:rPr>
        <w:t>Hoge Raad der Nederlanden</w:t>
      </w:r>
      <w:r>
        <w:rPr>
          <w:rFonts w:ascii="Times New Roman" w:hAnsi="Times New Roman"/>
          <w:b w:val="false"/>
          <w:i w:val="false"/>
          <w:color w:val="000000"/>
          <w:sz w:val="20"/>
        </w:rPr>
        <w:t>) has ruled that in determining whether the objects of a legal entity are transgressed, not only the description of the objects in that legal entity's articles of association (</w:t>
      </w:r>
      <w:r>
        <w:rPr>
          <w:rFonts w:ascii="Times New Roman" w:hAnsi="Times New Roman"/>
          <w:b w:val="false"/>
          <w:i/>
          <w:color w:val="000000"/>
          <w:sz w:val="20"/>
        </w:rPr>
        <w:t>statuten</w:t>
      </w:r>
      <w:r>
        <w:rPr>
          <w:rFonts w:ascii="Times New Roman" w:hAnsi="Times New Roman"/>
          <w:b w:val="false"/>
          <w:i w:val="false"/>
          <w:color w:val="000000"/>
          <w:sz w:val="20"/>
        </w:rPr>
        <w:t>) is decisive, but all (relevant) circumstances must be taken into account, in particular whether the interests of the legal entity were served by the transaction. Based on the objects clause contained in the Current Articles, we have no reason to believe that, by making Awards under the Plan, the Company would transgress the description of the objects contained in its Articles of Association. However, we cannot assess whether there are other relevant circumstances that must be taken into account, in particular whether the interests of the Company are served by making Awards under the Plan since this is a matter of fact.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0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0" w:type="auto"/>
            <w:gridSpan w:val="2"/>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r>
              <w:drawing>
                <wp:inline distT="0" distB="0" distL="0" distR="0">
                  <wp:extent cx="2201333"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01333" cy="254000"/>
                          </a:xfrm>
                          <a:prstGeom prst="rect">
                            <a:avLst/>
                          </a:prstGeom>
                        </pic:spPr>
                      </pic:pic>
                    </a:graphicData>
                  </a:graphic>
                </wp:inline>
              </w:drawing>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135"/>
              <w:jc w:val="left"/>
            </w:pPr>
            <w:r>
              <w:rPr>
                <w:rFonts w:ascii="Times New Roman" w:hAnsi="Times New Roman"/>
                <w:b w:val="false"/>
                <w:i w:val="false"/>
                <w:color w:val="000000"/>
                <w:sz w:val="20"/>
              </w:rPr>
              <w:t xml:space="preserve"> 5 </w:t>
            </w:r>
          </w:p>
        </w:tc>
      </w:tr>
    </w:tbl>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C.</w:t>
      </w:r>
      <w:r>
        <w:rPr>
          <w:rFonts w:ascii="Times New Roman" w:hAnsi="Times New Roman"/>
          <w:b w:val="false"/>
          <w:i w:val="false"/>
          <w:color w:val="000000"/>
          <w:sz w:val="20"/>
        </w:rPr>
        <w:t xml:space="preserve"> </w:t>
      </w: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Pursuant to Section 2:98c DCC, a company such as the Company may grant loans (</w:t>
      </w:r>
      <w:r>
        <w:rPr>
          <w:rFonts w:ascii="Times New Roman" w:hAnsi="Times New Roman"/>
          <w:b w:val="false"/>
          <w:i/>
          <w:color w:val="000000"/>
          <w:sz w:val="20"/>
        </w:rPr>
        <w:t>leningen verstrekken</w:t>
      </w:r>
      <w:r>
        <w:rPr>
          <w:rFonts w:ascii="Times New Roman" w:hAnsi="Times New Roman"/>
          <w:b w:val="false"/>
          <w:i w:val="false"/>
          <w:color w:val="000000"/>
          <w:sz w:val="20"/>
        </w:rPr>
        <w:t>) only in accordance with the restrictions set out in Section 2:98c DCC, and may not provide security (</w:t>
      </w:r>
      <w:r>
        <w:rPr>
          <w:rFonts w:ascii="Times New Roman" w:hAnsi="Times New Roman"/>
          <w:b w:val="false"/>
          <w:i/>
          <w:color w:val="000000"/>
          <w:sz w:val="20"/>
        </w:rPr>
        <w:t>zekerheid stellen</w:t>
      </w:r>
      <w:r>
        <w:rPr>
          <w:rFonts w:ascii="Times New Roman" w:hAnsi="Times New Roman"/>
          <w:b w:val="false"/>
          <w:i w:val="false"/>
          <w:color w:val="000000"/>
          <w:sz w:val="20"/>
        </w:rPr>
        <w:t>), give a price guarantee (</w:t>
      </w:r>
      <w:r>
        <w:rPr>
          <w:rFonts w:ascii="Times New Roman" w:hAnsi="Times New Roman"/>
          <w:b w:val="false"/>
          <w:i/>
          <w:color w:val="000000"/>
          <w:sz w:val="20"/>
        </w:rPr>
        <w:t>koersgarantie geven</w:t>
      </w:r>
      <w:r>
        <w:rPr>
          <w:rFonts w:ascii="Times New Roman" w:hAnsi="Times New Roman"/>
          <w:b w:val="false"/>
          <w:i w:val="false"/>
          <w:color w:val="000000"/>
          <w:sz w:val="20"/>
        </w:rPr>
        <w:t>) or otherwise bind itself, whether jointly and severally or otherwise with or for third parties (</w:t>
      </w:r>
      <w:r>
        <w:rPr>
          <w:rFonts w:ascii="Times New Roman" w:hAnsi="Times New Roman"/>
          <w:b w:val="false"/>
          <w:i/>
          <w:color w:val="000000"/>
          <w:sz w:val="20"/>
        </w:rPr>
        <w:t>zich op andere wijze sterk maken of zich hoofdelijk of anderszins naast of voor anderen verbinden</w:t>
      </w:r>
      <w:r>
        <w:rPr>
          <w:rFonts w:ascii="Times New Roman" w:hAnsi="Times New Roman"/>
          <w:b w:val="false"/>
          <w:i w:val="false"/>
          <w:color w:val="000000"/>
          <w:sz w:val="20"/>
        </w:rPr>
        <w:t>) with a view to (</w:t>
      </w:r>
      <w:r>
        <w:rPr>
          <w:rFonts w:ascii="Times New Roman" w:hAnsi="Times New Roman"/>
          <w:b w:val="false"/>
          <w:i/>
          <w:color w:val="000000"/>
          <w:sz w:val="20"/>
        </w:rPr>
        <w:t>met het oog op</w:t>
      </w:r>
      <w:r>
        <w:rPr>
          <w:rFonts w:ascii="Times New Roman" w:hAnsi="Times New Roman"/>
          <w:b w:val="false"/>
          <w:i w:val="false"/>
          <w:color w:val="000000"/>
          <w:sz w:val="20"/>
        </w:rPr>
        <w:t>) the subscription or acquisition by third parties of shares in its share capital or depository receipts. This prohibition also applies to its subsidiaries (</w:t>
      </w:r>
      <w:r>
        <w:rPr>
          <w:rFonts w:ascii="Times New Roman" w:hAnsi="Times New Roman"/>
          <w:b w:val="false"/>
          <w:i/>
          <w:color w:val="000000"/>
          <w:sz w:val="20"/>
        </w:rPr>
        <w:t>dochtervennootschappen</w:t>
      </w:r>
      <w:r>
        <w:rPr>
          <w:rFonts w:ascii="Times New Roman" w:hAnsi="Times New Roman"/>
          <w:b w:val="false"/>
          <w:i w:val="false"/>
          <w:color w:val="000000"/>
          <w:sz w:val="20"/>
        </w:rPr>
        <w:t>). It is generally assumed that a transaction entered into in violation of Section 2:98c DCC is null and void (</w:t>
      </w:r>
      <w:r>
        <w:rPr>
          <w:rFonts w:ascii="Times New Roman" w:hAnsi="Times New Roman"/>
          <w:b w:val="false"/>
          <w:i/>
          <w:color w:val="000000"/>
          <w:sz w:val="20"/>
        </w:rPr>
        <w:t>nietig</w:t>
      </w: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Based on the content of the </w:t>
      </w:r>
      <w:r>
        <w:rPr>
          <w:rFonts w:ascii="Times New Roman" w:hAnsi="Times New Roman"/>
          <w:b w:val="false"/>
          <w:i w:val="false"/>
          <w:color w:val="000000"/>
          <w:sz w:val="20"/>
        </w:rPr>
        <w:t>Plan</w:t>
      </w:r>
      <w:r>
        <w:rPr>
          <w:rFonts w:ascii="Times New Roman" w:hAnsi="Times New Roman"/>
          <w:b w:val="false"/>
          <w:i w:val="false"/>
          <w:color w:val="000000"/>
          <w:sz w:val="20"/>
        </w:rPr>
        <w:t xml:space="preserve">, we have no reason to believe that the Company or its subsidiaries will violate Section 2:98c DCC in connection with the issue of Plan Shares. However, we cannot confirm this definitively, since the determination of whether a company (or a subsidiary) has provided security, has given a price guarantee or has otherwise bound itself, with a view to the subscription or acquisition by third parties of shares in its share capital or depository receipts, as described above, </w:t>
      </w:r>
      <w:r>
        <w:rPr>
          <w:rFonts w:ascii="Times New Roman" w:hAnsi="Times New Roman"/>
          <w:b w:val="false"/>
          <w:i w:val="false"/>
          <w:color w:val="000000"/>
          <w:sz w:val="20"/>
        </w:rPr>
        <w:t>is a matter of fact</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D.</w:t>
      </w:r>
      <w:r>
        <w:rPr>
          <w:rFonts w:ascii="Times New Roman" w:hAnsi="Times New Roman"/>
          <w:b w:val="false"/>
          <w:i w:val="false"/>
          <w:color w:val="000000"/>
          <w:sz w:val="20"/>
        </w:rPr>
        <w:t xml:space="preserve"> </w:t>
      </w: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The opinions expressed in this opinion letter may be limited or affected by:</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a.</w:t>
      </w:r>
      <w:r>
        <w:rPr>
          <w:rFonts w:ascii="Times New Roman" w:hAnsi="Times New Roman"/>
          <w:b w:val="false"/>
          <w:i w:val="false"/>
          <w:color w:val="000000"/>
          <w:sz w:val="20"/>
        </w:rPr>
        <w:t xml:space="preserve"> </w:t>
      </w:r>
    </w:p>
    <w:p>
      <w:pPr>
        <w:spacing w:before="0" w:after="0"/>
        <w:ind w:left="1538"/>
        <w:jc w:val="both"/>
      </w:pPr>
      <w:r>
        <w:rPr>
          <w:rFonts w:ascii="Times New Roman" w:hAnsi="Times New Roman"/>
          <w:b w:val="false"/>
          <w:i w:val="false"/>
          <w:color w:val="000000"/>
          <w:sz w:val="20"/>
        </w:rPr>
        <w:t xml:space="preserve"> rules relating to Insolvency Proceedings or similar proceedings under a foreign law and other rules affecting creditors' rights generally</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b.</w:t>
      </w:r>
      <w:r>
        <w:rPr>
          <w:rFonts w:ascii="Times New Roman" w:hAnsi="Times New Roman"/>
          <w:b w:val="false"/>
          <w:i w:val="false"/>
          <w:color w:val="000000"/>
          <w:sz w:val="20"/>
        </w:rPr>
        <w:t xml:space="preserve"> </w:t>
      </w:r>
    </w:p>
    <w:p>
      <w:pPr>
        <w:spacing w:before="0" w:after="0"/>
        <w:ind w:left="1538"/>
        <w:jc w:val="both"/>
      </w:pPr>
      <w:r>
        <w:rPr>
          <w:rFonts w:ascii="Times New Roman" w:hAnsi="Times New Roman"/>
          <w:b w:val="false"/>
          <w:i w:val="false"/>
          <w:color w:val="000000"/>
          <w:sz w:val="20"/>
        </w:rPr>
        <w:t xml:space="preserve"> the provisions of fraudulent preference and fraudulent conveyance (</w:t>
      </w:r>
      <w:r>
        <w:rPr>
          <w:rFonts w:ascii="Times New Roman" w:hAnsi="Times New Roman"/>
          <w:b w:val="false"/>
          <w:i/>
          <w:color w:val="000000"/>
          <w:sz w:val="20"/>
        </w:rPr>
        <w:t>Actio Pauliana</w:t>
      </w:r>
      <w:r>
        <w:rPr>
          <w:rFonts w:ascii="Times New Roman" w:hAnsi="Times New Roman"/>
          <w:b w:val="false"/>
          <w:i w:val="false"/>
          <w:color w:val="000000"/>
          <w:sz w:val="20"/>
        </w:rPr>
        <w:t>) and similar rights available in other jurisdictions to insolvency practitioners and insolvency office holders in bankruptcy proceedings or creditors</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c.</w:t>
      </w:r>
      <w:r>
        <w:rPr>
          <w:rFonts w:ascii="Times New Roman" w:hAnsi="Times New Roman"/>
          <w:b w:val="false"/>
          <w:i w:val="false"/>
          <w:color w:val="000000"/>
          <w:sz w:val="20"/>
        </w:rPr>
        <w:t xml:space="preserve"> </w:t>
      </w: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claims based on tort (</w:t>
      </w:r>
      <w:r>
        <w:rPr>
          <w:rFonts w:ascii="Times New Roman" w:hAnsi="Times New Roman"/>
          <w:b w:val="false"/>
          <w:i/>
          <w:color w:val="000000"/>
          <w:sz w:val="20"/>
        </w:rPr>
        <w:t>onrechtmatige daad</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d.</w:t>
      </w:r>
      <w:r>
        <w:rPr>
          <w:rFonts w:ascii="Times New Roman" w:hAnsi="Times New Roman"/>
          <w:b w:val="false"/>
          <w:i w:val="false"/>
          <w:color w:val="000000"/>
          <w:sz w:val="20"/>
        </w:rPr>
        <w:t xml:space="preserve"> </w:t>
      </w:r>
    </w:p>
    <w:p>
      <w:pPr>
        <w:spacing w:before="0" w:after="0"/>
        <w:ind w:left="1538"/>
        <w:jc w:val="both"/>
      </w:pPr>
      <w:r>
        <w:rPr>
          <w:rFonts w:ascii="Times New Roman" w:hAnsi="Times New Roman"/>
          <w:b w:val="false"/>
          <w:i w:val="false"/>
          <w:color w:val="000000"/>
          <w:sz w:val="20"/>
        </w:rPr>
        <w:t xml:space="preserve"> sanctions and measures, including but not limited to those concerning export control, pursuant to European Union regulations, under the Dutch Sanctions Act 1977 (</w:t>
      </w:r>
      <w:r>
        <w:rPr>
          <w:rFonts w:ascii="Times New Roman" w:hAnsi="Times New Roman"/>
          <w:b w:val="false"/>
          <w:i/>
          <w:color w:val="000000"/>
          <w:sz w:val="20"/>
        </w:rPr>
        <w:t>Sanctiewet 1977</w:t>
      </w:r>
      <w:r>
        <w:rPr>
          <w:rFonts w:ascii="Times New Roman" w:hAnsi="Times New Roman"/>
          <w:b w:val="false"/>
          <w:i w:val="false"/>
          <w:color w:val="000000"/>
          <w:sz w:val="20"/>
        </w:rPr>
        <w:t>) or other legislation</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e.</w:t>
      </w:r>
      <w:r>
        <w:rPr>
          <w:rFonts w:ascii="Times New Roman" w:hAnsi="Times New Roman"/>
          <w:b w:val="false"/>
          <w:i w:val="false"/>
          <w:color w:val="000000"/>
          <w:sz w:val="20"/>
        </w:rPr>
        <w:t xml:space="preserve"> </w:t>
      </w: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the Anti-Boycott Regulation, </w:t>
      </w:r>
      <w:r>
        <w:rPr>
          <w:rFonts w:ascii="Times New Roman" w:hAnsi="Times New Roman"/>
          <w:b w:val="false"/>
          <w:i w:val="false"/>
          <w:color w:val="000000"/>
          <w:sz w:val="20"/>
        </w:rPr>
        <w:t>Anti Money Laundering Laws</w:t>
      </w:r>
      <w:r>
        <w:rPr>
          <w:rFonts w:ascii="Times New Roman" w:hAnsi="Times New Roman"/>
          <w:b w:val="false"/>
          <w:i w:val="false"/>
          <w:color w:val="000000"/>
          <w:sz w:val="20"/>
        </w:rPr>
        <w:t xml:space="preserve"> and related legislation;</w:t>
      </w: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f.</w:t>
      </w:r>
      <w:r>
        <w:rPr>
          <w:rFonts w:ascii="Times New Roman" w:hAnsi="Times New Roman"/>
          <w:b w:val="false"/>
          <w:i w:val="false"/>
          <w:color w:val="000000"/>
          <w:sz w:val="20"/>
        </w:rPr>
        <w:t xml:space="preserve"> </w:t>
      </w: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any intervention, recovery or resolution measure by any regulatory or other authority or governmental body in relation to financial enterprises or their affiliated entities; and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0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0" w:type="auto"/>
            <w:gridSpan w:val="2"/>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r>
              <w:drawing>
                <wp:inline distT="0" distB="0" distL="0" distR="0">
                  <wp:extent cx="2201333"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01333" cy="254000"/>
                          </a:xfrm>
                          <a:prstGeom prst="rect">
                            <a:avLst/>
                          </a:prstGeom>
                        </pic:spPr>
                      </pic:pic>
                    </a:graphicData>
                  </a:graphic>
                </wp:inline>
              </w:drawing>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135"/>
              <w:jc w:val="left"/>
            </w:pPr>
            <w:r>
              <w:rPr>
                <w:rFonts w:ascii="Times New Roman" w:hAnsi="Times New Roman"/>
                <w:b w:val="false"/>
                <w:i w:val="false"/>
                <w:color w:val="000000"/>
                <w:sz w:val="20"/>
              </w:rPr>
              <w:t xml:space="preserve"> 6 </w:t>
            </w:r>
          </w:p>
        </w:tc>
      </w:tr>
    </w:tbl>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g.</w:t>
      </w:r>
      <w:r>
        <w:rPr>
          <w:rFonts w:ascii="Times New Roman" w:hAnsi="Times New Roman"/>
          <w:b w:val="false"/>
          <w:i w:val="false"/>
          <w:color w:val="000000"/>
          <w:sz w:val="20"/>
        </w:rPr>
        <w:t xml:space="preserve"> </w:t>
      </w:r>
    </w:p>
    <w:p>
      <w:pPr>
        <w:spacing w:before="0" w:after="0"/>
        <w:ind w:left="1538"/>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the rules of force majeure (</w:t>
      </w:r>
      <w:r>
        <w:rPr>
          <w:rFonts w:ascii="Times New Roman" w:hAnsi="Times New Roman"/>
          <w:b w:val="false"/>
          <w:i/>
          <w:color w:val="000000"/>
          <w:sz w:val="20"/>
        </w:rPr>
        <w:t>niet toerekenbare tekortkoming</w:t>
      </w:r>
      <w:r>
        <w:rPr>
          <w:rFonts w:ascii="Times New Roman" w:hAnsi="Times New Roman"/>
          <w:b w:val="false"/>
          <w:i w:val="false"/>
          <w:color w:val="000000"/>
          <w:sz w:val="20"/>
        </w:rPr>
        <w:t>), reasonableness and fairness (</w:t>
      </w:r>
      <w:r>
        <w:rPr>
          <w:rFonts w:ascii="Times New Roman" w:hAnsi="Times New Roman"/>
          <w:b w:val="false"/>
          <w:i/>
          <w:color w:val="000000"/>
          <w:sz w:val="20"/>
        </w:rPr>
        <w:t>redelijkheid en billijkheid</w:t>
      </w:r>
      <w:r>
        <w:rPr>
          <w:rFonts w:ascii="Times New Roman" w:hAnsi="Times New Roman"/>
          <w:b w:val="false"/>
          <w:i w:val="false"/>
          <w:color w:val="000000"/>
          <w:sz w:val="20"/>
        </w:rPr>
        <w:t>), suspension (</w:t>
      </w:r>
      <w:r>
        <w:rPr>
          <w:rFonts w:ascii="Times New Roman" w:hAnsi="Times New Roman"/>
          <w:b w:val="false"/>
          <w:i/>
          <w:color w:val="000000"/>
          <w:sz w:val="20"/>
        </w:rPr>
        <w:t>opschorting</w:t>
      </w:r>
      <w:r>
        <w:rPr>
          <w:rFonts w:ascii="Times New Roman" w:hAnsi="Times New Roman"/>
          <w:b w:val="false"/>
          <w:i w:val="false"/>
          <w:color w:val="000000"/>
          <w:sz w:val="20"/>
        </w:rPr>
        <w:t>), dissolution (</w:t>
      </w:r>
      <w:r>
        <w:rPr>
          <w:rFonts w:ascii="Times New Roman" w:hAnsi="Times New Roman"/>
          <w:b w:val="false"/>
          <w:i/>
          <w:color w:val="000000"/>
          <w:sz w:val="20"/>
        </w:rPr>
        <w:t>ontbinding</w:t>
      </w:r>
      <w:r>
        <w:rPr>
          <w:rFonts w:ascii="Times New Roman" w:hAnsi="Times New Roman"/>
          <w:b w:val="false"/>
          <w:i w:val="false"/>
          <w:color w:val="000000"/>
          <w:sz w:val="20"/>
        </w:rPr>
        <w:t>), unforeseen circumstances (</w:t>
      </w:r>
      <w:r>
        <w:rPr>
          <w:rFonts w:ascii="Times New Roman" w:hAnsi="Times New Roman"/>
          <w:b w:val="false"/>
          <w:i/>
          <w:color w:val="000000"/>
          <w:sz w:val="20"/>
        </w:rPr>
        <w:t>onvoorziene omstandigheden</w:t>
      </w:r>
      <w:r>
        <w:rPr>
          <w:rFonts w:ascii="Times New Roman" w:hAnsi="Times New Roman"/>
          <w:b w:val="false"/>
          <w:i w:val="false"/>
          <w:color w:val="000000"/>
          <w:sz w:val="20"/>
        </w:rPr>
        <w:t>) and vitiated consent (i.e., duress (</w:t>
      </w:r>
      <w:r>
        <w:rPr>
          <w:rFonts w:ascii="Times New Roman" w:hAnsi="Times New Roman"/>
          <w:b w:val="false"/>
          <w:i/>
          <w:color w:val="000000"/>
          <w:sz w:val="20"/>
        </w:rPr>
        <w:t>bedreiging</w:t>
      </w:r>
      <w:r>
        <w:rPr>
          <w:rFonts w:ascii="Times New Roman" w:hAnsi="Times New Roman"/>
          <w:b w:val="false"/>
          <w:i w:val="false"/>
          <w:color w:val="000000"/>
          <w:sz w:val="20"/>
        </w:rPr>
        <w:t>), fraud (</w:t>
      </w:r>
      <w:r>
        <w:rPr>
          <w:rFonts w:ascii="Times New Roman" w:hAnsi="Times New Roman"/>
          <w:b w:val="false"/>
          <w:i/>
          <w:color w:val="000000"/>
          <w:sz w:val="20"/>
        </w:rPr>
        <w:t>bedrog</w:t>
      </w:r>
      <w:r>
        <w:rPr>
          <w:rFonts w:ascii="Times New Roman" w:hAnsi="Times New Roman"/>
          <w:b w:val="false"/>
          <w:i w:val="false"/>
          <w:color w:val="000000"/>
          <w:sz w:val="20"/>
        </w:rPr>
        <w:t>), abuse of circumstances (</w:t>
      </w:r>
      <w:r>
        <w:rPr>
          <w:rFonts w:ascii="Times New Roman" w:hAnsi="Times New Roman"/>
          <w:b w:val="false"/>
          <w:i/>
          <w:color w:val="000000"/>
          <w:sz w:val="20"/>
        </w:rPr>
        <w:t>misbruik van omstandigheden</w:t>
      </w:r>
      <w:r>
        <w:rPr>
          <w:rFonts w:ascii="Times New Roman" w:hAnsi="Times New Roman"/>
          <w:b w:val="false"/>
          <w:i w:val="false"/>
          <w:color w:val="000000"/>
          <w:sz w:val="20"/>
        </w:rPr>
        <w:t>) and error (</w:t>
      </w:r>
      <w:r>
        <w:rPr>
          <w:rFonts w:ascii="Times New Roman" w:hAnsi="Times New Roman"/>
          <w:b w:val="false"/>
          <w:i/>
          <w:color w:val="000000"/>
          <w:sz w:val="20"/>
        </w:rPr>
        <w:t>dwaling</w:t>
      </w:r>
      <w:r>
        <w:rPr>
          <w:rFonts w:ascii="Times New Roman" w:hAnsi="Times New Roman"/>
          <w:b w:val="false"/>
          <w:i w:val="false"/>
          <w:color w:val="000000"/>
          <w:sz w:val="20"/>
        </w:rPr>
        <w:t>)) or a difference of intention (</w:t>
      </w:r>
      <w:r>
        <w:rPr>
          <w:rFonts w:ascii="Times New Roman" w:hAnsi="Times New Roman"/>
          <w:b w:val="false"/>
          <w:i/>
          <w:color w:val="000000"/>
          <w:sz w:val="20"/>
        </w:rPr>
        <w:t>wil</w:t>
      </w:r>
      <w:r>
        <w:rPr>
          <w:rFonts w:ascii="Times New Roman" w:hAnsi="Times New Roman"/>
          <w:b w:val="false"/>
          <w:i w:val="false"/>
          <w:color w:val="000000"/>
          <w:sz w:val="20"/>
        </w:rPr>
        <w:t>) and declaration (</w:t>
      </w:r>
      <w:r>
        <w:rPr>
          <w:rFonts w:ascii="Times New Roman" w:hAnsi="Times New Roman"/>
          <w:b w:val="false"/>
          <w:i/>
          <w:color w:val="000000"/>
          <w:sz w:val="20"/>
        </w:rPr>
        <w:t>verklaring</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538"/>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E.</w:t>
      </w:r>
      <w:r>
        <w:rPr>
          <w:rFonts w:ascii="Times New Roman" w:hAnsi="Times New Roman"/>
          <w:b w:val="false"/>
          <w:i w:val="false"/>
          <w:color w:val="000000"/>
          <w:sz w:val="20"/>
        </w:rPr>
        <w:t xml:space="preserve"> </w:t>
      </w: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The term "non-assessable" has no equivalent in the Dutch language and for purposes of this opinion letter such term should be interpreted to mean that a holder of an Ordinary Share shall not by reason of merely being such a holder be subject to assessment or calls by the Company or its creditors for further payment on such Ordinary Share.</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F.</w:t>
      </w:r>
      <w:r>
        <w:rPr>
          <w:rFonts w:ascii="Times New Roman" w:hAnsi="Times New Roman"/>
          <w:b w:val="false"/>
          <w:i w:val="false"/>
          <w:color w:val="000000"/>
          <w:sz w:val="20"/>
        </w:rPr>
        <w:t xml:space="preserve"> </w:t>
      </w:r>
    </w:p>
    <w:p>
      <w:pPr>
        <w:spacing w:before="0" w:after="0"/>
        <w:ind w:left="829"/>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This opinion letter does not purport to express any opinion or view on the operational rules and procedures of any clearing or settlement system or agency.</w:t>
      </w:r>
      <w:r>
        <w:rPr>
          <w:rFonts w:ascii="Times New Roman" w:hAnsi="Times New Roman"/>
          <w:b w:val="false"/>
          <w:i w:val="false"/>
          <w:color w:val="000000"/>
          <w:sz w:val="20"/>
        </w:rPr>
        <w:t xml:space="preserve"> </w:t>
      </w:r>
    </w:p>
    <w:p>
      <w:pPr>
        <w:spacing w:before="0" w:after="0"/>
        <w:ind w:left="120"/>
        <w:jc w:val="left"/>
      </w:pPr>
    </w:p>
    <w:p>
      <w:pPr>
        <w:spacing w:before="0" w:after="0"/>
        <w:ind w:left="829"/>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We consent to the filing of this opinion letter as an exhibit to the Registration Statement. In giving this consent we do not admit or imply that we are a person whose consent is required under Section 7 of the United States Securities Act of 1933, as amended, or any rules and regulations promulgated thereunder.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Sincerely yours,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r>
        <w:rPr>
          <w:rFonts w:ascii="Times New Roman" w:hAnsi="Times New Roman"/>
          <w:b w:val="false"/>
          <w:i w:val="false"/>
          <w:color w:val="000000"/>
          <w:sz w:val="20"/>
        </w:rPr>
        <w:t>/s/ NautaDutilh N.V.</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both"/>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0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0" w:type="auto"/>
            <w:gridSpan w:val="2"/>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r>
              <w:drawing>
                <wp:inline distT="0" distB="0" distL="0" distR="0">
                  <wp:extent cx="2201333"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01333" cy="254000"/>
                          </a:xfrm>
                          <a:prstGeom prst="rect">
                            <a:avLst/>
                          </a:prstGeom>
                        </pic:spPr>
                      </pic:pic>
                    </a:graphicData>
                  </a:graphic>
                </wp:inline>
              </w:drawing>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135"/>
              <w:jc w:val="left"/>
            </w:pPr>
            <w:r>
              <w:rPr>
                <w:rFonts w:ascii="Times New Roman" w:hAnsi="Times New Roman"/>
                <w:b w:val="false"/>
                <w:i w:val="false"/>
                <w:color w:val="000000"/>
                <w:sz w:val="20"/>
              </w:rPr>
              <w:t xml:space="preserve"> 7 </w:t>
            </w:r>
          </w:p>
        </w:tc>
      </w:tr>
    </w:tbl>
    <w:p>
      <w:pPr>
        <w:spacing w:before="0" w:after="0"/>
        <w:ind w:left="120"/>
        <w:jc w:val="left"/>
      </w:pPr>
    </w:p>
    <w:p>
      <w:pPr>
        <w:spacing w:before="0" w:after="0"/>
        <w:ind w:left="120"/>
        <w:jc w:val="left"/>
      </w:pPr>
      <w:r>
        <w:rPr>
          <w:rFonts w:ascii="Times New Roman" w:hAnsi="Times New Roman"/>
          <w:b/>
          <w:i w:val="false"/>
          <w:color w:val="000000"/>
          <w:sz w:val="20"/>
        </w:rPr>
        <w:t xml:space="preserve"> EXHIBIT A </w:t>
      </w:r>
    </w:p>
    <w:p>
      <w:pPr>
        <w:spacing w:before="0" w:after="0"/>
        <w:ind w:left="120"/>
        <w:jc w:val="left"/>
      </w:pPr>
    </w:p>
    <w:p>
      <w:pPr>
        <w:spacing w:before="0" w:after="0"/>
        <w:ind w:left="120"/>
        <w:jc w:val="left"/>
      </w:pPr>
      <w:r>
        <w:rPr>
          <w:rFonts w:ascii="Times New Roman" w:hAnsi="Times New Roman"/>
          <w:b w:val="false"/>
          <w:i w:val="false"/>
          <w:color w:val="000000"/>
          <w:sz w:val="22"/>
        </w:rPr>
        <w:t xml:space="preserve">   </w:t>
      </w:r>
    </w:p>
    <w:p>
      <w:pPr>
        <w:spacing w:before="0" w:after="0"/>
        <w:ind w:left="120"/>
        <w:jc w:val="left"/>
      </w:pPr>
    </w:p>
    <w:p>
      <w:pPr>
        <w:spacing w:before="0" w:after="0"/>
        <w:ind w:left="120"/>
        <w:jc w:val="left"/>
      </w:pPr>
      <w:r>
        <w:rPr>
          <w:rFonts w:ascii="Times New Roman" w:hAnsi="Times New Roman"/>
          <w:b/>
          <w:i w:val="false"/>
          <w:color w:val="000000"/>
          <w:sz w:val="20"/>
        </w:rPr>
        <w:t xml:space="preserve"> LIST OF DEFINITIONS </w:t>
      </w:r>
    </w:p>
    <w:p>
      <w:pPr>
        <w:spacing w:before="0" w:after="0"/>
        <w:ind w:left="120"/>
        <w:jc w:val="left"/>
      </w:pPr>
    </w:p>
    <w:p>
      <w:pPr>
        <w:spacing w:before="0" w:after="0"/>
        <w:ind w:left="120"/>
        <w:jc w:val="left"/>
      </w:pPr>
      <w:r>
        <w:rPr>
          <w:rFonts w:ascii="Times New Roman" w:hAnsi="Times New Roman"/>
          <w:b w:val="false"/>
          <w:i w:val="false"/>
          <w:color w:val="000000"/>
          <w:sz w:val="2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4091"/>
        <w:gridCol w:w="9543"/>
      </w:tblGrid>
      <w:tr>
        <w:trPr/>
        <w:tc>
          <w:tcPr>
            <w:tcW w:w="4091" w:type="dxa"/>
            <w:tcBorders/>
            <w:tcMar>
              <w:top w:w="15" w:type="dxa"/>
              <w:left w:w="15" w:type="dxa"/>
              <w:bottom w:w="15" w:type="dxa"/>
              <w:right w:w="15" w:type="dxa"/>
            </w:tcMar>
            <w:vAlign w:val="center"/>
          </w:tcPr>
          <w:p/>
        </w:tc>
        <w:tc>
          <w:tcPr>
            <w:tcW w:w="9543" w:type="dxa"/>
            <w:tcBorders/>
            <w:tcMar>
              <w:top w:w="15" w:type="dxa"/>
              <w:left w:w="15" w:type="dxa"/>
              <w:bottom w:w="15" w:type="dxa"/>
              <w:right w:w="15" w:type="dxa"/>
            </w:tcMar>
            <w:vAlign w:val="center"/>
          </w:tcPr>
          <w:p/>
        </w:tc>
      </w:tr>
      <w:tr>
        <w:trPr>
          <w:trHeight w:val="1095"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Anti Money Laundering Laws</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 </w:t>
            </w:r>
            <w:r>
              <w:rPr>
                <w:rFonts w:ascii="Times New Roman" w:hAnsi="Times New Roman"/>
                <w:b w:val="false"/>
                <w:i w:val="false"/>
                <w:color w:val="000000"/>
                <w:sz w:val="22"/>
              </w:rPr>
              <w:t xml:space="preserve"> </w:t>
            </w:r>
          </w:p>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 </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European Anti-Money Laundering Directives, as implemented in the Netherlands in the Money Laundering and Terrorist Financing Prevention Act (</w:t>
            </w:r>
            <w:r>
              <w:rPr>
                <w:rFonts w:ascii="Times New Roman" w:hAnsi="Times New Roman"/>
                <w:b w:val="false"/>
                <w:i/>
                <w:color w:val="000000"/>
                <w:sz w:val="20"/>
              </w:rPr>
              <w:t>Wet ter voorkoming van witwassen en financieren van terrorisme</w:t>
            </w:r>
            <w:r>
              <w:rPr>
                <w:rFonts w:ascii="Times New Roman" w:hAnsi="Times New Roman"/>
                <w:b w:val="false"/>
                <w:i w:val="false"/>
                <w:color w:val="000000"/>
                <w:sz w:val="20"/>
              </w:rPr>
              <w:t>)</w:t>
            </w:r>
            <w:r>
              <w:rPr>
                <w:rFonts w:ascii="Times New Roman" w:hAnsi="Times New Roman"/>
                <w:b w:val="false"/>
                <w:i/>
                <w:color w:val="000000"/>
                <w:sz w:val="20"/>
              </w:rPr>
              <w:t xml:space="preserve"> </w:t>
            </w:r>
            <w:r>
              <w:rPr>
                <w:rFonts w:ascii="Times New Roman" w:hAnsi="Times New Roman"/>
                <w:b w:val="false"/>
                <w:i w:val="false"/>
                <w:color w:val="000000"/>
                <w:sz w:val="20"/>
              </w:rPr>
              <w:t>and the Dutch Criminal Code (</w:t>
            </w:r>
            <w:r>
              <w:rPr>
                <w:rFonts w:ascii="Times New Roman" w:hAnsi="Times New Roman"/>
                <w:b w:val="false"/>
                <w:i/>
                <w:color w:val="000000"/>
                <w:sz w:val="20"/>
              </w:rPr>
              <w:t>Wetboek van Strafrecht</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r>
      <w:tr>
        <w:trPr>
          <w:trHeight w:val="855"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Anti-Boycott Regulation</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Council Regulation (EC) No 2271/96 of 22 November 1996 on protecting against the effects of the extra-territorial application of legislation adopted by a third country, and actions based thereon or resulting therefrom.</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Articles of Association</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Company's articles of association (</w:t>
            </w:r>
            <w:r>
              <w:rPr>
                <w:rFonts w:ascii="Times New Roman" w:hAnsi="Times New Roman"/>
                <w:b w:val="false"/>
                <w:i/>
                <w:color w:val="000000"/>
                <w:sz w:val="20"/>
              </w:rPr>
              <w:t>statuten</w:t>
            </w:r>
            <w:r>
              <w:rPr>
                <w:rFonts w:ascii="Times New Roman" w:hAnsi="Times New Roman"/>
                <w:b w:val="false"/>
                <w:i w:val="false"/>
                <w:color w:val="000000"/>
                <w:sz w:val="20"/>
              </w:rPr>
              <w:t>) as they read from time to time.</w:t>
            </w:r>
            <w:r>
              <w:rPr>
                <w:rFonts w:ascii="Times New Roman" w:hAnsi="Times New Roman"/>
                <w:b w:val="false"/>
                <w:i w:val="false"/>
                <w:color w:val="000000"/>
                <w:sz w:val="22"/>
              </w:rPr>
              <w:t xml:space="preserve">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Awards</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 xml:space="preserve">Rights to subscribe for </w:t>
            </w:r>
            <w:r>
              <w:rPr>
                <w:rFonts w:ascii="Times New Roman" w:hAnsi="Times New Roman"/>
                <w:b w:val="false"/>
                <w:i w:val="false"/>
                <w:color w:val="000000"/>
                <w:sz w:val="20"/>
              </w:rPr>
              <w:t>Ordinary Shares granted pursuant to the terms and conditions of the Plan.</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Bankruptcy Code</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Dutch Bankruptcy Code (</w:t>
            </w:r>
            <w:r>
              <w:rPr>
                <w:rFonts w:ascii="Times New Roman" w:hAnsi="Times New Roman"/>
                <w:b w:val="false"/>
                <w:i/>
                <w:color w:val="000000"/>
                <w:sz w:val="20"/>
              </w:rPr>
              <w:t>Faillissementswet</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Commercial Register</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Dutch Commercial Register (</w:t>
            </w:r>
            <w:r>
              <w:rPr>
                <w:rFonts w:ascii="Times New Roman" w:hAnsi="Times New Roman"/>
                <w:b w:val="false"/>
                <w:i/>
                <w:color w:val="000000"/>
                <w:sz w:val="20"/>
              </w:rPr>
              <w:t>handelsregister</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Company</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InflaRx N.V.</w:t>
            </w:r>
            <w:r>
              <w:rPr>
                <w:rFonts w:ascii="Times New Roman" w:hAnsi="Times New Roman"/>
                <w:b w:val="false"/>
                <w:i w:val="false"/>
                <w:color w:val="000000"/>
                <w:sz w:val="20"/>
              </w:rPr>
              <w:t>, a public company with limited liability (</w:t>
            </w:r>
            <w:r>
              <w:rPr>
                <w:rFonts w:ascii="Times New Roman" w:hAnsi="Times New Roman"/>
                <w:b w:val="false"/>
                <w:i/>
                <w:color w:val="000000"/>
                <w:sz w:val="20"/>
              </w:rPr>
              <w:t>naamloze vennootschap</w:t>
            </w:r>
            <w:r>
              <w:rPr>
                <w:rFonts w:ascii="Times New Roman" w:hAnsi="Times New Roman"/>
                <w:b w:val="false"/>
                <w:i w:val="false"/>
                <w:color w:val="000000"/>
                <w:sz w:val="20"/>
              </w:rPr>
              <w:t xml:space="preserve">), registered with the Commercial Register under number </w:t>
            </w:r>
            <w:r>
              <w:rPr>
                <w:rFonts w:ascii="Times New Roman" w:hAnsi="Times New Roman"/>
                <w:b w:val="false"/>
                <w:i w:val="false"/>
                <w:color w:val="000000"/>
                <w:sz w:val="20"/>
              </w:rPr>
              <w:t>68904312.</w:t>
            </w:r>
            <w:r>
              <w:rPr>
                <w:rFonts w:ascii="Times New Roman" w:hAnsi="Times New Roman"/>
                <w:b w:val="false"/>
                <w:i w:val="false"/>
                <w:color w:val="000000"/>
                <w:sz w:val="22"/>
              </w:rPr>
              <w:t xml:space="preserve">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Corporate Documents</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Deed of Incorporation, the Deed of Conversion and Amendment, the Current Articles, the Extract and the Registration Statement.</w:t>
            </w:r>
            <w:r>
              <w:rPr>
                <w:rFonts w:ascii="Times New Roman" w:hAnsi="Times New Roman"/>
                <w:b w:val="false"/>
                <w:i w:val="false"/>
                <w:color w:val="000000"/>
                <w:sz w:val="22"/>
              </w:rPr>
              <w:t xml:space="preserve">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Current Articles</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Articles of Association as they read immediately after the execution of a deed of amendment dated April 23, 2026.</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DCC</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Dutch Civil Code (</w:t>
            </w:r>
            <w:r>
              <w:rPr>
                <w:rFonts w:ascii="Times New Roman" w:hAnsi="Times New Roman"/>
                <w:b w:val="false"/>
                <w:i/>
                <w:color w:val="000000"/>
                <w:sz w:val="20"/>
              </w:rPr>
              <w:t>Burgerlijk Wetboek</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29"/>
        <w:jc w:val="left"/>
      </w:pPr>
      <w:r>
        <w:rPr>
          <w:rFonts w:ascii="Times New Roman" w:hAnsi="Times New Roman"/>
          <w:b/>
          <w:i w:val="false"/>
          <w:color w:val="000000"/>
          <w:sz w:val="2"/>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0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0" w:type="auto"/>
            <w:gridSpan w:val="2"/>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r>
              <w:drawing>
                <wp:inline distT="0" distB="0" distL="0" distR="0">
                  <wp:extent cx="2201333"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01333" cy="254000"/>
                          </a:xfrm>
                          <a:prstGeom prst="rect">
                            <a:avLst/>
                          </a:prstGeom>
                        </pic:spPr>
                      </pic:pic>
                    </a:graphicData>
                  </a:graphic>
                </wp:inline>
              </w:drawing>
            </w:r>
          </w:p>
        </w:tc>
      </w:tr>
      <w:tr>
        <w:trPr>
          <w:trHeight w:val="3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135"/>
              <w:jc w:val="left"/>
            </w:pPr>
            <w:r>
              <w:rPr>
                <w:rFonts w:ascii="Times New Roman" w:hAnsi="Times New Roman"/>
                <w:b w:val="false"/>
                <w:i w:val="false"/>
                <w:color w:val="000000"/>
                <w:sz w:val="20"/>
              </w:rPr>
              <w:t xml:space="preserve"> 8 </w:t>
            </w:r>
          </w:p>
        </w:tc>
      </w:tr>
    </w:tbl>
    <w:p>
      <w:pPr>
        <w:spacing w:before="0" w:after="0"/>
        <w:ind w:left="120"/>
        <w:jc w:val="left"/>
      </w:pPr>
    </w:p>
    <w:p>
      <w:pPr>
        <w:spacing w:before="0" w:after="0"/>
        <w:ind w:left="120"/>
        <w:jc w:val="left"/>
      </w:pPr>
      <w:r>
        <w:rPr>
          <w:rFonts w:ascii="Times New Roman" w:hAnsi="Times New Roman"/>
          <w:b w:val="false"/>
          <w:i w:val="false"/>
          <w:color w:val="000000"/>
          <w:sz w:val="2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4091"/>
        <w:gridCol w:w="9543"/>
      </w:tblGrid>
      <w:tr>
        <w:trPr/>
        <w:tc>
          <w:tcPr>
            <w:tcW w:w="409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9543"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Deed of Conversion and Amendment</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 xml:space="preserve">The deed of conversion and amendment to the Articles of Association </w:t>
            </w:r>
            <w:r>
              <w:rPr>
                <w:rFonts w:ascii="Times New Roman" w:hAnsi="Times New Roman"/>
                <w:b w:val="false"/>
                <w:i w:val="false"/>
                <w:color w:val="000000"/>
                <w:sz w:val="20"/>
              </w:rPr>
              <w:t>(</w:t>
            </w:r>
            <w:r>
              <w:rPr>
                <w:rFonts w:ascii="Times New Roman" w:hAnsi="Times New Roman"/>
                <w:b w:val="false"/>
                <w:i/>
                <w:color w:val="000000"/>
                <w:sz w:val="20"/>
              </w:rPr>
              <w:t>akte van omzetting en statutenwijziging</w:t>
            </w:r>
            <w:r>
              <w:rPr>
                <w:rFonts w:ascii="Times New Roman" w:hAnsi="Times New Roman"/>
                <w:b w:val="false"/>
                <w:i w:val="false"/>
                <w:color w:val="000000"/>
                <w:sz w:val="20"/>
              </w:rPr>
              <w:t>) dated November 8, 2017.</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Deed of Incorporation</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Company's deed of incorporation (</w:t>
            </w:r>
            <w:r>
              <w:rPr>
                <w:rFonts w:ascii="Times New Roman" w:hAnsi="Times New Roman"/>
                <w:b w:val="false"/>
                <w:i/>
                <w:color w:val="000000"/>
                <w:sz w:val="20"/>
              </w:rPr>
              <w:t>akte van oprichting</w:t>
            </w:r>
            <w:r>
              <w:rPr>
                <w:rFonts w:ascii="Times New Roman" w:hAnsi="Times New Roman"/>
                <w:b w:val="false"/>
                <w:i w:val="false"/>
                <w:color w:val="000000"/>
                <w:sz w:val="20"/>
              </w:rPr>
              <w:t xml:space="preserve">) dated </w:t>
            </w:r>
            <w:r>
              <w:rPr>
                <w:rFonts w:ascii="Times New Roman" w:hAnsi="Times New Roman"/>
                <w:b w:val="false"/>
                <w:i w:val="false"/>
                <w:color w:val="000000"/>
                <w:sz w:val="20"/>
              </w:rPr>
              <w:t>June 6, 2017.</w:t>
            </w:r>
            <w:r>
              <w:rPr>
                <w:rFonts w:ascii="Times New Roman" w:hAnsi="Times New Roman"/>
                <w:b w:val="false"/>
                <w:i w:val="false"/>
                <w:color w:val="000000"/>
                <w:sz w:val="22"/>
              </w:rPr>
              <w:t xml:space="preserve"> </w:t>
            </w:r>
          </w:p>
        </w:tc>
      </w:tr>
      <w:tr>
        <w:trPr>
          <w:trHeight w:val="855"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eIDAS Regulation</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Regulation (EU) No 910/2014 of the European Parliament and of the Council of 23 July 2014 on electronic identification and trust services for electronic transactions in the internal market and repealing Directive 1999/93/EC.</w:t>
            </w:r>
            <w:r>
              <w:rPr>
                <w:rFonts w:ascii="Times New Roman" w:hAnsi="Times New Roman"/>
                <w:b w:val="false"/>
                <w:i w:val="false"/>
                <w:color w:val="000000"/>
                <w:sz w:val="22"/>
              </w:rPr>
              <w:t xml:space="preserve"> </w:t>
            </w:r>
          </w:p>
        </w:tc>
      </w:tr>
      <w:tr>
        <w:trPr>
          <w:trHeight w:val="72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Extract</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 </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 xml:space="preserve">An </w:t>
            </w:r>
            <w:r>
              <w:rPr>
                <w:rFonts w:ascii="Times New Roman" w:hAnsi="Times New Roman"/>
                <w:b w:val="false"/>
                <w:i w:val="false"/>
                <w:color w:val="000000"/>
                <w:sz w:val="20"/>
              </w:rPr>
              <w:t xml:space="preserve">extract from the Commercial Register relating to the Company, dated </w:t>
            </w:r>
            <w:r>
              <w:rPr>
                <w:rFonts w:ascii="Times New Roman" w:hAnsi="Times New Roman"/>
                <w:b w:val="false"/>
                <w:i w:val="false"/>
                <w:color w:val="000000"/>
                <w:sz w:val="20"/>
              </w:rPr>
              <w:t>the date of this opinion letter.</w:t>
            </w:r>
            <w:r>
              <w:rPr>
                <w:rFonts w:ascii="Times New Roman" w:hAnsi="Times New Roman"/>
                <w:b w:val="false"/>
                <w:i w:val="false"/>
                <w:color w:val="000000"/>
                <w:sz w:val="22"/>
              </w:rPr>
              <w:t xml:space="preserve"> </w:t>
            </w:r>
          </w:p>
        </w:tc>
      </w:tr>
      <w:tr>
        <w:trPr>
          <w:trHeight w:val="159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Insolvency Proceedings</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Any insolvency proceedings within the meaning of Regulation (EU) 2015/848 of the European Parliament and of the Council of 20 May 2015 on insolvency proceedings (recast), as amended by Regulation (EU) 2021/2260 of the European Parliament and of the Counsel of 15 December 2021, listed in Annex A thereto and any statutory proceedings for the restructuring of debts (</w:t>
            </w:r>
            <w:r>
              <w:rPr>
                <w:rFonts w:ascii="Times New Roman" w:hAnsi="Times New Roman"/>
                <w:b w:val="false"/>
                <w:i/>
                <w:color w:val="000000"/>
                <w:sz w:val="20"/>
              </w:rPr>
              <w:t>akkoordprocedure</w:t>
            </w:r>
            <w:r>
              <w:rPr>
                <w:rFonts w:ascii="Times New Roman" w:hAnsi="Times New Roman"/>
                <w:b w:val="false"/>
                <w:i w:val="false"/>
                <w:color w:val="000000"/>
                <w:sz w:val="20"/>
              </w:rPr>
              <w:t>) pursuant to the Bankruptcy Code.</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NautaDutilh</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 xml:space="preserve">NautaDutilh N.V.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the Netherlands</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European territory of the Kingdom of the Netherlands and "</w:t>
            </w:r>
            <w:r>
              <w:rPr>
                <w:rFonts w:ascii="Times New Roman" w:hAnsi="Times New Roman"/>
                <w:b/>
                <w:i w:val="false"/>
                <w:color w:val="000000"/>
                <w:sz w:val="20"/>
              </w:rPr>
              <w:t>Dutch</w:t>
            </w:r>
            <w:r>
              <w:rPr>
                <w:rFonts w:ascii="Times New Roman" w:hAnsi="Times New Roman"/>
                <w:b w:val="false"/>
                <w:i w:val="false"/>
                <w:color w:val="000000"/>
                <w:sz w:val="20"/>
              </w:rPr>
              <w:t>" is in or from the Netherlands.</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Ordinary Shares</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 xml:space="preserve">Ordinary shares in the Company's capital, with a nominal value of EUR </w:t>
            </w:r>
            <w:r>
              <w:rPr>
                <w:rFonts w:ascii="Times New Roman" w:hAnsi="Times New Roman"/>
                <w:b w:val="false"/>
                <w:i w:val="false"/>
                <w:color w:val="000000"/>
                <w:sz w:val="20"/>
              </w:rPr>
              <w:t>0.12 each.</w:t>
            </w:r>
            <w:r>
              <w:rPr>
                <w:rFonts w:ascii="Times New Roman" w:hAnsi="Times New Roman"/>
                <w:b w:val="false"/>
                <w:i w:val="false"/>
                <w:color w:val="000000"/>
                <w:sz w:val="22"/>
              </w:rPr>
              <w:t xml:space="preserve">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Plan</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 xml:space="preserve">The </w:t>
            </w:r>
            <w:r>
              <w:rPr>
                <w:rFonts w:ascii="Times New Roman" w:hAnsi="Times New Roman"/>
                <w:b w:val="false"/>
                <w:i w:val="false"/>
                <w:color w:val="000000"/>
                <w:sz w:val="20"/>
              </w:rPr>
              <w:t>Company's l</w:t>
            </w:r>
            <w:r>
              <w:rPr>
                <w:rFonts w:ascii="Times New Roman" w:hAnsi="Times New Roman"/>
                <w:b w:val="false"/>
                <w:i w:val="false"/>
                <w:color w:val="000000"/>
                <w:sz w:val="20"/>
              </w:rPr>
              <w:t xml:space="preserve">ong-term incentive plan in the form attached as exhibit </w:t>
            </w:r>
            <w:r>
              <w:rPr>
                <w:rFonts w:ascii="Times New Roman" w:hAnsi="Times New Roman"/>
                <w:b w:val="false"/>
                <w:i w:val="false"/>
                <w:color w:val="000000"/>
                <w:sz w:val="20"/>
              </w:rPr>
              <w:t>99.1</w:t>
            </w:r>
            <w:r>
              <w:rPr>
                <w:rFonts w:ascii="Times New Roman" w:hAnsi="Times New Roman"/>
                <w:b w:val="false"/>
                <w:i w:val="false"/>
                <w:color w:val="000000"/>
                <w:sz w:val="20"/>
              </w:rPr>
              <w:t xml:space="preserve"> to the Registration Statement</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Plan Shares</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 xml:space="preserve">14,865,382 </w:t>
            </w:r>
            <w:r>
              <w:rPr>
                <w:rFonts w:ascii="Times New Roman" w:hAnsi="Times New Roman"/>
                <w:b w:val="false"/>
                <w:i w:val="false"/>
                <w:color w:val="000000"/>
                <w:sz w:val="20"/>
              </w:rPr>
              <w:t xml:space="preserve">additional </w:t>
            </w:r>
            <w:r>
              <w:rPr>
                <w:rFonts w:ascii="Times New Roman" w:hAnsi="Times New Roman"/>
                <w:b w:val="false"/>
                <w:i w:val="false"/>
                <w:color w:val="000000"/>
                <w:sz w:val="20"/>
              </w:rPr>
              <w:t>Ordinary Shares available for issuance under the Plan.</w:t>
            </w:r>
            <w:r>
              <w:rPr>
                <w:rFonts w:ascii="Times New Roman" w:hAnsi="Times New Roman"/>
                <w:b w:val="false"/>
                <w:i w:val="false"/>
                <w:color w:val="000000"/>
                <w:sz w:val="22"/>
              </w:rPr>
              <w:t xml:space="preserve"> </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6408"/>
        <w:gridCol w:w="546"/>
        <w:gridCol w:w="6680"/>
      </w:tblGrid>
      <w:tr>
        <w:trPr>
          <w:trHeight w:val="3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30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0" w:type="auto"/>
            <w:gridSpan w:val="2"/>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r>
              <w:drawing>
                <wp:inline distT="0" distB="0" distL="0" distR="0">
                  <wp:extent cx="2201333"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01333" cy="254000"/>
                          </a:xfrm>
                          <a:prstGeom prst="rect">
                            <a:avLst/>
                          </a:prstGeom>
                        </pic:spPr>
                      </pic:pic>
                    </a:graphicData>
                  </a:graphic>
                </wp:inline>
              </w:drawing>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0"/>
              </w:rPr>
              <w:t> </w:t>
            </w:r>
          </w:p>
        </w:tc>
      </w:tr>
      <w:tr>
        <w:trPr>
          <w:trHeight w:val="270" w:hRule="atLeast"/>
        </w:trPr>
        <w:tc>
          <w:tcPr>
            <w:tcW w:w="6408"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546"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w:t>
            </w:r>
          </w:p>
        </w:tc>
        <w:tc>
          <w:tcPr>
            <w:tcW w:w="6680" w:type="dxa"/>
            <w:tcBorders/>
            <w:tcMar>
              <w:top w:w="15" w:type="dxa"/>
              <w:left w:w="15" w:type="dxa"/>
              <w:bottom w:w="15" w:type="dxa"/>
              <w:right w:w="15" w:type="dxa"/>
            </w:tcMar>
            <w:vAlign w:val="center"/>
          </w:tcPr>
          <w:p>
            <w:pPr>
              <w:spacing w:before="0" w:after="0"/>
              <w:ind w:left="135"/>
              <w:jc w:val="left"/>
            </w:pPr>
            <w:r>
              <w:rPr>
                <w:rFonts w:ascii="Times New Roman" w:hAnsi="Times New Roman"/>
                <w:b w:val="false"/>
                <w:i w:val="false"/>
                <w:color w:val="000000"/>
                <w:sz w:val="20"/>
              </w:rPr>
              <w:t xml:space="preserve"> 9 </w:t>
            </w:r>
          </w:p>
        </w:tc>
      </w:tr>
    </w:tbl>
    <w:p>
      <w:pPr>
        <w:spacing w:before="0" w:after="0"/>
        <w:ind w:left="120"/>
        <w:jc w:val="left"/>
      </w:pPr>
    </w:p>
    <w:p>
      <w:pPr>
        <w:spacing w:before="0" w:after="0"/>
        <w:ind w:left="120"/>
        <w:jc w:val="left"/>
      </w:pPr>
      <w:r>
        <w:rPr>
          <w:rFonts w:ascii="Times New Roman" w:hAnsi="Times New Roman"/>
          <w:b w:val="false"/>
          <w:i w:val="false"/>
          <w:color w:val="000000"/>
          <w:sz w:val="22"/>
        </w:rPr>
        <w:t xml:space="preserve">   </w:t>
      </w:r>
    </w:p>
    <w:p>
      <w:pPr>
        <w:spacing w:before="0" w:after="0"/>
        <w:ind w:left="120"/>
        <w:jc w:val="left"/>
      </w:pPr>
    </w:p>
    <w:tbl>
      <w:tblPr>
        <w:tblW w:w="0" w:type="auto"/>
        <w:tblCellSpacing w:w="0" w:type="auto"/>
        <w:tblBorders>
          <w:top w:val="none"/>
          <w:left w:val="none"/>
          <w:bottom w:val="none"/>
          <w:right w:val="none"/>
          <w:insideH w:val="none"/>
          <w:insideV w:val="none"/>
        </w:tblBorders>
      </w:tblPr>
      <w:tblGrid>
        <w:gridCol w:w="4091"/>
        <w:gridCol w:w="9543"/>
      </w:tblGrid>
      <w:tr>
        <w:trPr/>
        <w:tc>
          <w:tcPr>
            <w:tcW w:w="4091" w:type="dxa"/>
            <w:tcBorders/>
            <w:tcMar>
              <w:top w:w="15" w:type="dxa"/>
              <w:left w:w="15" w:type="dxa"/>
              <w:bottom w:w="15" w:type="dxa"/>
              <w:right w:w="15" w:type="dxa"/>
            </w:tcMar>
            <w:vAlign w:val="center"/>
          </w:tcPr>
          <w:p/>
        </w:tc>
        <w:tc>
          <w:tcPr>
            <w:tcW w:w="9543" w:type="dxa"/>
            <w:tcBorders/>
            <w:tcMar>
              <w:top w:w="15" w:type="dxa"/>
              <w:left w:w="15" w:type="dxa"/>
              <w:bottom w:w="15" w:type="dxa"/>
              <w:right w:w="15" w:type="dxa"/>
            </w:tcMar>
            <w:vAlign w:val="center"/>
          </w:tcPr>
          <w:p/>
        </w:tc>
      </w:tr>
      <w:tr>
        <w:trPr>
          <w:trHeight w:val="855"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Prospectus Regulation</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Regulation (EU) 2017/1129 of the European Parliament and of the Council of 14 June 2017 on the prospectus to be published when securities are offered to the public or admitted to trading on a regulated market, and repealing Directive 2003/71/EC.</w:t>
            </w:r>
            <w:r>
              <w:rPr>
                <w:rFonts w:ascii="Times New Roman" w:hAnsi="Times New Roman"/>
                <w:b w:val="false"/>
                <w:i w:val="false"/>
                <w:color w:val="000000"/>
                <w:sz w:val="22"/>
              </w:rPr>
              <w:t xml:space="preserve">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Registration Statement</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Company's registration statement on Form S-8 filed or to be filed with the SEC in the form reviewed by us.</w:t>
            </w:r>
            <w:r>
              <w:rPr>
                <w:rFonts w:ascii="Times New Roman" w:hAnsi="Times New Roman"/>
                <w:b w:val="false"/>
                <w:i w:val="false"/>
                <w:color w:val="000000"/>
                <w:sz w:val="22"/>
              </w:rPr>
              <w:t xml:space="preserve"> </w:t>
            </w:r>
          </w:p>
        </w:tc>
      </w:tr>
      <w:tr>
        <w:trPr>
          <w:trHeight w:val="60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Relevant Moment</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Each time when one or more Awards are granted or one or more Plan Shares are issued pursuant to the exercise or settlement of the relevant Award(s).</w:t>
            </w:r>
            <w:r>
              <w:rPr>
                <w:rFonts w:ascii="Times New Roman" w:hAnsi="Times New Roman"/>
                <w:b w:val="false"/>
                <w:i w:val="false"/>
                <w:color w:val="000000"/>
                <w:sz w:val="22"/>
              </w:rPr>
              <w:t xml:space="preserve"> </w:t>
            </w:r>
          </w:p>
        </w:tc>
      </w:tr>
      <w:tr>
        <w:trPr>
          <w:trHeight w:val="360" w:hRule="atLeast"/>
        </w:trPr>
        <w:tc>
          <w:tcPr>
            <w:tcW w:w="4091" w:type="dxa"/>
            <w:tcBorders/>
            <w:tcMar>
              <w:top w:w="15" w:type="dxa"/>
              <w:left w:w="15" w:type="dxa"/>
              <w:bottom w:w="15" w:type="dxa"/>
              <w:right w:w="15" w:type="dxa"/>
            </w:tcMar>
            <w:vAlign w:val="top"/>
          </w:tcPr>
          <w:p>
            <w:pPr>
              <w:spacing w:before="0" w:after="120"/>
              <w:ind w:left="120"/>
              <w:jc w:val="left"/>
            </w:pPr>
            <w:r>
              <w:rPr>
                <w:rFonts w:ascii="Times New Roman" w:hAnsi="Times New Roman"/>
                <w:b w:val="false"/>
                <w:i w:val="false"/>
                <w:color w:val="000000"/>
                <w:sz w:val="22"/>
              </w:rPr>
              <w:t xml:space="preserve"> </w:t>
            </w:r>
            <w:r>
              <w:rPr>
                <w:rFonts w:ascii="Times New Roman" w:hAnsi="Times New Roman"/>
                <w:b w:val="false"/>
                <w:i w:val="false"/>
                <w:color w:val="000000"/>
                <w:sz w:val="20"/>
              </w:rPr>
              <w:t>"</w:t>
            </w:r>
            <w:r>
              <w:rPr>
                <w:rFonts w:ascii="Times New Roman" w:hAnsi="Times New Roman"/>
                <w:b/>
                <w:i w:val="false"/>
                <w:color w:val="000000"/>
                <w:sz w:val="20"/>
              </w:rPr>
              <w:t>SEC</w:t>
            </w:r>
            <w:r>
              <w:rPr>
                <w:rFonts w:ascii="Times New Roman" w:hAnsi="Times New Roman"/>
                <w:b w:val="false"/>
                <w:i w:val="false"/>
                <w:color w:val="000000"/>
                <w:sz w:val="20"/>
              </w:rPr>
              <w:t>"</w:t>
            </w:r>
            <w:r>
              <w:rPr>
                <w:rFonts w:ascii="Times New Roman" w:hAnsi="Times New Roman"/>
                <w:b w:val="false"/>
                <w:i w:val="false"/>
                <w:color w:val="000000"/>
                <w:sz w:val="22"/>
              </w:rPr>
              <w:t xml:space="preserve"> </w:t>
            </w:r>
          </w:p>
        </w:tc>
        <w:tc>
          <w:tcPr>
            <w:tcW w:w="9543" w:type="dxa"/>
            <w:tcBorders/>
            <w:tcMar>
              <w:top w:w="15" w:type="dxa"/>
              <w:left w:w="15" w:type="dxa"/>
              <w:bottom w:w="15" w:type="dxa"/>
              <w:right w:w="15" w:type="dxa"/>
            </w:tcMar>
            <w:vAlign w:val="top"/>
          </w:tcPr>
          <w:p>
            <w:pPr>
              <w:spacing w:before="0" w:after="120"/>
              <w:ind w:left="120"/>
              <w:jc w:val="both"/>
            </w:pPr>
            <w:r>
              <w:rPr>
                <w:rFonts w:ascii="Times New Roman" w:hAnsi="Times New Roman"/>
                <w:b w:val="false"/>
                <w:i w:val="false"/>
                <w:color w:val="000000"/>
                <w:sz w:val="22"/>
              </w:rPr>
              <w:t xml:space="preserve"> </w:t>
            </w:r>
            <w:r>
              <w:rPr>
                <w:rFonts w:ascii="Times New Roman" w:hAnsi="Times New Roman"/>
                <w:b w:val="false"/>
                <w:i w:val="false"/>
                <w:color w:val="000000"/>
                <w:sz w:val="20"/>
              </w:rPr>
              <w:t>The United States Securities and Exchange Commission.</w:t>
            </w:r>
            <w:r>
              <w:rPr>
                <w:rFonts w:ascii="Times New Roman" w:hAnsi="Times New Roman"/>
                <w:b w:val="false"/>
                <w:i w:val="false"/>
                <w:color w:val="000000"/>
                <w:sz w:val="22"/>
              </w:rPr>
              <w:t xml:space="preserve"> </w:t>
            </w:r>
          </w:p>
        </w:tc>
      </w:tr>
    </w:tbl>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EX-23.2 </w:t>
      </w:r>
      <w:r>
        <w:rPr>
          <w:rFonts w:ascii="Times New Roman" w:hAnsi="Times New Roman"/>
          <w:b w:val="false"/>
          <w:i w:val="false"/>
          <w:color w:val="000000"/>
          <w:sz w:val="20"/>
        </w:rPr>
        <w:t xml:space="preserve">3 </w:t>
      </w:r>
      <w:r>
        <w:rPr>
          <w:rFonts w:ascii="Times New Roman" w:hAnsi="Times New Roman"/>
          <w:b w:val="false"/>
          <w:i w:val="false"/>
          <w:color w:val="000000"/>
          <w:sz w:val="20"/>
        </w:rPr>
        <w:t xml:space="preserve">ef20077914_ex23-2.htm </w:t>
      </w:r>
      <w:r>
        <w:rPr>
          <w:rFonts w:ascii="Times New Roman" w:hAnsi="Times New Roman"/>
          <w:b w:val="false"/>
          <w:i w:val="false"/>
          <w:color w:val="000000"/>
          <w:sz w:val="20"/>
        </w:rPr>
        <w:t xml:space="preserve">EXHIBIT 23.2 </w:t>
      </w:r>
    </w:p>
    <w:p>
      <w:r>
        <w:pict>
          <v:rect style="width:0;height:1.5pt" id="_x0000_i1025" o:hr="t" o:hrstd="t" o:hralign="center" stroked="f" fillcolor="#a0a0a0"/>
        </w:pict>
      </w:r>
    </w:p>
    <w:p>
      <w:pPr>
        <w:spacing w:before="0" w:after="0"/>
        <w:ind w:left="120"/>
        <w:jc w:val="left"/>
      </w:pPr>
    </w:p>
    <w:p>
      <w:pPr>
        <w:spacing w:before="0" w:after="0"/>
        <w:ind w:left="120"/>
        <w:jc w:val="right"/>
      </w:pPr>
      <w:r>
        <w:rPr>
          <w:rFonts w:ascii="Times New Roman" w:hAnsi="Times New Roman"/>
          <w:b/>
          <w:i w:val="false"/>
          <w:color w:val="000000"/>
          <w:sz w:val="20"/>
        </w:rPr>
        <w:t xml:space="preserve"> Exhibit 23.2 </w:t>
      </w:r>
    </w:p>
    <w:p>
      <w:pPr>
        <w:spacing w:before="0" w:after="0"/>
        <w:ind w:left="120"/>
        <w:jc w:val="left"/>
      </w:pPr>
    </w:p>
    <w:p>
      <w:pPr>
        <w:spacing w:before="0" w:after="0"/>
        <w:ind w:left="120"/>
        <w:jc w:val="center"/>
      </w:pPr>
      <w:r>
        <w:rPr>
          <w:rFonts w:ascii="Times New Roman" w:hAnsi="Times New Roman"/>
          <w:b/>
          <w:i w:val="false"/>
          <w:color w:val="000000"/>
          <w:sz w:val="20"/>
        </w:rPr>
        <w:t xml:space="preserve">   </w:t>
      </w:r>
    </w:p>
    <w:p>
      <w:pPr>
        <w:spacing w:before="0" w:after="0"/>
        <w:ind w:left="120"/>
        <w:jc w:val="left"/>
      </w:pPr>
    </w:p>
    <w:p>
      <w:pPr>
        <w:spacing w:before="0" w:after="0"/>
        <w:ind w:left="120"/>
        <w:jc w:val="center"/>
      </w:pPr>
      <w:r>
        <w:rPr>
          <w:rFonts w:ascii="Times New Roman" w:hAnsi="Times New Roman"/>
          <w:b/>
          <w:i w:val="false"/>
          <w:color w:val="000000"/>
          <w:sz w:val="20"/>
        </w:rPr>
        <w:t xml:space="preserve"> Consent of Independent Registered Public Accounting Firm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We consent to the use of our report dated March 19, 2026, with respect to the consolidated financial statements of InflaRx N.V., incorporated herein by reference.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tbl>
      <w:tblPr>
        <w:tblW w:w="0" w:type="auto"/>
        <w:tblCellSpacing w:w="20" w:type="dxa"/>
        <w:tblBorders>
          <w:top w:val="none"/>
          <w:left w:val="none"/>
          <w:bottom w:val="none"/>
          <w:right w:val="none"/>
          <w:insideH w:val="none"/>
          <w:insideV w:val="none"/>
        </w:tblBorders>
      </w:tblPr>
      <w:tblGrid>
        <w:gridCol w:w="4095"/>
        <w:gridCol w:w="9499"/>
      </w:tblGrid>
      <w:tr>
        <w:trPr/>
        <w:tc>
          <w:tcPr>
            <w:tcW w:w="4095"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c>
          <w:tcPr>
            <w:tcW w:w="9499"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0"/>
              </w:rPr>
              <w:t> </w:t>
            </w:r>
          </w:p>
        </w:tc>
      </w:tr>
      <w:tr>
        <w:trPr>
          <w:trHeight w:val="210" w:hRule="atLeast"/>
        </w:trPr>
        <w:tc>
          <w:tcPr>
            <w:tcW w:w="4095" w:type="dxa"/>
            <w:tcBorders/>
            <w:tcMar>
              <w:top w:w="15" w:type="dxa"/>
              <w:left w:w="15" w:type="dxa"/>
              <w:bottom w:w="15" w:type="dxa"/>
              <w:right w:w="15" w:type="dxa"/>
            </w:tcMar>
            <w:vAlign w:val="top"/>
          </w:tcPr>
          <w:p>
            <w:pPr>
              <w:spacing w:before="0" w:after="0"/>
              <w:ind w:left="0"/>
              <w:jc w:val="left"/>
            </w:pPr>
            <w:r>
              <w:rPr>
                <w:rFonts w:ascii="Times New Roman" w:hAnsi="Times New Roman"/>
                <w:b w:val="false"/>
                <w:i w:val="false"/>
                <w:color w:val="000000"/>
                <w:sz w:val="20"/>
              </w:rPr>
              <w:t> </w:t>
            </w:r>
          </w:p>
        </w:tc>
        <w:tc>
          <w:tcPr>
            <w:tcW w:w="9499" w:type="dxa"/>
            <w:tcBorders/>
            <w:tcMar>
              <w:top w:w="15" w:type="dxa"/>
              <w:left w:w="15" w:type="dxa"/>
              <w:bottom w:w="15" w:type="dxa"/>
              <w:right w:w="15" w:type="dxa"/>
            </w:tcMar>
            <w:vAlign w:val="top"/>
          </w:tcPr>
          <w:p>
            <w:pPr>
              <w:spacing w:before="0" w:after="0"/>
              <w:ind w:left="120"/>
              <w:jc w:val="left"/>
            </w:pPr>
            <w:r>
              <w:rPr>
                <w:rFonts w:ascii="Times New Roman" w:hAnsi="Times New Roman"/>
                <w:b w:val="false"/>
                <w:i w:val="false"/>
                <w:color w:val="000000"/>
                <w:sz w:val="20"/>
              </w:rPr>
              <w:t xml:space="preserve"> /s/ KPMG AG Wirtschaftsprüfungsgesellschaft </w:t>
            </w:r>
          </w:p>
        </w:tc>
      </w:tr>
    </w:tbl>
    <w:p>
      <w:pPr>
        <w:spacing w:before="0" w:after="0"/>
        <w:ind w:left="120"/>
        <w:jc w:val="left"/>
      </w:pPr>
    </w:p>
    <w:p>
      <w:pPr>
        <w:spacing w:before="0" w:after="0"/>
        <w:ind w:left="120"/>
        <w:jc w:val="left"/>
      </w:pPr>
      <w:r>
        <w:rPr>
          <w:rFonts w:ascii="Times New Roman" w:hAnsi="Times New Roman"/>
          <w:b/>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Munich, Germany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August 6, 2026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br w:type="page"/>
    <w:p>
      <w:pPr>
        <w:spacing w:before="0" w:after="0"/>
        <w:ind w:left="120"/>
        <w:jc w:val="left"/>
      </w:pPr>
      <w:r>
        <w:rPr>
          <w:b w:val="false"/>
          <w:i w:val="false"/>
          <w:color w:val="000000"/>
          <w:sz w:val="24"/>
        </w:rPr>
        <w:t xml:space="preserve"> </w:t>
      </w:r>
      <w:r>
        <w:rPr>
          <w:b w:val="false"/>
          <w:i w:val="false"/>
          <w:color w:val="000000"/>
          <w:sz w:val="24"/>
        </w:rPr>
        <w:t xml:space="preserve">EX-23.3 </w:t>
      </w:r>
      <w:r>
        <w:rPr>
          <w:b w:val="false"/>
          <w:i w:val="false"/>
          <w:color w:val="000000"/>
          <w:sz w:val="24"/>
        </w:rPr>
        <w:t xml:space="preserve">4 </w:t>
      </w:r>
      <w:r>
        <w:rPr>
          <w:b w:val="false"/>
          <w:i w:val="false"/>
          <w:color w:val="000000"/>
          <w:sz w:val="24"/>
        </w:rPr>
        <w:t xml:space="preserve">ef20077914_ex23-3.htm </w:t>
      </w:r>
      <w:r>
        <w:rPr>
          <w:b w:val="false"/>
          <w:i w:val="false"/>
          <w:color w:val="000000"/>
          <w:sz w:val="24"/>
        </w:rPr>
        <w:t xml:space="preserve">EXHIBIT 23.3 </w:t>
      </w:r>
    </w:p>
    <w:p>
      <w:r>
        <w:pict>
          <v:rect style="width:0;height:1.5pt" id="_x0000_i1025" o:hr="t" o:hrstd="t" o:hralign="center" stroked="f" fillcolor="#a0a0a0"/>
        </w:pict>
      </w:r>
    </w:p>
    <w:p>
      <w:pPr>
        <w:spacing w:before="0" w:after="0"/>
        <w:ind w:left="120"/>
        <w:jc w:val="left"/>
      </w:pPr>
    </w:p>
    <w:p>
      <w:pPr>
        <w:spacing w:before="0" w:after="0"/>
        <w:ind w:left="120"/>
        <w:jc w:val="right"/>
      </w:pPr>
      <w:r>
        <w:rPr>
          <w:rFonts w:ascii="Times New Roman" w:hAnsi="Times New Roman"/>
          <w:b/>
          <w:i w:val="false"/>
          <w:color w:val="000000"/>
          <w:sz w:val="20"/>
        </w:rPr>
        <w:t xml:space="preserve"> Exhibit 23.3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i w:val="false"/>
          <w:color w:val="000000"/>
          <w:sz w:val="20"/>
        </w:rPr>
        <w:t>Consent of Independent Registered Public Accounting Firm</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We consent to the incorporation by reference in the Registration Statement (Form S-8) pertaining to the InflaRx N.V. Long-Term Incentive Plan 2026 of InflaRx N.V. of our report dated March 20, 2025, with respect to the consolidated financial statements of InflaRx N.V. included in its Annual Report (Form 20-F) for the year ended December 31, 2025, filed with the Securities and Exchange Commission.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/s/ EY GmbH &amp; Co. KG Wirtschaftsprüfungsgesellschaft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Munich, Germany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August 6, 2026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pPr>
        <w:spacing w:before="0" w:after="0"/>
        <w:ind w:left="120"/>
        <w:jc w:val="left"/>
      </w:pPr>
      <w:r>
        <w:rPr>
          <w:b w:val="false"/>
          <w:i w:val="false"/>
          <w:color w:val="000000"/>
          <w:sz w:val="20"/>
        </w:rPr>
        <w:t xml:space="preserve">   </w:t>
      </w:r>
    </w:p>
    <w:p>
      <w:pPr>
        <w:spacing w:before="0" w:after="0"/>
        <w:ind w:left="120"/>
        <w:jc w:val="left"/>
      </w:pPr>
    </w:p>
    <w:p/>
    <w:br w:type="page"/>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EX-99.1 </w:t>
      </w:r>
      <w:r>
        <w:rPr>
          <w:rFonts w:ascii="Times New Roman" w:hAnsi="Times New Roman"/>
          <w:b w:val="false"/>
          <w:i w:val="false"/>
          <w:color w:val="000000"/>
          <w:sz w:val="20"/>
        </w:rPr>
        <w:t xml:space="preserve">5 </w:t>
      </w:r>
      <w:r>
        <w:rPr>
          <w:rFonts w:ascii="Times New Roman" w:hAnsi="Times New Roman"/>
          <w:b w:val="false"/>
          <w:i w:val="false"/>
          <w:color w:val="000000"/>
          <w:sz w:val="20"/>
        </w:rPr>
        <w:t xml:space="preserve">ef20077914_ex99-1.htm </w:t>
      </w:r>
      <w:r>
        <w:rPr>
          <w:rFonts w:ascii="Times New Roman" w:hAnsi="Times New Roman"/>
          <w:b w:val="false"/>
          <w:i w:val="false"/>
          <w:color w:val="000000"/>
          <w:sz w:val="20"/>
        </w:rPr>
        <w:t xml:space="preserve">EXHIBIT 99.1 </w:t>
      </w:r>
    </w:p>
    <w:p>
      <w:r>
        <w:pict>
          <v:rect style="width:0;height:1.5pt" id="_x0000_i1025" o:hr="t" o:hrstd="t" o:hralign="center" stroked="f" fillcolor="#a0a0a0"/>
        </w:pict>
      </w:r>
    </w:p>
    <w:p>
      <w:pPr>
        <w:spacing w:before="0" w:after="0"/>
        <w:ind w:left="120"/>
        <w:jc w:val="left"/>
      </w:pPr>
    </w:p>
    <w:p>
      <w:pPr>
        <w:spacing w:before="0" w:after="0"/>
        <w:ind w:left="120"/>
        <w:jc w:val="right"/>
      </w:pPr>
      <w:r>
        <w:rPr>
          <w:rFonts w:ascii="Times New Roman" w:hAnsi="Times New Roman"/>
          <w:b/>
          <w:i w:val="false"/>
          <w:color w:val="000000"/>
          <w:sz w:val="20"/>
        </w:rPr>
        <w:t xml:space="preserve"> Exhibit 99.1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i w:val="false"/>
          <w:color w:val="000000"/>
          <w:sz w:val="20"/>
        </w:rPr>
        <w:t>INFLARX N.V.</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center"/>
      </w:pPr>
      <w:r>
        <w:rPr>
          <w:rFonts w:ascii="Times New Roman" w:hAnsi="Times New Roman"/>
          <w:b w:val="false"/>
          <w:i w:val="false"/>
          <w:color w:val="000000"/>
          <w:sz w:val="20"/>
        </w:rPr>
        <w:t xml:space="preserve"> </w:t>
      </w:r>
      <w:r>
        <w:rPr>
          <w:rFonts w:ascii="Times New Roman" w:hAnsi="Times New Roman"/>
          <w:b/>
          <w:i w:val="false"/>
          <w:color w:val="000000"/>
          <w:sz w:val="20"/>
        </w:rPr>
        <w:t>LONG-TERM INCENTIVE PLAN 2026</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 </w:t>
      </w:r>
      <w:r>
        <w:rPr>
          <w:rFonts w:ascii="Times New Roman" w:hAnsi="Times New Roman"/>
          <w:b w:val="false"/>
          <w:i/>
          <w:color w:val="000000"/>
          <w:sz w:val="20"/>
        </w:rPr>
        <w:t>Purpose</w:t>
      </w:r>
      <w:r>
        <w:rPr>
          <w:rFonts w:ascii="Times New Roman" w:hAnsi="Times New Roman"/>
          <w:b w:val="false"/>
          <w:i w:val="false"/>
          <w:color w:val="000000"/>
          <w:sz w:val="20"/>
        </w:rPr>
        <w:t xml:space="preserve">. The purpose of this InflaRx Long-Term Incentive Plan (the “Plan”) is to motivate and reward those employees, directors, consultants and advisors of InflaRx N.V. (the “Company”) and its Affiliates to perform at the highest level and to further the best interests of the Company and its shareholders. Capitalized terms not otherwise defined herein are defined in ‎Section 21. This Plan replaces the Company’s Long-Term Incentive Plan 2017 (as amended on 1 January 2021) (the “LTIP 2017”), provided that awards granted under the LTIP 2017 outstanding (and not yet exercised or settled) as of 1 January 2027 shall continue to be outstanding under, and subject to the terms of, the LTIP 2017 (and any Shares issued pursuant to such awards shall therefore not come out of the number of Shares available for issuance under this Plan).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2. </w:t>
      </w:r>
      <w:r>
        <w:rPr>
          <w:rFonts w:ascii="Times New Roman" w:hAnsi="Times New Roman"/>
          <w:b w:val="false"/>
          <w:i/>
          <w:color w:val="000000"/>
          <w:sz w:val="20"/>
        </w:rPr>
        <w:t>Eligibility</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Any employee, Non-Employee Director, consultant or advisor who provides consultancy or advisory services for the Company or any subsidiary shall be eligible to be selected to receive an Award under the Plan.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Holders of equity compensation awards granted by a company acquired by the Company (or whose business is acquired by the Company) or with which the Company combines are eligible for grants of Replacement Awards under the Plan.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3. </w:t>
      </w:r>
      <w:r>
        <w:rPr>
          <w:rFonts w:ascii="Times New Roman" w:hAnsi="Times New Roman"/>
          <w:b w:val="false"/>
          <w:i/>
          <w:color w:val="000000"/>
          <w:sz w:val="20"/>
        </w:rPr>
        <w:t>Administration</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Plan shall be administered by the Committee. The Committee shall be appointed by the Board and shall consist of not less than three directors of the Board. The Board may designate one or more directors as a subcommittee who may act for the Committee if necessary to satisfy the requirements of this Section. The Committee may issue rules and regulations for administration of the Plan.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Subject to the terms of the Plan and applicable law, the Committee (or its delegate) shall have full power and authority to: (i) designate Participants; (ii) determine the type or types of Awards (including Replacement Awards) to be granted to each Participant under the Plan; (iii) determine the number of Shares to be covered by (or with respect to which payments, rights or other matters are to be calculated in connection with) Awards; (iv) determine the terms and conditions of any Award; (v) determine whether, to what extent and under what circumstances Awards may be settled or exercised in cash, Shares, other Awards, other property, net settlement (including broker-assisted cashless exercise) or any combination thereof, or canceled, forfeited or suspended, and the method or methods by which Awards may be settled, exercised, canceled, forfeited or suspended; (vi) determine whether, to what extent and under what circumstances cash, Shares, other Awards, other property and other amounts payable with respect to an Award under the Plan shall be deferred either automatically or at the election of the holder thereof or of the Committee; (vii) interpret and administer the Plan and any instrument or agreement relating to, or Award made under, the Plan; (viii) establish, amend, suspend or waive such rules and regulations and appoint such agents as it shall deem appropriate for the proper administration of the Plan; and (ix) make any other determination and take any other action that the Committee deems necessary or desirable for the administration of the Plan.</w:t>
      </w:r>
      <w:r>
        <w:rPr>
          <w:rFonts w:ascii="Times New Roman" w:hAnsi="Times New Roman"/>
          <w:b w:val="false"/>
          <w:i w:val="false"/>
          <w:color w:val="000000"/>
          <w:sz w:val="20"/>
        </w:rPr>
        <w:t xml:space="preserve"> </w:t>
      </w: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All decisions of the Committee shall be final, conclusive and binding upon all parties, including the Company, its shareholders and Participants and any Beneficiaries thereof.</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4. </w:t>
      </w:r>
      <w:r>
        <w:rPr>
          <w:rFonts w:ascii="Times New Roman" w:hAnsi="Times New Roman"/>
          <w:b w:val="false"/>
          <w:i/>
          <w:color w:val="000000"/>
          <w:sz w:val="20"/>
        </w:rPr>
        <w:t>Shares Available for Awards</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Subject to adjustment as provided in Section 4(c), the maximum number of Shares available for issuance under the Plan shall not exceed 2,891,714 Shares; provided that, starting on January 1, 2027, on January 1 of each year, the total number of Shares available for issuance under the Plan will be increased by an amount equal to the lesser of (i) 6.5% of the Company’s outstanding Shares on December 31 of the immediately preceding year or (ii) such number of Shares as determined by the Board in its discretion. Shares underlying Replacement Awards and Shares remaining available for grant under a plan of an acquired company or of a company with which the Company combines, appropriately adjusted to reflect the acquisition or combination transaction, shall not reduce the number of Shares remaining available for grant hereunder.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Any Shares subject to an Award or to an equity-based award granted under a prior plan of the Company (other than a Replacement Award and any Award granted out of the authorized shares of an acquired plan), that expires, is canceled, forfeited or otherwise terminates without the delivery of such Shares, including any Shares subject to such Award or award to the extent that such Award or award is settled without the issuance of Shares, shall again be, or shall become, available for issuance under the Plan. Any Shares surrendered or withheld in payment of any grant, acquisition or exercise price of such Award or award or taxes related to such Award or award shall not become available for issuance under the Plan.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In the event that, as a result of any dividend or other distribution (whether in the form of cash, Shares or other securities), recapitalization, stock split, reverse stock split, reorganization, merger, consolidation, split-up, spin-off, combination, repurchase or exchange of Shares or other securities of the Company, issuance of warrants or other rights to acquire Shares or other securities of the Company, issuance of Shares pursuant to the anti-dilution provisions of securities of the Company, or other similar corporate transaction or event affecting the Shares, or of changes in applicable laws, regulations or accounting principles, an adjustment is necessary in order to prevent dilution or enlargement of the benefits or potential benefits intended to be made available under the Plan, then the Committee shall, subject to Section 18, adjust equitably any or all of:</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number and type of Shares (or other securities) which thereafter may be made the subject of Awards, including the aggregate and individual limits specified in ‎Section 4(a);</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b w:val="false"/>
          <w:i w:val="false"/>
          <w:color w:val="000000"/>
          <w:sz w:val="22"/>
        </w:rPr>
        <w:t xml:space="preserve"> </w:t>
      </w:r>
      <w:r>
        <w:rPr>
          <w:b w:val="false"/>
          <w:i w:val="false"/>
          <w:color w:val="000000"/>
          <w:sz w:val="20"/>
        </w:rPr>
        <w:t>(ii)</w:t>
      </w:r>
      <w:r>
        <w:rPr>
          <w:b w:val="false"/>
          <w:i w:val="false"/>
          <w:color w:val="000000"/>
          <w:sz w:val="22"/>
        </w:rPr>
        <w:t xml:space="preserve"> </w:t>
      </w:r>
    </w:p>
    <w:p>
      <w:pPr>
        <w:spacing w:before="0" w:after="0"/>
        <w:ind w:left="1560"/>
        <w:jc w:val="left"/>
      </w:pPr>
      <w:r>
        <w:rPr>
          <w:b w:val="false"/>
          <w:i w:val="false"/>
          <w:color w:val="000000"/>
          <w:sz w:val="22"/>
        </w:rPr>
        <w:t xml:space="preserve"> </w:t>
      </w:r>
      <w:r>
        <w:rPr>
          <w:b w:val="false"/>
          <w:i w:val="false"/>
          <w:color w:val="000000"/>
          <w:sz w:val="20"/>
        </w:rPr>
        <w:t>the number and type of Shares (or other securities) subject to outstanding Awards; and</w:t>
      </w:r>
      <w:r>
        <w:rPr>
          <w:b w:val="false"/>
          <w:i w:val="false"/>
          <w:color w:val="000000"/>
          <w:sz w:val="22"/>
        </w:rPr>
        <w:t xml:space="preserve"> </w:t>
      </w:r>
    </w:p>
    <w:p>
      <w:pPr>
        <w:spacing w:before="0" w:after="0"/>
        <w:ind w:left="120"/>
        <w:jc w:val="left"/>
      </w:pPr>
    </w:p>
    <w:p>
      <w:pPr>
        <w:spacing w:before="0" w:after="0"/>
        <w:ind w:left="120"/>
        <w:jc w:val="left"/>
      </w:pPr>
      <w:r>
        <w:rPr>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grant, acquisition, exercise price with respect to any Award or, if deemed appropriate, make provision for a cash payment to the holder of an outstanding Award;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provided, however, that the number of Shares subject to any Award denominated in Shares shall always be a whole number.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(d)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Any Shares delivered pursuant to an Award may consist, in whole or in part, of authorized and unissued Shares or Shares acquired by the Company.</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5. </w:t>
      </w:r>
      <w:r>
        <w:rPr>
          <w:rFonts w:ascii="Times New Roman" w:hAnsi="Times New Roman"/>
          <w:b w:val="false"/>
          <w:i/>
          <w:color w:val="000000"/>
          <w:sz w:val="20"/>
        </w:rPr>
        <w:t>Options</w:t>
      </w:r>
      <w:r>
        <w:rPr>
          <w:rFonts w:ascii="Times New Roman" w:hAnsi="Times New Roman"/>
          <w:b w:val="false"/>
          <w:i w:val="false"/>
          <w:color w:val="000000"/>
          <w:sz w:val="20"/>
        </w:rPr>
        <w:t>. The Committee is authorized to grant Options to Participants with the following terms and conditions and with such additional terms and conditions, in either case not inconsistent with the provisions of the Plan, as the Committee shall determine.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exercise price per Share under an Option shall be determined by the Committee; provided, however, that, except in the case of Replacement Awards, such exercise price shall not be less than the Fair Market Value of a Share on the date of grant of such Option.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term of each Option shall be fixed by the Committee but shall not exceed 10 years from the date of grant of such Option.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shall determine the time or times at which an Option may be exercised in whole or in part.</w:t>
      </w:r>
      <w:r>
        <w:rPr>
          <w:rFonts w:ascii="Times New Roman" w:hAnsi="Times New Roman"/>
          <w:b w:val="false"/>
          <w:i w:val="false"/>
          <w:color w:val="000000"/>
          <w:sz w:val="20"/>
        </w:rPr>
        <w:t xml:space="preserve"> </w:t>
      </w: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(d)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shall determine the methods by which, and the forms in which payment of the exercise price with respect thereto may be made or deemed to have been made, including cash, Shares, other Awards, other property, net settlement (including broker-assisted cashless exercise) or any combination thereof, having a Fair Market Value on the exercise date equal to the relevant exercise price.</w:t>
      </w: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(e)</w:t>
      </w:r>
      <w:r>
        <w:rPr>
          <w:rFonts w:ascii="Times New Roman" w:hAnsi="Times New Roman"/>
          <w:b w:val="false"/>
          <w:i w:val="false"/>
          <w:color w:val="000000"/>
          <w:sz w:val="20"/>
        </w:rPr>
        <w:t xml:space="preserve">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shall have the right to (i) reduce the exercise price of any outstanding Option and (ii) cancel any outstanding Option in exchange for the grant of a replacement Award with an aggregate Fair Market Value on the grant date of such replacement award equal to or in excess of the aggregate Fair Market Value of the cancelled Option on the date of cancellation; provided that such exercise price reduction or cancellation and replacement does not result in the Participant who holds such repriced or substituted Option incurring any additional tax, penalty, interest or other expense under Section 409A of the Code.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6. </w:t>
      </w:r>
      <w:r>
        <w:rPr>
          <w:rFonts w:ascii="Times New Roman" w:hAnsi="Times New Roman"/>
          <w:b w:val="false"/>
          <w:i/>
          <w:color w:val="000000"/>
          <w:sz w:val="20"/>
        </w:rPr>
        <w:t>Stock Appreciation Rights</w:t>
      </w:r>
      <w:r>
        <w:rPr>
          <w:rFonts w:ascii="Times New Roman" w:hAnsi="Times New Roman"/>
          <w:b w:val="false"/>
          <w:i w:val="false"/>
          <w:color w:val="000000"/>
          <w:sz w:val="20"/>
        </w:rPr>
        <w:t>. The Committee is authorized to grant SARs to Participants with the following terms and conditions and with such additional terms and conditions, in either case not inconsistent with the provisions of the Plan, as the Committee shall determine.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SARs may be granted under the Plan to Participants either alone (“freestanding”) or in addition to other Awards granted under the Plan (“tandem”).</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exercise price per Share under a SAR shall be determined by the Committee; provided, however, that, except in the case of Replacement Awards, such exercise price shall not be less than the Fair Market Value of a Share on the date of grant of such SAR (or if granted in connection with an Option, on the grant date of such Option).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term of each SAR shall be fixed by the Committee but shall not exceed 10 years from the date of grant of such SAR.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(d)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shall determine the time or times at which a SAR may be exercised or settled in whole or in part.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Upon the exercise of a SAR, the Company shall pay to the Participant an amount equal to the number of Shares subject to the SAR multiplied by the excess, if any, of the Fair Market Value of one Share on the exercise date over the exercise price of such SAR. The Company shall pay such excess in cash, in Shares valued at Fair Market Value, or any combination thereof, as determined by the Committee.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7. </w:t>
      </w:r>
      <w:r>
        <w:rPr>
          <w:rFonts w:ascii="Times New Roman" w:hAnsi="Times New Roman"/>
          <w:b w:val="false"/>
          <w:i/>
          <w:color w:val="000000"/>
          <w:sz w:val="20"/>
        </w:rPr>
        <w:t>Restricted Stock and RSUs</w:t>
      </w:r>
      <w:r>
        <w:rPr>
          <w:rFonts w:ascii="Times New Roman" w:hAnsi="Times New Roman"/>
          <w:b w:val="false"/>
          <w:i w:val="false"/>
          <w:color w:val="000000"/>
          <w:sz w:val="20"/>
        </w:rPr>
        <w:t>. The Committee is authorized to grant Awards of Restricted Stock and RSUs to Participants with the following terms and conditions and with such additional terms and conditions, in either case not inconsistent with the provisions of the Plan, as the Committee shall determine.</w:t>
      </w:r>
      <w:r>
        <w:rPr>
          <w:rFonts w:ascii="Times New Roman" w:hAnsi="Times New Roman"/>
          <w:b w:val="false"/>
          <w:i w:val="false"/>
          <w:color w:val="000000"/>
          <w:sz w:val="20"/>
        </w:rPr>
        <w:t xml:space="preserve"> </w:t>
      </w:r>
    </w:p>
    <w:p>
      <w:pPr>
        <w:spacing w:before="0" w:after="0"/>
        <w:ind w:left="120"/>
        <w:jc w:val="left"/>
      </w:pPr>
    </w:p>
    <w:p>
      <w:pPr>
        <w:spacing w:before="0" w:after="20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applicable Award Document shall specify the vesting schedule and, with respect to RSUs, the delivery schedule (which may include deferred delivery later than the vesting date in accordance with Section 409A of the Code) and whether the Award of Restricted Stock or RSUs is entitled to dividends or dividend equivalents, voting rights or any other rights.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Shares of Restricted Stock and RSUs shall be subject to such restrictions as the Committee may impose (including any limitation on the right to vote a Share of Restricted Stock or the right to receive any dividend, dividend equivalent or other right), which restrictions may lapse separately or in combination at such time or times, in such installments or otherwise, as the Committee may deem appropriate. Without limiting the generality of the foregoing, if the Award relates to Shares on which dividends are declared during the period that the Award is outstanding, the Award shall not provide for the payment of such dividend (or a dividend equivalent) to the Participant prior to the time at which such Award, or applicable portion thereof, becomes nonforfeitable, unless otherwise provided in the applicable Award Document.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Any share of Restricted Stock granted under the Plan may be evidenced in such manner as the Committee may deem appropriate, including book-entry registration or issuance of a stock certificate or certificates. In the event that any stock certificate is issued in respect of shares of Restricted Stock granted under the Plan, such certificate shall be registered in the name of the Participant and shall bear an appropriate legend referring to the terms, conditions and restrictions applicable to such Restricted Stock.</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(d)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may determine the form or forms (including cash, Shares, other Awards, other property or any combination thereof) in which payment of the amount owing upon settlement of any RSU Award may be made.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8. </w:t>
      </w:r>
      <w:r>
        <w:rPr>
          <w:rFonts w:ascii="Times New Roman" w:hAnsi="Times New Roman"/>
          <w:b w:val="false"/>
          <w:i/>
          <w:color w:val="000000"/>
          <w:sz w:val="20"/>
        </w:rPr>
        <w:t>Performance Awards</w:t>
      </w:r>
      <w:r>
        <w:rPr>
          <w:rFonts w:ascii="Times New Roman" w:hAnsi="Times New Roman"/>
          <w:b w:val="false"/>
          <w:i w:val="false"/>
          <w:color w:val="000000"/>
          <w:sz w:val="20"/>
        </w:rPr>
        <w:t>. The Committee is authorized to grant Performance Awards to Participants with the following terms and conditions and with such additional terms and conditions, in either case not inconsistent with the provisions of the Plan, as the Committee shall determine.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Performance Awards may be denominated as a cash amount, a number of Shares or a combination thereof and are Awards which may be earned upon achievement or satisfaction of performance conditions specified by the Committee. In addition, the Committee may specify that any other Award shall constitute a Performance Award by conditioning the right of a Participant to exercise the Award or have it settled, and the timing thereof, upon achievement or satisfaction of such performance conditions as may be specified by the Committee. The Committee may use such business criteria and other measures of performance as it may deem appropriate in establishing any performance conditions. Subject to the terms of the Plan, the performance goals to be achieved during any Performance Period, the length of any Performance Period, the amount of any Performance Award granted and the amount of any payment or transfer to be made pursuant to any Performance Award shall be determined by the Committee. If the Performance Award relates to Shares on which dividends are declared during the Performance Period, the Performance Award shall not provide for the payment of such dividend (or dividend equivalent) to the Participant prior to the time at which such Performance Award, or the applicable portion thereof, is earned.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Performance criteria may be measured on an absolute (e.g., plan or budget) or relative basis, and may be established on a corporate-wide basis or with respect to one or more business units, divisions, subsidiaries or business segments. Relative performance may be measured against a group of peer companies, a financial market index or other acceptable objective and quantifiable indices. If the Committee determines that a change in the business, operations, corporate structure or capital structure of the Company, or the manner in which the Company conducts its business, or other events or circumstances render the performance objectives unsuitable, the Committee may modify the minimum acceptable level of achievement, in whole or in part, as the Committee deems appropriate and equitable. Performance objectives shall be adjusted for material items not originally contemplated in establishing the performance target for items resulting from discontinued operations, extraordinary gains and losses, the effect of changes in accounting standards or principles, acquisitions or divestitures, changes in tax rules or regulations, capital transactions, restructuring, nonrecurring gains or losses or unusual items. Performance measures may vary from Performance Award to Performance Award, and from Participant to Participant, and may be established on a stand-alone basis, in tandem or in the alternative. The Committee shall have the power to impose such other restrictions on Awards subject to this ‎Section 8(b) as it may deem necessary or appropriate to ensure that such Awards satisfy all requirements of any applicable law, stock market or exchange rules and regulations or accounting or tax rules and regulations.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Settlement of Performance Awards; Other Terms. Settlement of Performance Awards shall be in cash, Shares, other Awards, other property, net settlement or any combination thereof, as determined in the discretion of the Committee. Performance Awards will be settled only after the end of the relevant Performance Period. The Committee may, in its discretion, increase or reduce the amount of a settlement otherwise to be made in connection with a Performance Award.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9. </w:t>
      </w:r>
      <w:r>
        <w:rPr>
          <w:rFonts w:ascii="Times New Roman" w:hAnsi="Times New Roman"/>
          <w:b w:val="false"/>
          <w:i/>
          <w:color w:val="000000"/>
          <w:sz w:val="20"/>
        </w:rPr>
        <w:t>Other Share-Based Awards</w:t>
      </w:r>
      <w:r>
        <w:rPr>
          <w:rFonts w:ascii="Times New Roman" w:hAnsi="Times New Roman"/>
          <w:b w:val="false"/>
          <w:i w:val="false"/>
          <w:color w:val="000000"/>
          <w:sz w:val="20"/>
        </w:rPr>
        <w:t>. The Committee is authorized, subject to limitations under applicable law, to grant to Participants such other Awards that may be denominated or payable in, valued in whole or in part by reference to, or otherwise based on, or related to, Shares or factors that may influence the value of Shares, including convertible or exchangeable debt securities, other rights convertible or exchangeable into Shares, acquisition rights for Shares, Awards with value and payment contingent upon performance of the Company or business units thereof or any other factors designated by the Committee. The Committee shall determine the terms and conditions of such Awards.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10. </w:t>
      </w:r>
      <w:r>
        <w:rPr>
          <w:rFonts w:ascii="Times New Roman" w:hAnsi="Times New Roman"/>
          <w:b w:val="false"/>
          <w:i/>
          <w:color w:val="000000"/>
          <w:sz w:val="20"/>
        </w:rPr>
        <w:t>Minimum Vesting</w:t>
      </w:r>
      <w:r>
        <w:rPr>
          <w:rFonts w:ascii="Times New Roman" w:hAnsi="Times New Roman"/>
          <w:b w:val="false"/>
          <w:i w:val="false"/>
          <w:color w:val="000000"/>
          <w:sz w:val="20"/>
        </w:rPr>
        <w:t>. Notwithstanding any provisions of this Plan to the contrary and except as provided in this ‎Section 10 or pursuant to ‎Section 11, Awards (other than Replacement Awards) shall not vest in full prior to the one-year anniversary of the applicable grant date; provided, however, that no more than five percent (5%) of the Shares available for issuance under the Plan may be granted subject to Awards with such other vesting requirements, if any, as the Committee may establish in its sole discretion (which number of Shares shall not include any Shares subject to Awards granted pursuant to ‎Section 8).</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11. </w:t>
      </w:r>
      <w:r>
        <w:rPr>
          <w:rFonts w:ascii="Times New Roman" w:hAnsi="Times New Roman"/>
          <w:b w:val="false"/>
          <w:i/>
          <w:color w:val="000000"/>
          <w:sz w:val="20"/>
        </w:rPr>
        <w:t>Effect of Termination of Service or a Change in Control on Awards</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may provide, by rule or regulation or in any Award Document, or may determine in any individual case, the circumstances in which, and the extent to which, an Award may be exercised, settled, vested, paid or forfeited in the event of a Participant’s Termination of Service prior to the vesting, exercise or settlement of such Award or the end of a Performance Period.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b w:val="false"/>
          <w:i w:val="false"/>
          <w:color w:val="000000"/>
          <w:sz w:val="22"/>
        </w:rPr>
        <w:t xml:space="preserve"> </w:t>
      </w:r>
      <w:r>
        <w:rPr>
          <w:b w:val="false"/>
          <w:i w:val="false"/>
          <w:color w:val="000000"/>
          <w:sz w:val="20"/>
        </w:rPr>
        <w:t>(b)</w:t>
      </w:r>
      <w:r>
        <w:rPr>
          <w:b w:val="false"/>
          <w:i w:val="false"/>
          <w:color w:val="000000"/>
          <w:sz w:val="22"/>
        </w:rPr>
        <w:t xml:space="preserve"> </w:t>
      </w:r>
    </w:p>
    <w:p>
      <w:pPr>
        <w:spacing w:before="0" w:after="0"/>
        <w:ind w:left="840"/>
        <w:jc w:val="left"/>
      </w:pPr>
      <w:r>
        <w:rPr>
          <w:b w:val="false"/>
          <w:i w:val="false"/>
          <w:color w:val="000000"/>
          <w:sz w:val="22"/>
        </w:rPr>
        <w:t xml:space="preserve"> </w:t>
      </w:r>
      <w:r>
        <w:rPr>
          <w:b w:val="false"/>
          <w:i w:val="false"/>
          <w:color w:val="000000"/>
          <w:sz w:val="20"/>
        </w:rPr>
        <w:t>Unless otherwise provided by an Award Document, in the event of a Change in Control, outstanding Awards shall be treated as described below.</w:t>
      </w:r>
      <w:r>
        <w:rPr>
          <w:b w:val="false"/>
          <w:i w:val="false"/>
          <w:color w:val="000000"/>
          <w:sz w:val="2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If in connection with the Change in Control, any outstanding Award is continued in effect or converted into an award or right with respect to stock of the successor or surviving corporation (or a parent or subsidiary thereof) (in the case of Options and SARs awarded to a Participant to whom Section 18 applies, in a manner that complies with Sections 424 and 409A of the Code), then upon the occurrence of a Termination of Service of a Participant by the Company without Cause or a Termination of Service by such Participant for Good Reason within 24 months following the Change in Control, on the date of such Termination of Service, such Award held by such Participant shall immediately vest and settle (and in the case of any Performance Awards, performance will be determined as set forth in the Award Document), and with respect to Options and SARs, shall become exercisable and shall remain exercisable for one year.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If outstanding Awards are not continued or converted as described in subsection (i) above, then on the Change in Control, such Awards shall immediately vest and settle and, in the case of Options and SARs, shall become fully exercisable.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For purposes of subsections (i) and (ii) above, no Option, SAR, Restricted Stock or RSU shall be treated as “continued or converted” on a basis consistent with the requirements of subsection (i) or (ii), as applicable, unless the stock underlying such award after such continuation or conversion consists of securities of a class that is widely held and publicly traded on a U.S. national securities exchange.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In addition, in the event of a Change in Control and to the extent not inconsistent with the provisions of ‎Section 11(a) above or the applicable Award Document, the Committee, in its sole discretion, and on such terms and conditions as it deems appropriate, either by the terms of the Award or by action taken prior to the occurrence of such Change in Control, may take any one or more of the following actions whenever the Committee determines that such action is appropriate or desirable in order to prevent the dilution or enlargement of the benefits intended to be made available under the Plan or to facilitate the Change in Control transaction:</w:t>
      </w:r>
      <w:r>
        <w:rPr>
          <w:rFonts w:ascii="Times New Roman" w:hAnsi="Times New Roman"/>
          <w:b w:val="false"/>
          <w:i w:val="false"/>
          <w:color w:val="000000"/>
          <w:sz w:val="20"/>
        </w:rPr>
        <w:t xml:space="preserve"> </w:t>
      </w: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to terminate or cancel any outstanding Award in exchange for a cash payment (and, for the avoidance of doubt, if as of the date of the Change in Control, the Committee determines that no amount would have been realized upon the exercise of the Award or other realization of the Participant’s rights, then the Award may be cancelled by the Company without payment of consideration);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to provide for the assumption, substitution, replacement or continuation of any Award by the successor or surviving corporation (or a parent or subsidiary thereof) with cash, securities, rights or other property to be paid or issued, as the case may be, by the successor or surviving corporation (or a parent or subsidiary thereof), and to provide for appropriate adjustments with respect to the number and type of securities (or other consideration) of the successor or surviving corporation (or a parent or subsidiary thereof), subject to any replacement awards, the terms and conditions of the replacement awards (including, without limitation, any applicable performance targets or criteria with respect thereto) and the grant, exercise or purchase price per share for the replacement awards;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to make any other adjustments in the number and type of securities (or other consideration) subject to outstanding Awards and in the terms and conditions of outstanding Awards (including the grant or exercise price and performance criteria with respect thereto) and Awards that may be granted in the future;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(iv)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to provide that any Award shall be accelerated and become exercisable, payable and/or fully vested with respect to all Shares covered thereby, notwithstanding anything to the contrary in the Plan or the applicable Award Document; and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(v)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to provide that any Award shall not vest, be exercised or become payable as a result of such event.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12. </w:t>
      </w:r>
      <w:r>
        <w:rPr>
          <w:rFonts w:ascii="Times New Roman" w:hAnsi="Times New Roman"/>
          <w:b w:val="false"/>
          <w:i/>
          <w:color w:val="000000"/>
          <w:sz w:val="20"/>
        </w:rPr>
        <w:t>General Provisions Applicable to Awards</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Awards shall be granted for no cash consideration or for such minimal cash consideration as may be required by applicable law.</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Awards may, in the discretion of the Committee, be granted either alone or in addition to or in tandem with any other Award or any award granted under any other plan of the Company. Awards granted in addition to or in tandem with other Awards, or in addition to or in tandem with awards granted under any other plan of the Company, may be granted either at the same time as or at a different time from the grant of such other Awards or awards.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Subject to the terms of the Plan and Section 18, payments or transfers to be made by the Company upon the grant, exercise or settlement of an Award may be made in the form of cash, Shares, other Awards, other property, net settlement or any combination thereof, as determined by the Committee in its discretion, and may be made in a single payment or transfer, in installments or on a deferred basis, in each case in accordance with rules and procedures established by the Committee. Such rules and procedures may include provisions for the payment or crediting of reasonable interest on installment or deferred payments or the grant or crediting of dividend equivalents in respect of installment or deferred payments.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(d)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Except as may be permitted by the Committee or as specifically provided in an Award Document, (i) no Award and no right under any Award shall be assignable, alienable, saleable or transferable by a Participant otherwise than by will or pursuant to ‎Section 12(e) and (ii) during a Participant’s lifetime, each Award, and each right under any Award, shall be exercisable only by the Participant or, if permissible under applicable law, by the Participant’s guardian or legal representative. The provisions of this ‎Section 12(d) shall not apply to any Award that has been fully exercised or settled, as the case may be, and shall not preclude forfeiture of an Award in accordance with the terms thereof.</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 Participant may designate a Beneficiary or change a previous Beneficiary designation at such times prescribed by the Committee by using forms and following procedures approved or accepted by the Committee for that purpose.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(f)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All certificates for Shares and/or other securities delivered under the Plan pursuant to any Award or the exercise thereof shall be subject to such stop transfer orders and other restrictions as the Committee may deem advisable under the Plan or the rules, regulations and other requirements of the Securities and Exchange Commission, any stock market or exchange upon which such Shares or other securities are then quoted, traded or listed, and any applicable securities laws, and the Committee may cause a legend or legends to be put on any such certificates to make appropriate reference to such restrictions.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(g)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Without limiting the generality of ‎Section 12(h), the Committee may impose restrictions on any Award with respect to noncompetition, confidentiality and other restrictive covenants, or requirements to comply with minimum stock ownership requirements, as it deems necessary or appropriate in its sole discretion.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(h)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may specify in an Award Document that the Participant’s rights, payments and benefits with respect to an Award shall be subject to reduction, cancellation, forfeiture or recoupment upon the occurrence of certain specified events, in addition to any otherwise applicable vesting or performance conditions of an Award. Such events may include a Termination of Service with or without Cause (and, in the case of any Cause that is resulting from an indictment or other non-final determination, the Committee may provide for such Award to be held in escrow or abeyance until a final resolution of the matters related to such event occurs, at which time the Award shall either be reduced, cancelled or forfeited (as provided in such Award Document) or remain in effect, depending on the outcome), violation of material policies, breach of noncompetition, confidentiality or other restrictive covenants that may apply to the Participant, or other conduct by the Participant that is detrimental to the business or reputation of the Company and/or its Affiliates.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Rights, payments and benefits under any Award shall be subject to repayment to or recoupment (“clawback”) by the Company in accordance with such policies and procedures as the Committee or Board may adopt from time to time, including policies and procedures to implement applicable law, stock market or exchange rules and regulations or accounting or tax rules and regulations. A Participant’s acceptance of an Award will constitute the Participant’s acknowledgement of and consent to the Company’s application, implementation, and enforcement of any such applicable Company clawback or similar policy without further consideration or action.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13. </w:t>
      </w:r>
      <w:r>
        <w:rPr>
          <w:rFonts w:ascii="Times New Roman" w:hAnsi="Times New Roman"/>
          <w:b w:val="false"/>
          <w:i/>
          <w:color w:val="000000"/>
          <w:sz w:val="20"/>
        </w:rPr>
        <w:t>Amendments and Termination</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Except to the extent prohibited by applicable law and unless otherwise expressly provided in an Award Document or in the Plan, the Board may amend, alter, suspend, discontinue or terminate the Plan or any portion thereof at any time; provided, however, that no such amendment, alteration, suspension, discontinuation or termination shall be made without (i) shareholder approval, if such approval is required by applicable law or the rules of the stock market or exchange, if any, on which the Shares are principally quoted or traded or (ii) the consent of the affected Participant, if such action would materially adversely affect the rights of such Participant under any outstanding Award, except to the extent any such amendment, alteration, suspension, discontinuance or termination is made to cause the Plan to comply with applicable law, stock market or exchange rules and regulations or accounting or tax rules and regulations, or to impose any recoupment provisions on any Awards in accordance with ‎Section 12(i). Notwithstanding anything to the contrary in the Plan, the Committee may amend the Plan in such manner as may be necessary to enable the Plan to achieve its stated purposes in any jurisdiction in a tax-efficient manner and in compliance with local laws, rules and regulations.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may waive any conditions or rights under, amend any terms of, or amend, alter, suspend, discontinue or terminate any Award theretofore granted, prospectively or retroactively, without the consent of any relevant Participant or holder or Beneficiary of an Award; provided, however, that, subject to ‎Section 4(c) and Section 11(c), no such action shall materially adversely affect the rights of any affected Participant or holder or Beneficiary under any Award theretofore granted under the Plan, except to the extent any such action is made to cause the Plan to comply with applicable law, stock market or exchange rules and regulations or accounting or tax rules and regulations, or to impose any recoupment provisions on any Awards in accordance with ‎Section 12(i).</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Except as provided in ‎Section 8(b), the Committee shall be authorized to make adjustments in the terms and conditions of, and the criteria included in, Awards in recognition of events (including the events described in ‎Section 4(c)) affecting the Company, or the financial statements of the Company, or of changes in applicable law, stock market or exchange rules and regulations or accounting or tax rules and regulations, whenever the Committee determines that such adjustments are appropriate in order to prevent dilution or enlargement of the benefits or potential benefits intended to be made available under the Plan.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(d)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Committee may correct any defect, supply any omission or reconcile any inconsistency in the Plan or any Award in the manner and to the extent it shall deem desirable to carry the Plan into effect.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Section 14. [Reserved].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15. </w:t>
      </w:r>
      <w:r>
        <w:rPr>
          <w:rFonts w:ascii="Times New Roman" w:hAnsi="Times New Roman"/>
          <w:b w:val="false"/>
          <w:i/>
          <w:color w:val="000000"/>
          <w:sz w:val="20"/>
        </w:rPr>
        <w:t>Miscellaneous</w:t>
      </w:r>
      <w:r>
        <w:rPr>
          <w:rFonts w:ascii="Times New Roman" w:hAnsi="Times New Roman"/>
          <w:b w:val="false"/>
          <w:i w:val="false"/>
          <w:color w:val="000000"/>
          <w:sz w:val="20"/>
        </w:rPr>
        <w: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No employee, Participant or other person shall have any claim to be granted any Award under the Plan, and there is no obligation for uniformity of treatment of employees, Participants or holders or Beneficiaries of Awards under the Plan. The terms and conditions of Awards need not be the same with respect to each recipient. Any Award granted under the Plan shall be a one-time Award that does not constitute a promise of future grants. The Company, in its sole discretion, maintains the right to make available future grants under the Plan.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grant of an Award shall not be construed as giving a Participant the right to be retained in the employ of, or to continue to provide services to, the Company or any Affiliate. Further, the Company or the applicable Affiliate may at any time dismiss a Participant, free from any liability, or any claim under the Plan, unless otherwise expressly provided in the Plan or in any Award Document or in any other agreement binding the parties. The receipt of any Award under the Plan is not intended to confer any rights on the receiving Participant except as set forth in the applicable Award Document.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Nothing contained in the Plan shall prevent the Company from adopting or continuing in effect other or additional compensation arrangements, and such arrangements may be either generally applicable or applicable only in specific cases.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(d)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Company shall be authorized to withhold from any Award granted or any payment due or transfer made under any Award or under the Plan or from any compensation or other amount owing to a Participant the amount (in cash, Shares, other Awards, other property, net settlement or any combination thereof) of applicable withholding taxes due in respect of an Award, its exercise or settlement or any payment or transfer under such Award or under the Plan and to take such other action (including providing for elective payment of such amounts in cash or Shares by the Participant) as may be necessary in the opinion of the Company to satisfy all obligations for the payment of such taxes.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If any provision of the Plan or any Award Document is or becomes or is deemed to be invalid, illegal or unenforceable in any jurisdiction, or as to any person or Award, or would disqualify the Plan or any Award under any law deemed applicable by the Committee, such provision shall be construed or deemed amended to conform to applicable laws, or if it cannot be so construed or deemed amended without, in the determination of the Committee, materially altering the intent of the Plan or the Award Document, such provision shall be stricken as to such jurisdiction, person or Award, and the remainder of the Plan and any such Award Document shall remain in full force and effect.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(f)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Neither the Plan nor any Award shall create or be construed to create a trust or separate fund of any kind or a fiduciary relationship between the Company and a Participant or any other person. To the extent that any person acquires a right to receive payments from the Company pursuant to an Award, such right shall be no greater than the right of any unsecured general creditor of the Company.</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(g)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No fractional Shares shall be issued or delivered pursuant to the Plan or any Award, and the Committee shall determine whether cash or other securities shall be paid or transferred in lieu of any fractional Shares, or whether such fractional Shares or any rights thereto shall be canceled, terminated or otherwise eliminated.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(h)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Awards may be granted to Participants who are non-Dutch nationals or employed or providing services outside the Netherlands, or both, on such terms and conditions different from those applicable to Awards to Participants who are employed or providing services in the Netherlands as may, in the judgment of the Committee, be necessary or desirable to recognize differences in local law, tax policy or custom. The Committee also may impose conditions on the exercise or vesting of Awards in order to minimize the Company’s obligation with respect to tax equalization for Participants on assignments outside their home country.</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16. </w:t>
      </w:r>
      <w:r>
        <w:rPr>
          <w:rFonts w:ascii="Times New Roman" w:hAnsi="Times New Roman"/>
          <w:b w:val="false"/>
          <w:i/>
          <w:color w:val="000000"/>
          <w:sz w:val="20"/>
        </w:rPr>
        <w:t>Effective Date of the Plan</w:t>
      </w:r>
      <w:r>
        <w:rPr>
          <w:rFonts w:ascii="Times New Roman" w:hAnsi="Times New Roman"/>
          <w:b w:val="false"/>
          <w:i w:val="false"/>
          <w:color w:val="000000"/>
          <w:sz w:val="20"/>
        </w:rPr>
        <w:t>. The Plan became effective as of January 1, 2027.</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17. </w:t>
      </w:r>
      <w:r>
        <w:rPr>
          <w:rFonts w:ascii="Times New Roman" w:hAnsi="Times New Roman"/>
          <w:b w:val="false"/>
          <w:i/>
          <w:color w:val="000000"/>
          <w:sz w:val="20"/>
        </w:rPr>
        <w:t>Term of the Plan</w:t>
      </w:r>
      <w:r>
        <w:rPr>
          <w:rFonts w:ascii="Times New Roman" w:hAnsi="Times New Roman"/>
          <w:b w:val="false"/>
          <w:i w:val="false"/>
          <w:color w:val="000000"/>
          <w:sz w:val="20"/>
        </w:rPr>
        <w:t>. No Award shall be granted under the Plan after the earliest to occur of (i) December 31, 2036; provided that to the extent permitted by the listing rules of any stock exchanges on which the Company is listed, such December 31, 2036 term may be extended indefinitely so long as the maximum number of Shares available for issuance under the Plan have not been issued, (ii) the maximum number of Shares available for issuance under the Plan have been issued or (iii) the Board terminates the Plan in accordance with ‎Section 13(a). However, unless otherwise expressly provided in the Plan or in an applicable Award Document, any Award theretofore granted may extend beyond such date, and the authority of the Committee to amend, alter, adjust, suspend, discontinue or terminate any such Award, or to waive any conditions or rights under any such Award, and the authority of the Board to amend the Plan, shall extend beyond such date.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18. </w:t>
      </w:r>
      <w:r>
        <w:rPr>
          <w:rFonts w:ascii="Times New Roman" w:hAnsi="Times New Roman"/>
          <w:b w:val="false"/>
          <w:i/>
          <w:color w:val="000000"/>
          <w:sz w:val="20"/>
        </w:rPr>
        <w:t>Section 409A of the Code</w:t>
      </w:r>
      <w:r>
        <w:rPr>
          <w:rFonts w:ascii="Times New Roman" w:hAnsi="Times New Roman"/>
          <w:b w:val="false"/>
          <w:i w:val="false"/>
          <w:color w:val="000000"/>
          <w:sz w:val="20"/>
        </w:rPr>
        <w:t>. With respect to Awards subject to Section 409A of the Code, the Plan is intended to comply with or be exempt from the requirements of Section 409A of the Code, and the provisions of the Plan and any Award Document shall be interpreted in accordance with such intent, and the Plan shall be operated accordingly. If any provision of the Plan or any term or condition of any Award would otherwise frustrate or conflict with this intent, the provision, term or condition will be interpreted and deemed amended so as to avoid this conflict. If an amount payable under an Award as a result of the Participant’s Termination of Service (other than due to death) occurring while the Participant is a “specified employee” under Section 409A of the Code constitutes a deferral of compensation subject to Section 409A of the Code, then payment of such amount shall not occur until six months and one day after the date of the Participant’s Termination of Service, except as permitted under Section 409A of the Code. If the Award includes a “series of installment payments” (within the meaning of Section 1.409A-2(b)(2)(iii) of the Treasury Regulations), the Participant’s right to the series of installment payments shall be treated as a right to a series of separate payments and not as a right to a single payment, and if the Award includes “dividend equivalents” (within the meaning of Section 1.409A-3(e) of the Treasury Regulations), the Participant’s right to the dividend equivalents shall be treated separately from the right to other amounts under the Award. Notwithstanding the foregoing, the tax treatment of the benefits provided under the Plan or any Award Document is not warranted or guaranteed, and in no event shall the Company be liable for all or any portion of any taxes, penalties, interest or other expenses that may be incurred by the Participant on account of non-compliance with Section 409A of the Code.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19. </w:t>
      </w:r>
      <w:r>
        <w:rPr>
          <w:rFonts w:ascii="Times New Roman" w:hAnsi="Times New Roman"/>
          <w:b w:val="false"/>
          <w:i/>
          <w:color w:val="000000"/>
          <w:sz w:val="20"/>
        </w:rPr>
        <w:t>Data Protection</w:t>
      </w:r>
      <w:r>
        <w:rPr>
          <w:rFonts w:ascii="Times New Roman" w:hAnsi="Times New Roman"/>
          <w:b w:val="false"/>
          <w:i w:val="false"/>
          <w:color w:val="000000"/>
          <w:sz w:val="20"/>
        </w:rPr>
        <w:t>. By participating in the Plan, the Participant consents to the holding and processing of personal information provided by the Participant to the Company or any Affiliate, trustee or third party service provider, for all purposes relating to the operation of the Plan. These include, but are not limited to:</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120"/>
        <w:jc w:val="left"/>
      </w:pPr>
    </w:p>
    <w:p>
      <w:pPr>
        <w:spacing w:before="0" w:after="0"/>
        <w:ind w:left="840"/>
        <w:jc w:val="left"/>
      </w:pPr>
      <w:r>
        <w:rPr>
          <w:b w:val="false"/>
          <w:i w:val="false"/>
          <w:color w:val="000000"/>
          <w:sz w:val="22"/>
        </w:rPr>
        <w:t xml:space="preserve"> </w:t>
      </w:r>
      <w:r>
        <w:rPr>
          <w:b w:val="false"/>
          <w:i w:val="false"/>
          <w:color w:val="000000"/>
          <w:sz w:val="20"/>
        </w:rPr>
        <w:t>(i)</w:t>
      </w:r>
      <w:r>
        <w:rPr>
          <w:b w:val="false"/>
          <w:i w:val="false"/>
          <w:color w:val="000000"/>
          <w:sz w:val="22"/>
        </w:rPr>
        <w:t xml:space="preserve"> </w:t>
      </w:r>
    </w:p>
    <w:p>
      <w:pPr>
        <w:spacing w:before="0" w:after="0"/>
        <w:ind w:left="840"/>
        <w:jc w:val="left"/>
      </w:pPr>
      <w:r>
        <w:rPr>
          <w:b w:val="false"/>
          <w:i w:val="false"/>
          <w:color w:val="000000"/>
          <w:sz w:val="22"/>
        </w:rPr>
        <w:t xml:space="preserve"> </w:t>
      </w:r>
      <w:r>
        <w:rPr>
          <w:b w:val="false"/>
          <w:i w:val="false"/>
          <w:color w:val="000000"/>
          <w:sz w:val="20"/>
        </w:rPr>
        <w:t>administering and maintaining Participant records;</w:t>
      </w:r>
      <w:r>
        <w:rPr>
          <w:b w:val="false"/>
          <w:i w:val="false"/>
          <w:color w:val="000000"/>
          <w:sz w:val="22"/>
        </w:rPr>
        <w:t xml:space="preserve"> </w:t>
      </w:r>
    </w:p>
    <w:p>
      <w:pPr>
        <w:spacing w:before="0" w:after="0"/>
        <w:ind w:left="120"/>
        <w:jc w:val="left"/>
      </w:pPr>
    </w:p>
    <w:p>
      <w:pPr>
        <w:spacing w:before="0" w:after="0"/>
        <w:ind w:left="1560"/>
        <w:jc w:val="left"/>
      </w:pPr>
      <w:r>
        <w:rPr>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providing information to the Company, Affiliates, trustees of any employee benefit trust, registrars, brokers or third party administrators of the Plan;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(iii)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providing information to future purchasers or merger partners of the Company or any Affiliate, or the business in which the Participant works; and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(iv)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transferring information about the Participant to any country or territory that may not provide the same protection for the information as the Participant’s home country.</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20. </w:t>
      </w:r>
      <w:r>
        <w:rPr>
          <w:rFonts w:ascii="Times New Roman" w:hAnsi="Times New Roman"/>
          <w:b w:val="false"/>
          <w:i/>
          <w:color w:val="000000"/>
          <w:sz w:val="20"/>
        </w:rPr>
        <w:t>Governing Law</w:t>
      </w:r>
      <w:r>
        <w:rPr>
          <w:rFonts w:ascii="Times New Roman" w:hAnsi="Times New Roman"/>
          <w:b w:val="false"/>
          <w:i w:val="false"/>
          <w:color w:val="000000"/>
          <w:sz w:val="20"/>
        </w:rPr>
        <w:t>. The Plan and each Award Document shall be governed by the laws of the Netherlands. The Company, its Affiliates and each Participant (by acceptance of an Award) irrevocably submit, in respect of any suit, action or proceeding related to the implementation or enforcement of the Plan, to the exclusive jurisdiction of the competent courts in Amsterdam, the Netherlands.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Section 21. </w:t>
      </w:r>
      <w:r>
        <w:rPr>
          <w:rFonts w:ascii="Times New Roman" w:hAnsi="Times New Roman"/>
          <w:b w:val="false"/>
          <w:i/>
          <w:color w:val="000000"/>
          <w:sz w:val="20"/>
        </w:rPr>
        <w:t>Definitions</w:t>
      </w:r>
      <w:r>
        <w:rPr>
          <w:rFonts w:ascii="Times New Roman" w:hAnsi="Times New Roman"/>
          <w:b w:val="false"/>
          <w:i w:val="false"/>
          <w:color w:val="000000"/>
          <w:sz w:val="20"/>
        </w:rPr>
        <w:t>. As used in the Plan, the following terms shall have the meanings set forth below:</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(a)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“Affiliate” means (i) any entity that, directly or indirectly, is controlled by the Company, (ii) any entity in which the Company, directly or indirectly, has a significant equity interest, in each case as determined by the Committee and (iii) any other entity which the Committee determines should be treated as an “Affiliate.”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(b)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“Award” means any Option, SAR, Restricted Stock, RSU, Performance Award or Other Stock-Based Award granted under the Plan.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(c)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“Award Document” means any agreement, contract or other instrument or document, which may be in electronic format, evidencing any Award granted under the Plan, which may, but need not, be executed or acknowledged by a Participant.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(d)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“Beneficiary” means a person entitled to receive payments or other benefits or exercise rights that are available under the Plan in the event of the Participant’s death. If no such person is named by a Participant, or if no Beneficiary designated by the Participant is eligible to receive payments or other benefits or exercise rights that are available under the Plan at the Participant’s death, such Participant’s Beneficiary shall be such Participant’s estate.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(e) </w:t>
      </w:r>
    </w:p>
    <w:p>
      <w:pPr>
        <w:spacing w:before="0" w:after="0"/>
        <w:ind w:left="12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“Board” means the board of directors of the Company.</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(f)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“Cause” means, with respect to any Participant, “cause” as defined in such Participant’s employment agreement with the Company, if any, or if not so defined, except as otherwise provided in such Participant’s Award Document, such Participant’s:</w:t>
      </w:r>
      <w:r>
        <w:rPr>
          <w:rFonts w:ascii="Times New Roman" w:hAnsi="Times New Roman"/>
          <w:b w:val="false"/>
          <w:i w:val="false"/>
          <w:color w:val="000000"/>
          <w:sz w:val="20"/>
        </w:rPr>
        <w:t xml:space="preserve"> </w:t>
      </w: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indictment for any crime (A) constituting a felony (in Dutch: misdrijf), or (B) that has, or could reasonably be expected to result in, an adverse impact on the performance of a Participant’s duties to the Company or any of its subsidiaries, or otherwise has, or could reasonably be expected to result in, an adverse impact to the business or reputation of the Company or any of its subsidiaries;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having been the subject of any order, judicial or administrative, obtained or issued by the Securities and Exchange Commission for any securities violation involving fraud, including, for example, any such order consented to by the Participant in which findings of facts or any legal conclusions establishing liability are neither admitted nor denied;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conduct, in connection with his or her employment or service, which is not taken in good faith and has, or could reasonably be expected to result in, material injury to the business or reputation of the Company or any of its subsidiaries;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willful violation of the Company’s code of conduct or other material policies set forth in the manuals or statements of policy of the Company or any of its subsidiaries;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(iv)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willful neglect in the performance of a Participant’s duties for the Company or any of its subsidiaries or willful or repeated failure or refusal to perform such duties;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(v)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material breach of any applicable employment agreement or other agreement with the Company; or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(vi)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conduct, in connection with his or her employment or service, which should be considered as an urgent cause within the meaning of Section 7:678 of the Dutch Civil Code.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occurrence of any such event described in clauses (ii) through (v) that is susceptible to cure or remedy shall not constitute Cause if such Participant cures or remedies such event within 30 (thirty) days after the Company provides notice to such Participant.</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b w:val="false"/>
          <w:i w:val="false"/>
          <w:color w:val="000000"/>
          <w:sz w:val="22"/>
        </w:rPr>
        <w:t xml:space="preserve"> (</w:t>
      </w:r>
      <w:r>
        <w:rPr>
          <w:b w:val="false"/>
          <w:i w:val="false"/>
          <w:color w:val="000000"/>
          <w:sz w:val="20"/>
        </w:rPr>
        <w:t>g</w:t>
      </w:r>
      <w:r>
        <w:rPr>
          <w:b w:val="false"/>
          <w:i w:val="false"/>
          <w:color w:val="000000"/>
          <w:sz w:val="22"/>
        </w:rPr>
        <w:t xml:space="preserve">) </w:t>
      </w:r>
    </w:p>
    <w:p>
      <w:pPr>
        <w:spacing w:before="0" w:after="0"/>
        <w:ind w:left="840"/>
        <w:jc w:val="left"/>
      </w:pPr>
      <w:r>
        <w:rPr>
          <w:b w:val="false"/>
          <w:i w:val="false"/>
          <w:color w:val="000000"/>
          <w:sz w:val="20"/>
        </w:rPr>
        <w:t xml:space="preserve"> “Change in Control” means the occurrence of any one or more of the following events: </w:t>
      </w:r>
    </w:p>
    <w:p>
      <w:pPr>
        <w:spacing w:before="0" w:after="0"/>
        <w:ind w:left="120"/>
        <w:jc w:val="left"/>
      </w:pPr>
    </w:p>
    <w:p>
      <w:pPr>
        <w:spacing w:before="0" w:after="0"/>
        <w:ind w:left="120"/>
        <w:jc w:val="left"/>
      </w:pPr>
      <w:r>
        <w:rPr>
          <w:b w:val="false"/>
          <w:i w:val="false"/>
          <w:color w:val="000000"/>
          <w:sz w:val="22"/>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 direct or indirect change in ownership or control of the Company effected through one transaction or a series of related transactions within a 12-month period, whereby any Person other than the Company, directly or indirectly acquires or maintains beneficial ownership of securities of the Company constituting more than 50% of the total combined voting power of the Company’s equity securities outstanding immediately after such acquisition;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at any time during a period of 12 consecutive months, individuals who at the beginning of such period constituted the Board cease for any reason to constitute a majority of members of the Board; provided, however, that any new member of the Board whose election or nomination for election was approved by a vote of at least a majority of the directors then still in office who either were directors at the beginning of such period or whose election or nomination for election was so approved, shall be considered as though such individual were a member of the Board at the beginning of the period, but excluding, for this purpose, any such individual whose initial assumption of office occurs as a result of an actual or threatened election contest with respect to the election or removal of directors or other actual or threatened solicitation of proxies or consents by or on behalf of a Person other than the Board;</w:t>
      </w:r>
      <w:r>
        <w:rPr>
          <w:rFonts w:ascii="Times New Roman" w:hAnsi="Times New Roman"/>
          <w:b w:val="false"/>
          <w:i w:val="false"/>
          <w:color w:val="000000"/>
          <w:sz w:val="20"/>
        </w:rPr>
        <w:t xml:space="preserve"> </w:t>
      </w:r>
    </w:p>
    <w:p>
      <w:pPr>
        <w:spacing w:before="0" w:after="0"/>
        <w:ind w:left="156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consummation of a merger or consolidation of the Company or any of its subsidiaries with any other corporation or entity, other than a merger or consolidation which would result in the voting securities of the Company outstanding immediately prior to such merger or consolidation continuing to represent (either by remaining outstanding or being converted into voting securities of the surviving entity or, if applicable, the ultimate parent thereof) at least 50% of the combined voting power and total fair market value of the securities of the Company or such surviving entity or parent outstanding immediately after such merger or consolidation; or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(iv)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the consummation of any sale, lease, exchange or other transfer to any Person (other than an Affiliate of the Company), in one transaction or a series of related transactions within a 12-month period, of all or substantially all of the assets of the Company and its subsidiaries.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Notwithstanding the foregoing or any provision of any Award Document to the contrary, for any Award to which Section 18 applies that provides for accelerated distribution on a Change in Control of amounts that constitute “deferred compensation” (as defined in Section 409A of the Code), if the event that constitutes such Change in Control does not also constitute a change in the ownership or effective control of the Company, or in the ownership of a substantial portion of the Company’s assets (in either case, as defined in Section 409A of the Code), such amount shall not be distributed on such Change in Control but instead shall vest as of the date of such Change in Control and shall be paid on the scheduled payment date specified in the applicable Award Document, except to the extent that earlier distribution would not result in the Participant who holds such Award incurring any additional tax, penalty, interest or other expense under Section 409A of the Code.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(h)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“Code” means the United States Internal Revenue Code of 1986, as amended from time to time, and the rules, regulations and guidance thereunder. Any reference to a provision in the Code shall include any successor provision thereto.</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“Committee” means the Compensation Committee of the Board or such other committee as may be designated by the Board (provided that the committee previously designated by the Board to administer the LTIP 2017 shall continue to administer this Plan until the Board decides differently); provided that, with respect to any Award granted to any Non-Employee Director, the “Committee” means the Nomination and Corporate Governance Committee of the Board or such other committee as may be designated by the Board (provided that the committee previously designated by the Board to administer the LTIP 2017 shall continue to administer this Plan until the Board decides differently). If the Board does not designate the Committee, references herein to the “Committee” shall refer to the Board.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(j)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“Exchange Act” means the United States Securities Exchange Act of 1934, as amended from time to time, and the rules, regulations and guidance thereunder. Any reference to a provision in the Exchange Act shall include any successor provision thereto.</w:t>
      </w:r>
      <w:r>
        <w:rPr>
          <w:rFonts w:ascii="Times New Roman" w:hAnsi="Times New Roman"/>
          <w:b w:val="false"/>
          <w:i w:val="false"/>
          <w:color w:val="000000"/>
          <w:sz w:val="20"/>
        </w:rPr>
        <w:t xml:space="preserve"> </w:t>
      </w:r>
    </w:p>
    <w:p>
      <w:pPr>
        <w:spacing w:before="0" w:after="0"/>
        <w:ind w:left="84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(k)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“Fair Market Value” means (i) with respect to a Share, the closing price of a Share on the date in question (or, if there is no reported sale on such date, on the last preceding date on which any reported sale occurred) on the principal stock market or exchange on which the Shares are quoted or traded, or if Shares are not so quoted or traded, the fair market value of a Share as determined by the Committee, and (ii) with respect to any property other than Shares, the fair market value of such property determined by such methods or procedures as shall be established from time to time by the Committee.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(l)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“Good Reason” means, with respect to any Participant, “good reason” as defined in such Participant’s employment agreement with the Company, if any, or if not so defined, except as otherwise provided in such Participant’s Award Document, the occurrence of any one or more of the following events: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b w:val="false"/>
          <w:i w:val="false"/>
          <w:color w:val="000000"/>
          <w:sz w:val="22"/>
        </w:rPr>
        <w:t xml:space="preserve"> </w:t>
      </w:r>
      <w:r>
        <w:rPr>
          <w:b w:val="false"/>
          <w:i w:val="false"/>
          <w:color w:val="000000"/>
          <w:sz w:val="20"/>
        </w:rPr>
        <w:t>(i)</w:t>
      </w:r>
      <w:r>
        <w:rPr>
          <w:b w:val="false"/>
          <w:i w:val="false"/>
          <w:color w:val="000000"/>
          <w:sz w:val="22"/>
        </w:rPr>
        <w:t xml:space="preserve"> </w:t>
      </w:r>
    </w:p>
    <w:p>
      <w:pPr>
        <w:spacing w:before="0" w:after="0"/>
        <w:ind w:left="1560"/>
        <w:jc w:val="left"/>
      </w:pPr>
      <w:r>
        <w:rPr>
          <w:b w:val="false"/>
          <w:i w:val="false"/>
          <w:color w:val="000000"/>
          <w:sz w:val="22"/>
        </w:rPr>
        <w:t xml:space="preserve"> </w:t>
      </w:r>
      <w:r>
        <w:rPr>
          <w:b w:val="false"/>
          <w:i w:val="false"/>
          <w:color w:val="000000"/>
          <w:sz w:val="20"/>
        </w:rPr>
        <w:t>a material diminution in the Participant’s base salary; or</w:t>
      </w:r>
      <w:r>
        <w:rPr>
          <w:b w:val="false"/>
          <w:i w:val="false"/>
          <w:color w:val="000000"/>
          <w:sz w:val="22"/>
        </w:rPr>
        <w:t xml:space="preserve"> </w:t>
      </w:r>
    </w:p>
    <w:p>
      <w:pPr>
        <w:spacing w:before="0" w:after="0"/>
        <w:ind w:left="120"/>
        <w:jc w:val="left"/>
      </w:pPr>
    </w:p>
    <w:p>
      <w:pPr>
        <w:spacing w:before="0" w:after="0"/>
        <w:ind w:left="1560"/>
        <w:jc w:val="left"/>
      </w:pPr>
      <w:r>
        <w:rPr>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a relocation of the Participant’s principal place of employment more than fifty (50) miles from its location;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in each case, without the Participant’s consent. A Participant must provide notice to the Company of the existence of any one or more of the conditions described in (i) through (ii) above within sixty (60) days of the initial existence of the condition, upon the notice of which the Company will have a period of thirty (30) days during which it may remedy the condition before the condition gives rise to Good Reason.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(m)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“Non-Employee Director” means a member of the Board who is not an employee of the Company or an Affiliate.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(n)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“Option” means an option representing the right to acquire Shares from the Company, granted in accordance with the provisions of Section 5.</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(o)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“Other Stock-Based Award” means an Award granted in accordance with the provisions of ‎Section 9.</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b w:val="false"/>
          <w:i w:val="false"/>
          <w:color w:val="000000"/>
          <w:sz w:val="22"/>
        </w:rPr>
        <w:t xml:space="preserve"> </w:t>
      </w:r>
      <w:r>
        <w:rPr>
          <w:b w:val="false"/>
          <w:i w:val="false"/>
          <w:color w:val="000000"/>
          <w:sz w:val="20"/>
        </w:rPr>
        <w:t>(p)</w:t>
      </w:r>
      <w:r>
        <w:rPr>
          <w:b w:val="false"/>
          <w:i w:val="false"/>
          <w:color w:val="000000"/>
          <w:sz w:val="22"/>
        </w:rPr>
        <w:t xml:space="preserve"> </w:t>
      </w:r>
    </w:p>
    <w:p>
      <w:pPr>
        <w:spacing w:before="0" w:after="0"/>
        <w:ind w:left="840"/>
        <w:jc w:val="left"/>
      </w:pPr>
      <w:r>
        <w:rPr>
          <w:b w:val="false"/>
          <w:i w:val="false"/>
          <w:color w:val="000000"/>
          <w:sz w:val="22"/>
        </w:rPr>
        <w:t xml:space="preserve"> </w:t>
      </w:r>
      <w:r>
        <w:rPr>
          <w:b w:val="false"/>
          <w:i w:val="false"/>
          <w:color w:val="000000"/>
          <w:sz w:val="20"/>
        </w:rPr>
        <w:t>“Participant” means the recipient of an Award granted under the Plan.</w:t>
      </w:r>
      <w:r>
        <w:rPr>
          <w:b w:val="false"/>
          <w:i w:val="false"/>
          <w:color w:val="000000"/>
          <w:sz w:val="2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b w:val="false"/>
          <w:i w:val="false"/>
          <w:color w:val="000000"/>
          <w:sz w:val="22"/>
        </w:rPr>
        <w:t xml:space="preserve"> </w:t>
      </w:r>
      <w:r>
        <w:rPr>
          <w:b w:val="false"/>
          <w:i w:val="false"/>
          <w:color w:val="000000"/>
          <w:sz w:val="20"/>
        </w:rPr>
        <w:t>(q)</w:t>
      </w:r>
      <w:r>
        <w:rPr>
          <w:b w:val="false"/>
          <w:i w:val="false"/>
          <w:color w:val="000000"/>
          <w:sz w:val="22"/>
        </w:rPr>
        <w:t xml:space="preserve"> </w:t>
      </w:r>
    </w:p>
    <w:p>
      <w:pPr>
        <w:spacing w:before="0" w:after="0"/>
        <w:ind w:left="840"/>
        <w:jc w:val="left"/>
      </w:pPr>
      <w:r>
        <w:rPr>
          <w:b w:val="false"/>
          <w:i w:val="false"/>
          <w:color w:val="000000"/>
          <w:sz w:val="22"/>
        </w:rPr>
        <w:t xml:space="preserve"> </w:t>
      </w:r>
      <w:r>
        <w:rPr>
          <w:b w:val="false"/>
          <w:i w:val="false"/>
          <w:color w:val="000000"/>
          <w:sz w:val="20"/>
        </w:rPr>
        <w:t>“Award” means an Award granted in accordance with the provisions of ‎Section 8.</w:t>
      </w:r>
      <w:r>
        <w:rPr>
          <w:b w:val="false"/>
          <w:i w:val="false"/>
          <w:color w:val="000000"/>
          <w:sz w:val="2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(r)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“Performance Period” means the period established by the Committee at the time any Performance Award is granted or at any time thereafter during which any performance goals specified by the Committee with respect to such Award are measured.</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(s)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“Person” means a natural person or a partnership, company, association, cooperative, mutual insurance society, foundation or any other body which operates externally as an independent unit or organisation.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p>
    <w:p>
      <w:r>
        <w:pict>
          <v:rect style="width:0;height:1.5pt" id="_x0000_i1025" o:hr="t" o:hrstd="t" o:hralign="center" stroked="f" fillcolor="#a0a0a0"/>
        </w:pict>
      </w:r>
    </w:p>
    <w:p>
      <w:pPr>
        <w:spacing w:before="0" w:after="0"/>
        <w:ind w:left="120"/>
        <w:jc w:val="left"/>
      </w:pPr>
      <w:r>
        <w:rPr>
          <w:rFonts w:ascii="Times New Roman" w:hAnsi="Times New Roman"/>
          <w:b w:val="false"/>
          <w:i w:val="false"/>
          <w:color w:val="000000"/>
          <w:sz w:val="12"/>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(t)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“Replacement Award” means an Award granted in assumption of, or in substitution for, an outstanding award previously granted by a company or business acquired by the Company or with which the Company, directly or indirectly, combines.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b w:val="false"/>
          <w:i w:val="false"/>
          <w:color w:val="000000"/>
          <w:sz w:val="22"/>
        </w:rPr>
        <w:t xml:space="preserve"> </w:t>
      </w:r>
      <w:r>
        <w:rPr>
          <w:b w:val="false"/>
          <w:i w:val="false"/>
          <w:color w:val="000000"/>
          <w:sz w:val="20"/>
        </w:rPr>
        <w:t>(u)</w:t>
      </w:r>
      <w:r>
        <w:rPr>
          <w:b w:val="false"/>
          <w:i w:val="false"/>
          <w:color w:val="000000"/>
          <w:sz w:val="22"/>
        </w:rPr>
        <w:t xml:space="preserve"> </w:t>
      </w:r>
    </w:p>
    <w:p>
      <w:pPr>
        <w:spacing w:before="0" w:after="0"/>
        <w:ind w:left="840"/>
        <w:jc w:val="left"/>
      </w:pPr>
      <w:r>
        <w:rPr>
          <w:b w:val="false"/>
          <w:i w:val="false"/>
          <w:color w:val="000000"/>
          <w:sz w:val="22"/>
        </w:rPr>
        <w:t xml:space="preserve"> </w:t>
      </w:r>
      <w:r>
        <w:rPr>
          <w:b w:val="false"/>
          <w:i w:val="false"/>
          <w:color w:val="000000"/>
          <w:sz w:val="20"/>
        </w:rPr>
        <w:t>“Restricted Stock” means any Share granted in accordance with the provisions of ‎Section 7.</w:t>
      </w:r>
      <w:r>
        <w:rPr>
          <w:b w:val="false"/>
          <w:i w:val="false"/>
          <w:color w:val="000000"/>
          <w:sz w:val="2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(v)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“RSU” means a contractual right granted in accordance with the provisions of ‎Section 7 that is denominated in Shares. Each RSU represents a right to receive the value of one Share. Awards of RSUs may include the right to receive dividend equivalents.</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(w) </w:t>
      </w: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“SAR” means any right granted in accordance with the provisions of ‎Section 6 to receive upon exercise by a Participant or settlement the excess of (i) the Fair Market Value of one Share on the date of exercise or settlement over (ii) the exercise price of the right on the date of grant, or if granted in connection with an Option, on the date of grant of the Option.</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b w:val="false"/>
          <w:i w:val="false"/>
          <w:color w:val="000000"/>
          <w:sz w:val="22"/>
        </w:rPr>
        <w:t xml:space="preserve"> </w:t>
      </w:r>
      <w:r>
        <w:rPr>
          <w:b w:val="false"/>
          <w:i w:val="false"/>
          <w:color w:val="000000"/>
          <w:sz w:val="20"/>
        </w:rPr>
        <w:t>(x)</w:t>
      </w:r>
      <w:r>
        <w:rPr>
          <w:b w:val="false"/>
          <w:i w:val="false"/>
          <w:color w:val="000000"/>
          <w:sz w:val="22"/>
        </w:rPr>
        <w:t xml:space="preserve"> </w:t>
      </w:r>
    </w:p>
    <w:p>
      <w:pPr>
        <w:spacing w:before="0" w:after="0"/>
        <w:ind w:left="840"/>
        <w:jc w:val="left"/>
      </w:pPr>
      <w:r>
        <w:rPr>
          <w:b w:val="false"/>
          <w:i w:val="false"/>
          <w:color w:val="000000"/>
          <w:sz w:val="22"/>
        </w:rPr>
        <w:t xml:space="preserve"> </w:t>
      </w:r>
      <w:r>
        <w:rPr>
          <w:b w:val="false"/>
          <w:i w:val="false"/>
          <w:color w:val="000000"/>
          <w:sz w:val="20"/>
        </w:rPr>
        <w:t>“Shares” means common shares of the Company.</w:t>
      </w:r>
      <w:r>
        <w:rPr>
          <w:b w:val="false"/>
          <w:i w:val="false"/>
          <w:color w:val="000000"/>
          <w:sz w:val="2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b w:val="false"/>
          <w:i w:val="false"/>
          <w:color w:val="000000"/>
          <w:sz w:val="22"/>
        </w:rPr>
        <w:t xml:space="preserve"> </w:t>
      </w:r>
      <w:r>
        <w:rPr>
          <w:b w:val="false"/>
          <w:i w:val="false"/>
          <w:color w:val="000000"/>
          <w:sz w:val="20"/>
        </w:rPr>
        <w:t>(y)</w:t>
      </w:r>
      <w:r>
        <w:rPr>
          <w:b w:val="false"/>
          <w:i w:val="false"/>
          <w:color w:val="000000"/>
          <w:sz w:val="22"/>
        </w:rPr>
        <w:t xml:space="preserve"> </w:t>
      </w:r>
    </w:p>
    <w:p>
      <w:pPr>
        <w:spacing w:before="0" w:after="0"/>
        <w:ind w:left="840"/>
        <w:jc w:val="left"/>
      </w:pPr>
      <w:r>
        <w:rPr>
          <w:b w:val="false"/>
          <w:i w:val="false"/>
          <w:color w:val="000000"/>
          <w:sz w:val="22"/>
        </w:rPr>
        <w:t xml:space="preserve"> </w:t>
      </w:r>
      <w:r>
        <w:rPr>
          <w:b w:val="false"/>
          <w:i w:val="false"/>
          <w:color w:val="000000"/>
          <w:sz w:val="20"/>
        </w:rPr>
        <w:t>“Termination of Service” means:</w:t>
      </w:r>
      <w:r>
        <w:rPr>
          <w:b w:val="false"/>
          <w:i w:val="false"/>
          <w:color w:val="000000"/>
          <w:sz w:val="22"/>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in the case of a Participant who is an employee of the Company or an Affiliate, cessation of the employment relationship such that the Participant is no longer an employee of the Company or Subsidiary;</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in the case of a Participant who is a Non-Employee Director, the date that the Participant ceases to be a member of the Board for any reason; or</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 xml:space="preserve">(iii) </w:t>
      </w:r>
    </w:p>
    <w:p>
      <w:pPr>
        <w:spacing w:before="0" w:after="0"/>
        <w:ind w:left="156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in the case of a Participant who is a consultant or other advisor, the effective date of the cessation of the performance of services for the Company or an Subsidiary;</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840"/>
        <w:jc w:val="left"/>
      </w:pPr>
      <w:r>
        <w:rPr>
          <w:rFonts w:ascii="Times New Roman" w:hAnsi="Times New Roman"/>
          <w:b w:val="false"/>
          <w:i w:val="false"/>
          <w:color w:val="000000"/>
          <w:sz w:val="20"/>
        </w:rPr>
        <w:t xml:space="preserve"> </w:t>
      </w:r>
      <w:r>
        <w:rPr>
          <w:rFonts w:ascii="Times New Roman" w:hAnsi="Times New Roman"/>
          <w:b w:val="false"/>
          <w:i w:val="false"/>
          <w:color w:val="000000"/>
          <w:sz w:val="20"/>
        </w:rPr>
        <w:t>provided, however, that in the case of an employee, the transfer of employment from the Company to an Affiliate, from an Affiliate to the Company, from one Affiliate to another Affiliate or, unless the Committee determines otherwise, the cessation of employee status but the continuation of the performance of services for the Company or an Affiliate as a member of the Board or a consultant or other advisor shall not be deemed a cessation of service that would constitute a Termination of Service; and provided further, that a Termination of Service will be deemed to occur for a Participant employed by an Affiliate when an Affiliate ceases to be an Affiliate, unless such Participant’s employment continues with the Company or another Affiliate.</w:t>
      </w: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pPr>
        <w:spacing w:before="0" w:after="0"/>
        <w:ind w:left="120"/>
        <w:jc w:val="left"/>
      </w:pPr>
      <w:r>
        <w:rPr>
          <w:rFonts w:ascii="Times New Roman" w:hAnsi="Times New Roman"/>
          <w:b w:val="false"/>
          <w:i w:val="false"/>
          <w:color w:val="000000"/>
          <w:sz w:val="20"/>
        </w:rPr>
        <w:t xml:space="preserve">   </w:t>
      </w:r>
    </w:p>
    <w:p>
      <w:pPr>
        <w:spacing w:before="0" w:after="0"/>
        <w:ind w:left="120"/>
        <w:jc w:val="left"/>
      </w:pPr>
    </w:p>
    <w:p>
      <w:r>
        <w:pict>
          <v:rect style="width:0;height:1.5pt" id="_x0000_i1025" o:hr="t" o:hrstd="t" o:hralign="center" stroked="f" fillcolor="#a0a0a0"/>
        </w:pict>
      </w:r>
    </w:p>
    <w:p>
      <w:pPr>
        <w:spacing w:before="0" w:after="0"/>
        <w:ind w:left="120"/>
        <w:jc w:val="left"/>
      </w:pPr>
    </w:p>
    <w:p/>
    <w:br w:type="page"/>
    <w:p>
      <w:pPr>
        <w:spacing w:before="0" w:after="0"/>
        <w:ind w:left="0"/>
        <w:jc w:val="left"/>
      </w:pPr>
      <w:r>
        <w:rPr>
          <w:rFonts w:ascii="Times New Roman" w:hAnsi="Times New Roman"/>
          <w:b w:val="false"/>
          <w:i w:val="false"/>
          <w:color w:val="000000"/>
          <w:sz w:val="22"/>
        </w:rPr>
        <w:t xml:space="preserve"> </w:t>
      </w:r>
      <w:r>
        <w:rPr>
          <w:rFonts w:ascii="Times New Roman" w:hAnsi="Times New Roman"/>
          <w:b w:val="false"/>
          <w:i w:val="false"/>
          <w:color w:val="000000"/>
          <w:sz w:val="22"/>
        </w:rPr>
        <w:t xml:space="preserve">Please enable JavaScript to use the EDGAR Inline XBRL Viewer. </w:t>
      </w:r>
      <w:bookmarkStart w:name="ixvFrame" w:id="0"/>
    </w:p>
    <w:bookmarkEnd w:id="0"/>
    <w:p>
      <w:pPr>
        <w:spacing w:before="0" w:after="0"/>
        <w:ind w:left="0"/>
        <w:jc w:val="left"/>
      </w:pPr>
    </w:p>
    <w:p/>
    <w:br w:type="page"/>
    <w:sectPr>
      <w:pgSz w:w="11907" w:h="16839" w:code="9"/>
      <w:pgMar w:top="1440" w:right="1440" w:bottom="1440" w:left="1440"/>
    </w:sectPr>
  </w:body>
</w:document>
</file>

<file path=word/settings.xml><?xml version="1.0" encoding="utf-8"?>
<w:setting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media/document_image_rId4.jpeg" Type="http://schemas.openxmlformats.org/officeDocument/2006/relationships/image" Id="rId3"/>
    <Relationship Target="media/document_image_rId42.jpeg" Type="http://schemas.openxmlformats.org/officeDocument/2006/relationships/image" Id="rId4"/>
    <Relationship Target="media/document_image_rId422.jpeg" Type="http://schemas.openxmlformats.org/officeDocument/2006/relationships/image" Id="rId5"/>
    <Relationship Target="media/document_image_rId4222.jpeg" Type="http://schemas.openxmlformats.org/officeDocument/2006/relationships/image" Id="rId6"/>
    <Relationship Target="media/document_image_rId42222.jpeg" Type="http://schemas.openxmlformats.org/officeDocument/2006/relationships/image" Id="rId7"/>
    <Relationship Target="media/document_image_rId422222.jpeg" Type="http://schemas.openxmlformats.org/officeDocument/2006/relationships/image" Id="rId8"/>
    <Relationship Target="media/document_image_rId4222222.jpeg" Type="http://schemas.openxmlformats.org/officeDocument/2006/relationships/image" Id="rId9"/>
    <Relationship Target="media/document_image_rId42222222.jpeg" Type="http://schemas.openxmlformats.org/officeDocument/2006/relationships/image" Id="rId10"/>
    <Relationship Target="media/document_image_rId422222222.jpeg" Type="http://schemas.openxmlformats.org/officeDocument/2006/relationships/image" Id="rId11"/>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