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ef20072665_6k.htm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left"/>
      </w:pPr>
    </w:p>
    <w:p>
      <w:pPr>
        <w:spacing w:before="0" w:after="0"/>
        <w:ind w:left="120"/>
        <w:jc w:val="center"/>
      </w:pPr>
      <w:r>
        <w:rPr>
          <w:rFonts w:ascii="Times New Roman" w:hAnsi="Times New Roman"/>
          <w:b/>
          <w:i w:val="false"/>
          <w:color w:val="000000"/>
          <w:sz w:val="32"/>
        </w:rPr>
        <w:t xml:space="preserve"> UNITED STATES </w:t>
      </w:r>
    </w:p>
    <w:p>
      <w:pPr>
        <w:spacing w:before="0" w:after="0"/>
        <w:ind w:left="120"/>
        <w:jc w:val="center"/>
      </w:pPr>
      <w:r>
        <w:rPr>
          <w:rFonts w:ascii="Times New Roman" w:hAnsi="Times New Roman"/>
          <w:b/>
          <w:i w:val="false"/>
          <w:color w:val="000000"/>
          <w:sz w:val="32"/>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center"/>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Issuer </w:t>
      </w:r>
    </w:p>
    <w:p>
      <w:pPr>
        <w:spacing w:before="0" w:after="0"/>
        <w:ind w:left="120"/>
        <w:jc w:val="center"/>
      </w:pPr>
      <w:r>
        <w:rPr>
          <w:rFonts w:ascii="Times New Roman" w:hAnsi="Times New Roman"/>
          <w:b/>
          <w:i w:val="false"/>
          <w:color w:val="000000"/>
          <w:sz w:val="20"/>
        </w:rPr>
        <w:t xml:space="preserve"> Pursuant to Rule 13a-16 or 15d-16 </w:t>
      </w:r>
    </w:p>
    <w:p>
      <w:pPr>
        <w:spacing w:before="0" w:after="0"/>
        <w:ind w:left="120"/>
        <w:jc w:val="center"/>
      </w:pPr>
      <w:r>
        <w:rPr>
          <w:rFonts w:ascii="Times New Roman" w:hAnsi="Times New Roman"/>
          <w:b/>
          <w:i w:val="false"/>
          <w:color w:val="000000"/>
          <w:sz w:val="20"/>
        </w:rPr>
        <w:t xml:space="preserve"> of the Securities Exchange Act of 1934 </w:t>
      </w:r>
    </w:p>
    <w:p>
      <w:pPr>
        <w:spacing w:before="0" w:after="0"/>
        <w:ind w:left="120"/>
        <w:jc w:val="center"/>
      </w:pPr>
      <w:r>
        <w:rPr>
          <w:rFonts w:ascii="Times New Roman" w:hAnsi="Times New Roman"/>
          <w:b/>
          <w:i w:val="false"/>
          <w:color w:val="000000"/>
          <w:sz w:val="20"/>
        </w:rPr>
        <w:t xml:space="preserve"> For the month of May 2026 </w:t>
      </w:r>
    </w:p>
    <w:p>
      <w:pPr>
        <w:spacing w:before="0" w:after="0"/>
        <w:ind w:left="120"/>
        <w:jc w:val="center"/>
      </w:pPr>
      <w:r>
        <w:rPr>
          <w:rFonts w:ascii="Times New Roman" w:hAnsi="Times New Roman"/>
          <w:b/>
          <w:i w:val="false"/>
          <w:color w:val="000000"/>
          <w:sz w:val="20"/>
        </w:rPr>
        <w:t xml:space="preserve"> Commission File Number: 001-38283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center"/>
      </w:pPr>
      <w:r>
        <w:rPr>
          <w:rFonts w:ascii="Times New Roman" w:hAnsi="Times New Roman"/>
          <w:b w:val="false"/>
          <w:i w:val="false"/>
          <w:color w:val="000000"/>
          <w:sz w:val="20"/>
        </w:rPr>
        <w:t xml:space="preserve"> (Translation of registrant’s name into English)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Germany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May 6, 2026, InflaRx N.V. (the “Company”) entered into an Underwriting Agreement with Guggenheim Securities, LLC, as representative of the several underwriters (the “Underwriters”) named in Schedule 1 therein, relating to the underwritten offering (the “Offering”) of an aggregate of 75,000,000 ordinary shares, nominal value €0.12 per share (the “Ordinary Shares”), of the Company. The Offering closed on May 7,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offering price for the Ordinary Shares was $2.00 per share.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gross proceeds from the Offering were approximately $150 million, before deducting the underwriting discount and estimated offering expenses.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Offering was made pursuant to the Company’s effective shelf registration statement on Form F-3 (File No. 333-273058), which was previously filed with the U.S. Securities and Exchange Commission, and a prospectus supplement, dated May 6, 2026, and the accompanying prospectus, dated July 11, 2023.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Underwriting Agreement contains customary representations, warranties and agreements by the Company. Additionally, the Company has agreed to indemnify the Underwriters against certain liabilities, including liabilities under the Securities Act of 1933, as amended, or to contribute to payments the Underwriters may be required to make because of any of those liabilities.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foregoing description of the Underwriting Agreement is qualified in its entirety by reference to the complete text of the Underwriting Agreement, a copy of which is filed herewith as Exhibit 1.1 and is incorporated herein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copy of the opinion of NautaDutilh N.V. relating to the legality of the issuance and sale of the Ordinary Shares is attached as Exhibit 5.1.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INCORPORATION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report on Form 6-K, including Exhibits 1.1and 5.1, shall be deemed to be incorporated by reference into (i) the Company’s registration statements on Form S-8 (File No. </w:t>
      </w:r>
      <w:r>
        <w:rPr>
          <w:rFonts w:ascii="Times New Roman" w:hAnsi="Times New Roman"/>
          <w:b/>
          <w:i w:val="false"/>
          <w:color w:val="000000"/>
          <w:sz w:val="20"/>
        </w:rPr>
        <w:t>333-221656</w:t>
      </w:r>
      <w:r>
        <w:rPr>
          <w:rFonts w:ascii="Times New Roman" w:hAnsi="Times New Roman"/>
          <w:b w:val="false"/>
          <w:i w:val="false"/>
          <w:color w:val="000000"/>
          <w:sz w:val="20"/>
        </w:rPr>
        <w:t xml:space="preserve"> and </w:t>
      </w:r>
      <w:r>
        <w:rPr>
          <w:rFonts w:ascii="Times New Roman" w:hAnsi="Times New Roman"/>
          <w:b/>
          <w:i w:val="false"/>
          <w:color w:val="000000"/>
          <w:sz w:val="20"/>
        </w:rPr>
        <w:t>333-240185</w:t>
      </w:r>
      <w:r>
        <w:rPr>
          <w:rFonts w:ascii="Times New Roman" w:hAnsi="Times New Roman"/>
          <w:b w:val="false"/>
          <w:i w:val="false"/>
          <w:color w:val="000000"/>
          <w:sz w:val="20"/>
        </w:rPr>
        <w:t xml:space="preserve">) and (ii) the Company’s registration statement on Form </w:t>
      </w:r>
      <w:r>
        <w:rPr>
          <w:rFonts w:ascii="Times New Roman" w:hAnsi="Times New Roman"/>
          <w:b/>
          <w:i w:val="false"/>
          <w:color w:val="000000"/>
          <w:sz w:val="20"/>
        </w:rPr>
        <w:t>F-3</w:t>
      </w:r>
      <w:r>
        <w:rPr>
          <w:rFonts w:ascii="Times New Roman" w:hAnsi="Times New Roman"/>
          <w:b w:val="false"/>
          <w:i w:val="false"/>
          <w:color w:val="000000"/>
          <w:sz w:val="20"/>
        </w:rPr>
        <w:t xml:space="preserve"> (File No. 333-273058) and to be a part thereof from the date on which this report is filed, to the extent not superseded by documents or reports subsequently filed or furnished.</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ef951a77a08a4d6599386b9ab4574ffb" w:id="0"/>
    <w:tbl>
      <w:tblPr>
        <w:tblW w:w="0" w:type="auto"/>
        <w:tblCellSpacing w:w="0" w:type="auto"/>
        <w:tblBorders>
          <w:top w:val="none"/>
          <w:left w:val="none"/>
          <w:bottom w:val="none"/>
          <w:right w:val="none"/>
          <w:insideH w:val="none"/>
          <w:insideV w:val="none"/>
        </w:tblBorders>
      </w:tblPr>
      <w:tblGrid>
        <w:gridCol w:w="1091"/>
        <w:gridCol w:w="12543"/>
      </w:tblGrid>
      <w:tr>
        <w:trPr>
          <w:trHeight w:val="450" w:hRule="atLeast"/>
        </w:trPr>
        <w:tc>
          <w:tcPr>
            <w:tcW w:w="1091"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Exhibit </w:t>
            </w:r>
          </w:p>
          <w:p>
            <w:pPr>
              <w:spacing w:before="0" w:after="0"/>
              <w:ind w:left="120"/>
              <w:jc w:val="left"/>
            </w:pPr>
            <w:r>
              <w:rPr>
                <w:rFonts w:ascii="Times New Roman" w:hAnsi="Times New Roman"/>
                <w:b/>
                <w:i w:val="false"/>
                <w:color w:val="000000"/>
                <w:sz w:val="20"/>
              </w:rPr>
              <w:t xml:space="preserve"> No. </w:t>
            </w:r>
          </w:p>
        </w:tc>
        <w:tc>
          <w:tcPr>
            <w:tcW w:w="1254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Description </w:t>
            </w:r>
          </w:p>
        </w:tc>
      </w:tr>
      <w:tr>
        <w:trPr>
          <w:trHeight w:val="210" w:hRule="atLeast"/>
        </w:trPr>
        <w:tc>
          <w:tcPr>
            <w:tcW w:w="109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54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50" w:hRule="atLeast"/>
        </w:trPr>
        <w:tc>
          <w:tcPr>
            <w:tcW w:w="1091"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1.1</w:t>
            </w:r>
            <w:r>
              <w:rPr>
                <w:rFonts w:ascii="Times New Roman" w:hAnsi="Times New Roman"/>
                <w:b w:val="false"/>
                <w:i w:val="false"/>
                <w:color w:val="000000"/>
                <w:sz w:val="20"/>
              </w:rPr>
              <w:t xml:space="preserve"> </w:t>
            </w:r>
          </w:p>
        </w:tc>
        <w:tc>
          <w:tcPr>
            <w:tcW w:w="1254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Underwriting Agreement, dated as of May 6, 2026, between InflaRx N.V. and Guggenheim Securities, LLC, as representative of the underwriters named in Schedule 1 therein</w:t>
            </w:r>
            <w:r>
              <w:rPr>
                <w:rFonts w:ascii="Times New Roman" w:hAnsi="Times New Roman"/>
                <w:b w:val="false"/>
                <w:i w:val="false"/>
                <w:color w:val="000000"/>
                <w:sz w:val="20"/>
              </w:rPr>
              <w:t xml:space="preserve"> </w:t>
            </w:r>
          </w:p>
        </w:tc>
      </w:tr>
      <w:tr>
        <w:trPr>
          <w:trHeight w:val="210" w:hRule="atLeast"/>
        </w:trPr>
        <w:tc>
          <w:tcPr>
            <w:tcW w:w="109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54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1091"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5.1</w:t>
            </w:r>
            <w:r>
              <w:rPr>
                <w:rFonts w:ascii="Times New Roman" w:hAnsi="Times New Roman"/>
                <w:b w:val="false"/>
                <w:i w:val="false"/>
                <w:color w:val="000000"/>
                <w:sz w:val="20"/>
              </w:rPr>
              <w:t xml:space="preserve"> </w:t>
            </w:r>
          </w:p>
        </w:tc>
        <w:tc>
          <w:tcPr>
            <w:tcW w:w="1254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Opinion of Nauta Dutilh N.V.</w:t>
            </w:r>
            <w:r>
              <w:rPr>
                <w:rFonts w:ascii="Times New Roman" w:hAnsi="Times New Roman"/>
                <w:b w:val="false"/>
                <w:i w:val="false"/>
                <w:color w:val="000000"/>
                <w:sz w:val="20"/>
              </w:rPr>
              <w:t xml:space="preserve"> </w:t>
            </w:r>
          </w:p>
        </w:tc>
      </w:tr>
      <w:tr>
        <w:trPr>
          <w:trHeight w:val="210" w:hRule="atLeast"/>
        </w:trPr>
        <w:tc>
          <w:tcPr>
            <w:tcW w:w="109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254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1091"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23.1</w:t>
            </w:r>
            <w:r>
              <w:rPr>
                <w:rFonts w:ascii="Times New Roman" w:hAnsi="Times New Roman"/>
                <w:b w:val="false"/>
                <w:i w:val="false"/>
                <w:color w:val="000000"/>
                <w:sz w:val="20"/>
              </w:rPr>
              <w:t xml:space="preserve"> </w:t>
            </w:r>
          </w:p>
        </w:tc>
        <w:tc>
          <w:tcPr>
            <w:tcW w:w="1254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Consent of Nauta Dutilh N.V. (included in Exhibit 5.1)</w:t>
            </w:r>
            <w:r>
              <w:rPr>
                <w:rFonts w:ascii="Times New Roman" w:hAnsi="Times New Roman"/>
                <w:b w:val="false"/>
                <w:i w:val="false"/>
                <w:color w:val="000000"/>
                <w:sz w:val="20"/>
              </w:rPr>
              <w:t xml:space="preserve">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63703870b2af40df861272d44ee1ba8f" w:id="1"/>
    <w:tbl>
      <w:tblPr>
        <w:tblW w:w="0" w:type="auto"/>
        <w:tblCellSpacing w:w="0" w:type="auto"/>
        <w:tblBorders>
          <w:top w:val="none"/>
          <w:left w:val="none"/>
          <w:bottom w:val="none"/>
          <w:right w:val="none"/>
          <w:insideH w:val="none"/>
          <w:insideV w:val="none"/>
        </w:tblBorders>
      </w:tblPr>
      <w:tblGrid>
        <w:gridCol w:w="5411"/>
        <w:gridCol w:w="779"/>
        <w:gridCol w:w="7444"/>
      </w:tblGrid>
      <w:tr>
        <w:trPr>
          <w:trHeight w:val="225" w:hRule="atLeast"/>
        </w:trPr>
        <w:tc>
          <w:tcPr>
            <w:tcW w:w="54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54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444"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411"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Date: May 7, 2026 </w:t>
            </w:r>
          </w:p>
        </w:tc>
        <w:tc>
          <w:tcPr>
            <w:tcW w:w="7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By: </w:t>
            </w:r>
          </w:p>
        </w:tc>
        <w:tc>
          <w:tcPr>
            <w:tcW w:w="7444"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54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Name: </w:t>
            </w:r>
          </w:p>
        </w:tc>
        <w:tc>
          <w:tcPr>
            <w:tcW w:w="74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Niels Riedemann </w:t>
            </w:r>
          </w:p>
        </w:tc>
      </w:tr>
      <w:tr>
        <w:trPr>
          <w:trHeight w:val="210" w:hRule="atLeast"/>
        </w:trPr>
        <w:tc>
          <w:tcPr>
            <w:tcW w:w="541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7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Title: </w:t>
            </w:r>
          </w:p>
        </w:tc>
        <w:tc>
          <w:tcPr>
            <w:tcW w:w="74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Chief Executive Officer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EX-1.1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ef20072665_ex1-1.htm </w:t>
      </w:r>
      <w:r>
        <w:rPr>
          <w:rFonts w:ascii="Times New Roman" w:hAnsi="Times New Roman"/>
          <w:b w:val="false"/>
          <w:i w:val="false"/>
          <w:color w:val="000000"/>
          <w:sz w:val="20"/>
        </w:rPr>
        <w:t xml:space="preserve">EXHIBIT 1.1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1.1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75,000,000 Ordinary Shares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Underwriting Agreement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May 6,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Guggenheim Securities, LLC </w:t>
      </w:r>
    </w:p>
    <w:p>
      <w:pPr>
        <w:spacing w:before="0" w:after="0"/>
        <w:ind w:left="120"/>
        <w:jc w:val="both"/>
      </w:pPr>
      <w:r>
        <w:rPr>
          <w:rFonts w:ascii="Times New Roman" w:hAnsi="Times New Roman"/>
          <w:b w:val="false"/>
          <w:i w:val="false"/>
          <w:color w:val="000000"/>
          <w:sz w:val="20"/>
        </w:rPr>
        <w:t xml:space="preserve"> As Representative of the several Underwriters </w:t>
      </w:r>
    </w:p>
    <w:p>
      <w:pPr>
        <w:spacing w:before="0" w:after="0"/>
        <w:ind w:left="120"/>
        <w:jc w:val="both"/>
      </w:pPr>
      <w:r>
        <w:rPr>
          <w:rFonts w:ascii="Times New Roman" w:hAnsi="Times New Roman"/>
          <w:b w:val="false"/>
          <w:i w:val="false"/>
          <w:color w:val="000000"/>
          <w:sz w:val="20"/>
        </w:rPr>
        <w:t xml:space="preserve"> listed in Schedule 1 hereto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c/o Guggenheim Securities, LLC </w:t>
      </w:r>
    </w:p>
    <w:p>
      <w:pPr>
        <w:spacing w:before="0" w:after="0"/>
        <w:ind w:left="120"/>
        <w:jc w:val="both"/>
      </w:pPr>
      <w:r>
        <w:rPr>
          <w:rFonts w:ascii="Times New Roman" w:hAnsi="Times New Roman"/>
          <w:b w:val="false"/>
          <w:i w:val="false"/>
          <w:color w:val="000000"/>
          <w:sz w:val="20"/>
        </w:rPr>
        <w:t xml:space="preserve"> 330 Madison Avenue </w:t>
      </w:r>
    </w:p>
    <w:p>
      <w:pPr>
        <w:spacing w:before="0" w:after="0"/>
        <w:ind w:left="120"/>
        <w:jc w:val="both"/>
      </w:pPr>
      <w:r>
        <w:rPr>
          <w:rFonts w:ascii="Times New Roman" w:hAnsi="Times New Roman"/>
          <w:b w:val="false"/>
          <w:i w:val="false"/>
          <w:color w:val="000000"/>
          <w:sz w:val="20"/>
        </w:rPr>
        <w:t xml:space="preserve"> New York, NY 10017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Ladies and Gentlemen: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N.V., a public limited liability company (</w:t>
      </w:r>
      <w:r>
        <w:rPr>
          <w:rFonts w:ascii="Times New Roman" w:hAnsi="Times New Roman"/>
          <w:b w:val="false"/>
          <w:i/>
          <w:color w:val="000000"/>
          <w:sz w:val="20"/>
        </w:rPr>
        <w:t>naamloze vennootschap</w:t>
      </w:r>
      <w:r>
        <w:rPr>
          <w:rFonts w:ascii="Times New Roman" w:hAnsi="Times New Roman"/>
          <w:b w:val="false"/>
          <w:i w:val="false"/>
          <w:color w:val="000000"/>
          <w:sz w:val="20"/>
        </w:rPr>
        <w:t>) under Dutch law, (the “</w:t>
      </w:r>
      <w:r>
        <w:rPr>
          <w:rFonts w:ascii="Times New Roman" w:hAnsi="Times New Roman"/>
          <w:b w:val="false"/>
          <w:i w:val="false"/>
          <w:color w:val="000000"/>
          <w:sz w:val="20"/>
          <w:u w:val="single"/>
        </w:rPr>
        <w:t>Company</w:t>
      </w:r>
      <w:r>
        <w:rPr>
          <w:rFonts w:ascii="Times New Roman" w:hAnsi="Times New Roman"/>
          <w:b w:val="false"/>
          <w:i w:val="false"/>
          <w:color w:val="000000"/>
          <w:sz w:val="20"/>
        </w:rPr>
        <w:t>”), proposes to issue and sell to the several underwriters listed in Schedule 1 hereto (the “</w:t>
      </w:r>
      <w:r>
        <w:rPr>
          <w:rFonts w:ascii="Times New Roman" w:hAnsi="Times New Roman"/>
          <w:b w:val="false"/>
          <w:i w:val="false"/>
          <w:color w:val="000000"/>
          <w:sz w:val="20"/>
          <w:u w:val="single"/>
        </w:rPr>
        <w:t>Underwriters</w:t>
      </w:r>
      <w:r>
        <w:rPr>
          <w:rFonts w:ascii="Times New Roman" w:hAnsi="Times New Roman"/>
          <w:b w:val="false"/>
          <w:i w:val="false"/>
          <w:color w:val="000000"/>
          <w:sz w:val="20"/>
        </w:rPr>
        <w:t>”), for whom you are acting as representative (the “</w:t>
      </w:r>
      <w:r>
        <w:rPr>
          <w:rFonts w:ascii="Times New Roman" w:hAnsi="Times New Roman"/>
          <w:b w:val="false"/>
          <w:i w:val="false"/>
          <w:color w:val="000000"/>
          <w:sz w:val="20"/>
          <w:u w:val="single"/>
        </w:rPr>
        <w:t>Representative</w:t>
      </w:r>
      <w:r>
        <w:rPr>
          <w:rFonts w:ascii="Times New Roman" w:hAnsi="Times New Roman"/>
          <w:b w:val="false"/>
          <w:i w:val="false"/>
          <w:color w:val="000000"/>
          <w:sz w:val="20"/>
        </w:rPr>
        <w:t>”), an aggregate of 75,000,000 ordinary shares, nominal value €0.12 per share (the “</w:t>
      </w:r>
      <w:r>
        <w:rPr>
          <w:rFonts w:ascii="Times New Roman" w:hAnsi="Times New Roman"/>
          <w:b w:val="false"/>
          <w:i w:val="false"/>
          <w:color w:val="000000"/>
          <w:sz w:val="20"/>
          <w:u w:val="single"/>
        </w:rPr>
        <w:t>Ordinary Shares</w:t>
      </w:r>
      <w:r>
        <w:rPr>
          <w:rFonts w:ascii="Times New Roman" w:hAnsi="Times New Roman"/>
          <w:b w:val="false"/>
          <w:i w:val="false"/>
          <w:color w:val="000000"/>
          <w:sz w:val="20"/>
        </w:rPr>
        <w:t>”), of the Company (the “</w:t>
      </w:r>
      <w:r>
        <w:rPr>
          <w:rFonts w:ascii="Times New Roman" w:hAnsi="Times New Roman"/>
          <w:b w:val="false"/>
          <w:i w:val="false"/>
          <w:color w:val="000000"/>
          <w:sz w:val="20"/>
          <w:u w:val="single"/>
        </w:rPr>
        <w:t>Securities</w:t>
      </w:r>
      <w:r>
        <w:rPr>
          <w:rFonts w:ascii="Times New Roman" w:hAnsi="Times New Roman"/>
          <w:b w:val="false"/>
          <w:i w:val="false"/>
          <w:color w:val="000000"/>
          <w:sz w:val="20"/>
        </w:rPr>
        <w:t>”). The Ordinary Shares to be outstanding after giving effect to the sale of the Securities are referred to herein as the “</w:t>
      </w:r>
      <w:r>
        <w:rPr>
          <w:rFonts w:ascii="Times New Roman" w:hAnsi="Times New Roman"/>
          <w:b w:val="false"/>
          <w:i w:val="false"/>
          <w:color w:val="000000"/>
          <w:sz w:val="20"/>
          <w:u w:val="single"/>
        </w:rPr>
        <w:t>Stock</w:t>
      </w:r>
      <w:r>
        <w:rPr>
          <w:rFonts w:ascii="Times New Roman" w:hAnsi="Times New Roman"/>
          <w:b w:val="false"/>
          <w:i w:val="false"/>
          <w:color w:val="000000"/>
          <w:sz w:val="20"/>
        </w:rPr>
        <w:t xml:space="preserve">”.  To the extent there are no additional Underwriters listed on Schedule 1 other than you, the term “Representative” as used herein shall mean you, as Underwriter, and the terms “Representative” and “Underwriter” shall mean either the singular or plural as the context requires.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hereby confirms its agreement with the several Underwriters concerning the purchase and sale of the Securities, as follows: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1.           </w:t>
      </w:r>
      <w:r>
        <w:rPr>
          <w:rFonts w:ascii="Times New Roman" w:hAnsi="Times New Roman"/>
          <w:b w:val="false"/>
          <w:i w:val="false"/>
          <w:color w:val="000000"/>
          <w:sz w:val="20"/>
          <w:u w:val="single"/>
        </w:rPr>
        <w:t>Registration Statement</w:t>
      </w:r>
      <w:r>
        <w:rPr>
          <w:rFonts w:ascii="Times New Roman" w:hAnsi="Times New Roman"/>
          <w:b w:val="false"/>
          <w:i w:val="false"/>
          <w:color w:val="000000"/>
          <w:sz w:val="20"/>
        </w:rPr>
        <w:t>.  The Company has prepared and filed with the Securities and Exchange Commission (the “</w:t>
      </w:r>
      <w:r>
        <w:rPr>
          <w:rFonts w:ascii="Times New Roman" w:hAnsi="Times New Roman"/>
          <w:b w:val="false"/>
          <w:i w:val="false"/>
          <w:color w:val="000000"/>
          <w:sz w:val="20"/>
          <w:u w:val="single"/>
        </w:rPr>
        <w:t>Commission</w:t>
      </w:r>
      <w:r>
        <w:rPr>
          <w:rFonts w:ascii="Times New Roman" w:hAnsi="Times New Roman"/>
          <w:b w:val="false"/>
          <w:i w:val="false"/>
          <w:color w:val="000000"/>
          <w:sz w:val="20"/>
        </w:rPr>
        <w:t>”) under the Securities Act of 1933, as amended, and the rules and regulations of the Commission thereunder (collectively, the “</w:t>
      </w:r>
      <w:r>
        <w:rPr>
          <w:rFonts w:ascii="Times New Roman" w:hAnsi="Times New Roman"/>
          <w:b w:val="false"/>
          <w:i w:val="false"/>
          <w:color w:val="000000"/>
          <w:sz w:val="20"/>
          <w:u w:val="single"/>
        </w:rPr>
        <w:t>Securities Act</w:t>
      </w:r>
      <w:r>
        <w:rPr>
          <w:rFonts w:ascii="Times New Roman" w:hAnsi="Times New Roman"/>
          <w:b w:val="false"/>
          <w:i w:val="false"/>
          <w:color w:val="000000"/>
          <w:sz w:val="20"/>
        </w:rPr>
        <w:t>”), a registration statement on Form F-3 (File No. 333-273058), including a base prospectus relating to the Securities and other securities of the Company.  Such registration statement, as amended at the time it became effective, including the information, if any, deemed pursuant to Rule 430A, 430B or 430C under the Securities Act to be part of the registration statement at the time of its effectiveness (“</w:t>
      </w:r>
      <w:r>
        <w:rPr>
          <w:rFonts w:ascii="Times New Roman" w:hAnsi="Times New Roman"/>
          <w:b w:val="false"/>
          <w:i w:val="false"/>
          <w:color w:val="000000"/>
          <w:sz w:val="20"/>
          <w:u w:val="single"/>
        </w:rPr>
        <w:t>Rule 430 Information</w:t>
      </w:r>
      <w:r>
        <w:rPr>
          <w:rFonts w:ascii="Times New Roman" w:hAnsi="Times New Roman"/>
          <w:b w:val="false"/>
          <w:i w:val="false"/>
          <w:color w:val="000000"/>
          <w:sz w:val="20"/>
        </w:rPr>
        <w:t>”), is referred to herein as the “</w:t>
      </w:r>
      <w:r>
        <w:rPr>
          <w:rFonts w:ascii="Times New Roman" w:hAnsi="Times New Roman"/>
          <w:b w:val="false"/>
          <w:i w:val="false"/>
          <w:color w:val="000000"/>
          <w:sz w:val="20"/>
          <w:u w:val="single"/>
        </w:rPr>
        <w:t>Registration Statement</w:t>
      </w:r>
      <w:r>
        <w:rPr>
          <w:rFonts w:ascii="Times New Roman" w:hAnsi="Times New Roman"/>
          <w:b w:val="false"/>
          <w:i w:val="false"/>
          <w:color w:val="000000"/>
          <w:sz w:val="20"/>
        </w:rPr>
        <w:t>”; and as used herein, the term “</w:t>
      </w:r>
      <w:r>
        <w:rPr>
          <w:rFonts w:ascii="Times New Roman" w:hAnsi="Times New Roman"/>
          <w:b w:val="false"/>
          <w:i w:val="false"/>
          <w:color w:val="000000"/>
          <w:sz w:val="20"/>
          <w:u w:val="single"/>
        </w:rPr>
        <w:t>Preliminary Prospectus</w:t>
      </w:r>
      <w:r>
        <w:rPr>
          <w:rFonts w:ascii="Times New Roman" w:hAnsi="Times New Roman"/>
          <w:b w:val="false"/>
          <w:i w:val="false"/>
          <w:color w:val="000000"/>
          <w:sz w:val="20"/>
        </w:rPr>
        <w:t>” means the preliminary prospectus supplement, dated May 6, 2026, relating to the offering of the Securities in the form filed with the Commission pursuant to Rule 424(b) under the Securities Act and the prospectus included in the Registration Statement at the time of its effectiveness that omits Rule 430 Information (the “</w:t>
      </w:r>
      <w:r>
        <w:rPr>
          <w:rFonts w:ascii="Times New Roman" w:hAnsi="Times New Roman"/>
          <w:b w:val="false"/>
          <w:i w:val="false"/>
          <w:color w:val="000000"/>
          <w:sz w:val="20"/>
          <w:u w:val="single"/>
        </w:rPr>
        <w:t>Base Prospectus</w:t>
      </w:r>
      <w:r>
        <w:rPr>
          <w:rFonts w:ascii="Times New Roman" w:hAnsi="Times New Roman"/>
          <w:b w:val="false"/>
          <w:i w:val="false"/>
          <w:color w:val="000000"/>
          <w:sz w:val="20"/>
        </w:rPr>
        <w:t>”), and the term “</w:t>
      </w:r>
      <w:r>
        <w:rPr>
          <w:rFonts w:ascii="Times New Roman" w:hAnsi="Times New Roman"/>
          <w:b w:val="false"/>
          <w:i w:val="false"/>
          <w:color w:val="000000"/>
          <w:sz w:val="20"/>
          <w:u w:val="single"/>
        </w:rPr>
        <w:t>Prospectus</w:t>
      </w:r>
      <w:r>
        <w:rPr>
          <w:rFonts w:ascii="Times New Roman" w:hAnsi="Times New Roman"/>
          <w:b w:val="false"/>
          <w:i w:val="false"/>
          <w:color w:val="000000"/>
          <w:sz w:val="20"/>
        </w:rPr>
        <w:t>” means the prospectus supplement and the Base Prospectus in the form first used (or made available upon request of purchasers pursuant to Rule 173 under the Securities Act) in connection with confirmation of sales of the Securities.  If the Company has filed an abbreviated registration statement pursuant to Rule 462(b) under the Securities Act (the “</w:t>
      </w:r>
      <w:r>
        <w:rPr>
          <w:rFonts w:ascii="Times New Roman" w:hAnsi="Times New Roman"/>
          <w:b w:val="false"/>
          <w:i w:val="false"/>
          <w:color w:val="000000"/>
          <w:sz w:val="20"/>
          <w:u w:val="single"/>
        </w:rPr>
        <w:t>Rule 462 Registration Statement</w:t>
      </w:r>
      <w:r>
        <w:rPr>
          <w:rFonts w:ascii="Times New Roman" w:hAnsi="Times New Roman"/>
          <w:b w:val="false"/>
          <w:i w:val="false"/>
          <w:color w:val="000000"/>
          <w:sz w:val="20"/>
        </w:rPr>
        <w:t>”), then any reference herein to the term “Registration Statement” shall be deemed to include such Rule 462 Registration Statement.  Any reference in this underwriting agreement (this “</w:t>
      </w:r>
      <w:r>
        <w:rPr>
          <w:rFonts w:ascii="Times New Roman" w:hAnsi="Times New Roman"/>
          <w:b w:val="false"/>
          <w:i w:val="false"/>
          <w:color w:val="000000"/>
          <w:sz w:val="20"/>
          <w:u w:val="single"/>
        </w:rPr>
        <w:t>Agreement</w:t>
      </w:r>
      <w:r>
        <w:rPr>
          <w:rFonts w:ascii="Times New Roman" w:hAnsi="Times New Roman"/>
          <w:b w:val="false"/>
          <w:i w:val="false"/>
          <w:color w:val="000000"/>
          <w:sz w:val="20"/>
        </w:rPr>
        <w:t>”) to the Registration Statement, any Preliminary Prospectus or the Prospectus shall be deemed to refer to and include the documents incorporated by reference therein pursuant to Item 6 of Form F-3 under the Securities Act, as of the effective date of the Registration Statement or the date of such Preliminary Prospectus or the Prospectus, as the case may be, and any reference to “amend”, “amendment” or “supplement” with respect to the Registration Statement, any Preliminary Prospectus or the Prospectus shall be deemed to refer to and include any documents filed after such date under the Securities Exchange Act of 1934, as amended, and the rules and regulations of the Commission thereunder (collectively, the “</w:t>
      </w:r>
      <w:r>
        <w:rPr>
          <w:rFonts w:ascii="Times New Roman" w:hAnsi="Times New Roman"/>
          <w:b w:val="false"/>
          <w:i w:val="false"/>
          <w:color w:val="000000"/>
          <w:sz w:val="20"/>
          <w:u w:val="single"/>
        </w:rPr>
        <w:t>Exchange Act</w:t>
      </w:r>
      <w:r>
        <w:rPr>
          <w:rFonts w:ascii="Times New Roman" w:hAnsi="Times New Roman"/>
          <w:b w:val="false"/>
          <w:i w:val="false"/>
          <w:color w:val="000000"/>
          <w:sz w:val="20"/>
        </w:rPr>
        <w:t xml:space="preserve">”) that are deemed to be incorporated by reference therein.  Capitalized terms used but not defined herein shall have the meanings given to such terms in the Registration Statement and the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At or prior to the Applicable Time (as defined below), the Company had prepared the following information (collectively with the pricing information set forth on Annex A hereto, the “</w:t>
      </w:r>
      <w:r>
        <w:rPr>
          <w:rFonts w:ascii="Times New Roman" w:hAnsi="Times New Roman"/>
          <w:b w:val="false"/>
          <w:i w:val="false"/>
          <w:color w:val="000000"/>
          <w:sz w:val="20"/>
          <w:u w:val="single"/>
        </w:rPr>
        <w:t>Pricing Disclosure Package</w:t>
      </w:r>
      <w:r>
        <w:rPr>
          <w:rFonts w:ascii="Times New Roman" w:hAnsi="Times New Roman"/>
          <w:b w:val="false"/>
          <w:i w:val="false"/>
          <w:color w:val="000000"/>
          <w:sz w:val="20"/>
        </w:rPr>
        <w:t xml:space="preserve">”): the Preliminary Prospectus and each “free-writing prospectus” (as defined pursuant to Rule 405 under the Securities Act) listed on Annex A hereto.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Applicable Time</w:t>
      </w:r>
      <w:r>
        <w:rPr>
          <w:rFonts w:ascii="Times New Roman" w:hAnsi="Times New Roman"/>
          <w:b w:val="false"/>
          <w:i w:val="false"/>
          <w:color w:val="000000"/>
          <w:sz w:val="20"/>
        </w:rPr>
        <w:t xml:space="preserve">” means 7:45 A.M., New York City time, on May 6,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2.            </w:t>
      </w:r>
      <w:r>
        <w:rPr>
          <w:rFonts w:ascii="Times New Roman" w:hAnsi="Times New Roman"/>
          <w:b w:val="false"/>
          <w:i w:val="false"/>
          <w:color w:val="000000"/>
          <w:sz w:val="20"/>
          <w:u w:val="single"/>
        </w:rPr>
        <w:t>Purchase of the Securities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The Company agrees to issue and sell the Securities to the several Underwriters as provided in this Agreement, and each Underwriter, on the basis of the representations, warranties and agreements set forth herein and subject to the conditions set forth herein, agrees, severally and not jointly, to purchase at a purchase price of $1.88 per Ordinary Share (the “</w:t>
      </w:r>
      <w:r>
        <w:rPr>
          <w:rFonts w:ascii="Times New Roman" w:hAnsi="Times New Roman"/>
          <w:b w:val="false"/>
          <w:i w:val="false"/>
          <w:color w:val="000000"/>
          <w:sz w:val="20"/>
          <w:u w:val="single"/>
        </w:rPr>
        <w:t>Purchase Price</w:t>
      </w:r>
      <w:r>
        <w:rPr>
          <w:rFonts w:ascii="Times New Roman" w:hAnsi="Times New Roman"/>
          <w:b w:val="false"/>
          <w:i w:val="false"/>
          <w:color w:val="000000"/>
          <w:sz w:val="20"/>
        </w:rPr>
        <w:t xml:space="preserve">”) from the Company the respective number of Securities set forth opposite such Underwriter’s name in Schedule 1 hereto.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The Company understands that the Underwriters intend to make an offering of the Securities and initially to offer the Securities on the terms set forth in the Pricing Disclosure Package.  The Company acknowledges and agrees that the Underwriters may offer and sell the Securities to or through any affiliate of an Underwriter.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       Payment for the Securities shall be made by wire transfer in immediately available funds to the account specified by the Company to the Representative (which shall be an account of InflaRx Pharmaceuticals, Inc., which the Company has authorized to receive and hold the payment for the Securities on behalf of the Company), in the case of the Securities, at the offices of Mintz, Levin, Cohn, Ferris, Glovsky and Popeo, P.C. at 10:00 A.M., New York City time, on May 7, 2026, or at such other time or place on the same or such other date, not later than the fifth business day thereafter, as the Representative and the Company may agree upon in writing.  The time and date of such payment for the Securities is referred to herein as the “</w:t>
      </w:r>
      <w:r>
        <w:rPr>
          <w:rFonts w:ascii="Times New Roman" w:hAnsi="Times New Roman"/>
          <w:b w:val="false"/>
          <w:i w:val="false"/>
          <w:color w:val="000000"/>
          <w:sz w:val="20"/>
          <w:u w:val="single"/>
        </w:rPr>
        <w:t>Closing Date”</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Payment for the Securities to be purchased on the Closing Date  shall be made against delivery to the Representative for the respective accounts of the several Underwriters of the Securities to be purchased on such date, with any transfer taxes payable in connection with the sale of such Securities duly paid by the Company.  Delivery of the Securities shall be made through the facilities of The Depository Trust Company (“</w:t>
      </w:r>
      <w:r>
        <w:rPr>
          <w:rFonts w:ascii="Times New Roman" w:hAnsi="Times New Roman"/>
          <w:b w:val="false"/>
          <w:i w:val="false"/>
          <w:color w:val="000000"/>
          <w:sz w:val="20"/>
          <w:u w:val="single"/>
        </w:rPr>
        <w:t>DTC</w:t>
      </w:r>
      <w:r>
        <w:rPr>
          <w:rFonts w:ascii="Times New Roman" w:hAnsi="Times New Roman"/>
          <w:b w:val="false"/>
          <w:i w:val="false"/>
          <w:color w:val="000000"/>
          <w:sz w:val="20"/>
        </w:rPr>
        <w:t xml:space="preserve">”) unless the Representative shall otherwise instruct.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(d)         The Company acknowledges and agrees that the Underwriters are acting solely in the capacity of an arm’s length contractual counterparty to the Company with respect to the offering of the Securities contemplated hereby (including in connection with determining the terms of the offering) and not as a financial advisor or a fiduciary to, or an agent of, the Company or any other person.  Additionally, neither the Representative nor any other Underwriter is advising the Company or any other person as to any legal, tax, investment, accounting or regulatory matters in any jurisdiction.  The Company shall consult with its own advisors concerning such matters and shall be responsible for making its own independent investigation and appraisal of the transactions contemplated hereby, and the Underwriters shall have no responsibility or liability to the Company with respect thereto.  Any review by the Underwriters of the Company, the transactions contemplated hereby or other matters relating to such transactions will be performed solely for the benefit of the Underwriters and shall not be on behalf of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3.            </w:t>
      </w:r>
      <w:r>
        <w:rPr>
          <w:rFonts w:ascii="Times New Roman" w:hAnsi="Times New Roman"/>
          <w:b w:val="false"/>
          <w:i w:val="false"/>
          <w:color w:val="000000"/>
          <w:sz w:val="20"/>
          <w:u w:val="single"/>
        </w:rPr>
        <w:t>Representations and Warranties of the Company</w:t>
      </w:r>
      <w:r>
        <w:rPr>
          <w:rFonts w:ascii="Times New Roman" w:hAnsi="Times New Roman"/>
          <w:b w:val="false"/>
          <w:i w:val="false"/>
          <w:color w:val="000000"/>
          <w:sz w:val="20"/>
        </w:rPr>
        <w:t xml:space="preserve">.  The Company represents and warrants to each Underwriter that: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t>
      </w:r>
      <w:r>
        <w:rPr>
          <w:rFonts w:ascii="Times New Roman" w:hAnsi="Times New Roman"/>
          <w:b w:val="false"/>
          <w:i/>
          <w:color w:val="000000"/>
          <w:sz w:val="20"/>
        </w:rPr>
        <w:t>Preliminary Prospectus.</w:t>
      </w:r>
      <w:r>
        <w:rPr>
          <w:rFonts w:ascii="Times New Roman" w:hAnsi="Times New Roman"/>
          <w:b w:val="false"/>
          <w:i w:val="false"/>
          <w:color w:val="000000"/>
          <w:sz w:val="20"/>
        </w:rPr>
        <w:t xml:space="preserve">  No order preventing or suspending the use of any Preliminary Prospectus has been issued by the Commission, and each Preliminary Prospectus included in the Pricing Disclosure Package, at the time of filing thereof, complied in all material respects with the Securities Act, and no Preliminary Prospectus included in the Pricing Disclosure Package, at the time of filing thereof, contained any untrue statement of a material fact or omitted to state a material fact necessary in order to make the statements therein, in the light of the circumstances under which they were made, not misleading;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makes no representation or warranty with respect to any statements or omissions made in reliance upon and in conformity with information relating to any Underwriter furnished to the Company in writing by such Underwriter through the Representative expressly for use in any Preliminary Prospectus, it being understood and agreed that the only such information furnished by any Underwriter consists of the information described as such in Section 7(b) 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w:t>
      </w:r>
      <w:r>
        <w:rPr>
          <w:rFonts w:ascii="Times New Roman" w:hAnsi="Times New Roman"/>
          <w:b w:val="false"/>
          <w:i/>
          <w:color w:val="000000"/>
          <w:sz w:val="20"/>
        </w:rPr>
        <w:t>Pricing Disclosure Package</w:t>
      </w:r>
      <w:r>
        <w:rPr>
          <w:rFonts w:ascii="Times New Roman" w:hAnsi="Times New Roman"/>
          <w:b w:val="false"/>
          <w:i w:val="false"/>
          <w:color w:val="000000"/>
          <w:sz w:val="20"/>
        </w:rPr>
        <w:t xml:space="preserve">.  The Pricing Disclosure Package as of the Applicable Time did not, and as of the Closing Date, will not, contain any untrue statement of a material fact or omit to state a material fact necessary in order to make the statements therein, in the light of the circumstances under which they were made, not misleading;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makes no representation or warranty with respect to any statements or omissions made in reliance upon and in conformity with information relating to any Underwriter furnished to the Company in writing by such Underwriter through the Representative expressly for use in such Pricing Disclosure Package, it being understood and agreed that the only such information furnished by any Underwriter consists of the information described as such in Section 7(b) hereof.  No statement of material fact included in the Prospectus has been omitted from the Pricing Disclosure Package and no statement of material fact included in the Pricing Disclosure Package that is required to be included in the Prospectus has been omitted therefrom.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(c)        </w:t>
      </w:r>
      <w:r>
        <w:rPr>
          <w:rFonts w:ascii="Times New Roman" w:hAnsi="Times New Roman"/>
          <w:b w:val="false"/>
          <w:i/>
          <w:color w:val="000000"/>
          <w:sz w:val="20"/>
        </w:rPr>
        <w:t xml:space="preserve">Issuer Free Writing Prospectus.  </w:t>
      </w:r>
      <w:r>
        <w:rPr>
          <w:rFonts w:ascii="Times New Roman" w:hAnsi="Times New Roman"/>
          <w:b w:val="false"/>
          <w:i w:val="false"/>
          <w:color w:val="000000"/>
          <w:sz w:val="20"/>
        </w:rPr>
        <w:t>Other than the Registration Statement, the Preliminary Prospectus and the Prospectus, the Company (including its agents and representatives, other than the Underwriters in their capacity as such) has not prepared, made, used, authorized, approved or referred to and will not prepare, make, use, authorize, approve or refer to any “written communication” (as defined in Rule 405 under the Securities Act) that constitutes an offer to sell or solicitation of an offer to buy the Securities (each such communication by the Company or its agents and representatives (other than a communication referred to in clause (i) below), an “</w:t>
      </w:r>
      <w:r>
        <w:rPr>
          <w:rFonts w:ascii="Times New Roman" w:hAnsi="Times New Roman"/>
          <w:b w:val="false"/>
          <w:i w:val="false"/>
          <w:color w:val="000000"/>
          <w:sz w:val="20"/>
          <w:u w:val="single"/>
        </w:rPr>
        <w:t>Issuer Free Writing Prospectus</w:t>
      </w:r>
      <w:r>
        <w:rPr>
          <w:rFonts w:ascii="Times New Roman" w:hAnsi="Times New Roman"/>
          <w:b w:val="false"/>
          <w:i w:val="false"/>
          <w:color w:val="000000"/>
          <w:sz w:val="20"/>
        </w:rPr>
        <w:t xml:space="preserve">”) other than (i) any document not constituting a prospectus pursuant to Section 2(a)(10)(a) of the Securities Act or Rule 134 under the Securities Act or (ii) the documents listed on Annex A hereto, each electronic road show and any other written communications approved in writing in advance by the Representative, which approval, in the case of written communications required by law to be prepared, used, authorized, approved or referred to, shall not be unreasonably withheld, delayed or conditioned.  Each such Issuer Free Writing Prospectus complied in all material respects with the Securities Act, has been or will be (within the time period specified in Rule 433) filed in accordance with the Securities Act (to the extent required thereby) and does not conflict with the information contained in the Registration Statement or the Pricing Disclosure Package, and, when taken together with the Preliminary Prospectus filed prior to the first use of such Issuer Free Writing Prospectus, did not, and as of the Closing Date, will not, contain any untrue statement of a material fact or omit to state a material fact necessary in order to make the statements therein, in the light of the circumstances under which they were made, not misleading;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makes no representation or warranty with respect to any statements or omissions made in each such Issuer Free Writing Prospectus or Preliminary Prospectus in reliance upon and in conformity with information relating to any Underwriter furnished to the Company in writing by such Underwriter through the Representative expressly for use in such Issuer Free Writing Prospectus or Preliminary Prospectus, it being understood and agreed that the only such information furnished by any Underwriter consists of the information described as such in Section 7(b) 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          Reserved.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          </w:t>
      </w:r>
      <w:r>
        <w:rPr>
          <w:rFonts w:ascii="Times New Roman" w:hAnsi="Times New Roman"/>
          <w:b w:val="false"/>
          <w:i/>
          <w:color w:val="000000"/>
          <w:sz w:val="20"/>
        </w:rPr>
        <w:t>Registration Statement and Prospectus.</w:t>
      </w:r>
      <w:r>
        <w:rPr>
          <w:rFonts w:ascii="Times New Roman" w:hAnsi="Times New Roman"/>
          <w:b w:val="false"/>
          <w:i w:val="false"/>
          <w:color w:val="000000"/>
          <w:sz w:val="20"/>
        </w:rPr>
        <w:t xml:space="preserve">  The Registration Statement has been declared effective by the Commission.  No order suspending the effectiveness of the Registration Statement has been issued by the Commission, and no proceeding for that purpose or pursuant to Section 8A of the Securities Act against the Company or related to the offering of the Securities has been initiated or, to the knowledge of the Company, threatened by the Commission; as of the applicable effective date of the Registration Statement and any post-effective amendment thereto, the Registration Statement and any such post-effective amendment complied and will comply in all material respects with the Securities Act, and did not and will not contain any untrue statement of a material fact or omit to state a material fact required to be stated therein or necessary in order to make the statements therein not misleading; and as of the date of the Prospectus and any amendment or supplement thereto and as of the Closing Date, the Prospectus will comply in all material respects with the Securities Act and will not contain any untrue statement of a material fact or omit to state a material fact necessary in order to make the statements therein, in the light of the circumstances under which they were made, not misleading;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makes no representation or warranty with respect to any statements or omissions made in reliance upon and in conformity with information relating to any Underwriter furnished to the Company in writing by such Underwriter through the Representative expressly for use in the Registration Statement and the Prospectus and any amendment or supplement thereto, it being understood and agreed that the only such information furnished by any Underwriter consists of the information described as such in Section 7(b) 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(f)        </w:t>
      </w:r>
      <w:r>
        <w:rPr>
          <w:rFonts w:ascii="Times New Roman" w:hAnsi="Times New Roman"/>
          <w:b w:val="false"/>
          <w:i/>
          <w:color w:val="000000"/>
          <w:sz w:val="20"/>
        </w:rPr>
        <w:t>Incorporated Documents.</w:t>
      </w:r>
      <w:r>
        <w:rPr>
          <w:rFonts w:ascii="Times New Roman" w:hAnsi="Times New Roman"/>
          <w:b w:val="false"/>
          <w:i w:val="false"/>
          <w:color w:val="000000"/>
          <w:sz w:val="20"/>
        </w:rPr>
        <w:t xml:space="preserve"> The documents incorporated by reference in the Registration Statement, the Prospectus and the Pricing Disclosure Package, when they were filed with the Commission conformed in all material respects to the requirements of the Exchange Act, and none of such documents contained any untrue statement of a material fact or omitted to state a material fact necessary to make the statements therein, in the light of the circumstances under which they were made, not misleading; and any further documents so filed and incorporated by reference in the Registration Statement, the Prospectus or the Pricing Disclosure Package, when such documents are filed with the Commission, will conform in all material respects to the requirements of the Exchange Act and will not contain any untrue statement of a material fact or omit to state a material fact necessary to make the statements therein, in the light of the circumstances under which they were made, not misleading.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       </w:t>
      </w:r>
      <w:r>
        <w:rPr>
          <w:rFonts w:ascii="Times New Roman" w:hAnsi="Times New Roman"/>
          <w:b w:val="false"/>
          <w:i/>
          <w:color w:val="000000"/>
          <w:sz w:val="20"/>
        </w:rPr>
        <w:t>Financial Statements.</w:t>
      </w:r>
      <w:r>
        <w:rPr>
          <w:rFonts w:ascii="Times New Roman" w:hAnsi="Times New Roman"/>
          <w:b w:val="false"/>
          <w:i w:val="false"/>
          <w:color w:val="000000"/>
          <w:sz w:val="20"/>
        </w:rPr>
        <w:t xml:space="preserve"> The financial statements (including the related notes thereto) of the Company and its consolidated subsidiaries included or incorporated by reference in the Registration Statement, the Pricing Disclosure Package and the Prospectus comply in all material respects with the applicable requirements of the Securities Act and the Exchange Act, as applicable, and present fairly in all material respects the financial position of the Company and its consolidated subsidiaries as of the dates indicated and the results of their operations and the changes in their cash flows for the periods specified.  Such financial statements have been prepared in conformity with International Financial Reporting Standards (“</w:t>
      </w:r>
      <w:r>
        <w:rPr>
          <w:rFonts w:ascii="Times New Roman" w:hAnsi="Times New Roman"/>
          <w:b w:val="false"/>
          <w:i w:val="false"/>
          <w:color w:val="000000"/>
          <w:sz w:val="20"/>
          <w:u w:val="single"/>
        </w:rPr>
        <w:t>IFRS</w:t>
      </w:r>
      <w:r>
        <w:rPr>
          <w:rFonts w:ascii="Times New Roman" w:hAnsi="Times New Roman"/>
          <w:b w:val="false"/>
          <w:i w:val="false"/>
          <w:color w:val="000000"/>
          <w:sz w:val="20"/>
        </w:rPr>
        <w:t xml:space="preserve">”) as issued by the International Accounting Standards Board applied on a consistent basis throughout the periods covered thereby, except in the case of the unaudited interim financial statements, which are subject to normal, year-end adjustments and exclude certain footnotes as permitted by the applicable rules of the Commission, and any supporting schedules included or incorporated by reference in the Registration Statement present fairly the information required to be stated therein.  The other financial information included or incorporated by reference in the Registration Statement, the Pricing Disclosure Package and the Prospectus has been derived from the accounting records of the Company and its consolidated subsidiaries and presents fairly in all material respects the information shown thereby.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(h)          </w:t>
      </w:r>
      <w:r>
        <w:rPr>
          <w:rFonts w:ascii="Times New Roman" w:hAnsi="Times New Roman"/>
          <w:b w:val="false"/>
          <w:i/>
          <w:color w:val="000000"/>
          <w:sz w:val="20"/>
        </w:rPr>
        <w:t>No Material Adverse Change.</w:t>
      </w:r>
      <w:r>
        <w:rPr>
          <w:rFonts w:ascii="Times New Roman" w:hAnsi="Times New Roman"/>
          <w:b w:val="false"/>
          <w:i w:val="false"/>
          <w:color w:val="000000"/>
          <w:sz w:val="20"/>
        </w:rPr>
        <w:t xml:space="preserve"> Since the date of the most recent financial statements of the Company included or incorporated by reference in the Registration Statement, the Pricing Disclosure Package and the Prospectus, except as disclosed in the Registration Statement and the Prospectus, (i) there has not been any change in the share capital (other than the issuance of Ordinary Shares upon exercise of share options described as outstanding in, and the grant of options and awards under existing equity incentive plans described in, the Registration Statement, the Pricing Disclosure Package and the Prospectus), short-term debt or long-term debt of the Company or any of its subsidiaries, or any dividend or distribution of any kind declared, set aside for payment, paid or made by the Company on any class of share capital, or any material adverse change, or any development that would reasonably be expected to result in a prospective material adverse change, in or affecting the business, properties, management, financial position, shareholders’ equity, results of operations or prospects of the Company and its subsidiaries taken as a whole, (ii) neither the Company nor any of its subsidiaries has entered into any transaction or agreement (whether or not in the ordinary course of business) that is material to the Company and its subsidiaries taken as a whole or incurred any liability or obligation, direct or contingent, that is material to the Company and its subsidiaries taken as a whole, and (iii) neither the Company nor any of its subsidiaries has sustained any loss or interference with its business that is material to the Company and its subsidiaries taken as a whole and that is either from fire, explosion, flood or other calamity, whether or not covered by insurance, or from any labor disturbance or dispute or any action, order or decree of any court or arbitrator or governmental or regulatory authority.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(i)         </w:t>
      </w:r>
      <w:r>
        <w:rPr>
          <w:rFonts w:ascii="Times New Roman" w:hAnsi="Times New Roman"/>
          <w:b w:val="false"/>
          <w:i/>
          <w:color w:val="000000"/>
          <w:sz w:val="20"/>
        </w:rPr>
        <w:t>Organization and Good Standing.</w:t>
      </w:r>
      <w:r>
        <w:rPr>
          <w:rFonts w:ascii="Times New Roman" w:hAnsi="Times New Roman"/>
          <w:b w:val="false"/>
          <w:i w:val="false"/>
          <w:color w:val="000000"/>
          <w:sz w:val="20"/>
        </w:rPr>
        <w:t xml:space="preserve"> The Company has been duly incorporated and is currently validly existing as a public limited liability company (</w:t>
      </w:r>
      <w:r>
        <w:rPr>
          <w:rFonts w:ascii="Times New Roman" w:hAnsi="Times New Roman"/>
          <w:b w:val="false"/>
          <w:i/>
          <w:color w:val="000000"/>
          <w:sz w:val="20"/>
        </w:rPr>
        <w:t>naamloze vennootschap</w:t>
      </w:r>
      <w:r>
        <w:rPr>
          <w:rFonts w:ascii="Times New Roman" w:hAnsi="Times New Roman"/>
          <w:b w:val="false"/>
          <w:i w:val="false"/>
          <w:color w:val="000000"/>
          <w:sz w:val="20"/>
        </w:rPr>
        <w:t>) under Dutch law.  Each of the Company’s subsidiaries has been duly organized and is validly existing and in good standing (or equivalent concept) under the laws of its respective jurisdiction or organization.  The Company and each of its subsidiaries are duly qualified to do business and are in good standing (or equivalent concept) in each jurisdiction in which their respective ownership or lease of property or the conduct of their respective businesses requires such qualification, and have all power and authority necessary to own or hold their respective properties and to conduct the businesses in which they are engaged, except where the failure to be so qualified or in good standing (or equivalent concept) or have such power or authority would not, individually or in the aggregate, have a material adverse effect on the business, properties, management, financial position, shareholders’ equity, results of operations or prospects of the Company and its subsidiaries taken as a whole or on the performance by the Company of its obligations under this Agreement (a “</w:t>
      </w:r>
      <w:r>
        <w:rPr>
          <w:rFonts w:ascii="Times New Roman" w:hAnsi="Times New Roman"/>
          <w:b w:val="false"/>
          <w:i w:val="false"/>
          <w:color w:val="000000"/>
          <w:sz w:val="20"/>
          <w:u w:val="single"/>
        </w:rPr>
        <w:t>Material Adverse Effect</w:t>
      </w:r>
      <w:r>
        <w:rPr>
          <w:rFonts w:ascii="Times New Roman" w:hAnsi="Times New Roman"/>
          <w:b w:val="false"/>
          <w:i w:val="false"/>
          <w:color w:val="000000"/>
          <w:sz w:val="20"/>
        </w:rPr>
        <w:t xml:space="preserve">”).  The Company does not own or control, directly or indirectly, any corporation, association or other entity, other than InflaRx GmbH and InflaRx Pharmaceuticals, Inc.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(j)        </w:t>
      </w:r>
      <w:r>
        <w:rPr>
          <w:rFonts w:ascii="Times New Roman" w:hAnsi="Times New Roman"/>
          <w:b w:val="false"/>
          <w:i/>
          <w:color w:val="000000"/>
          <w:sz w:val="20"/>
        </w:rPr>
        <w:t>Capitalization.</w:t>
      </w:r>
      <w:r>
        <w:rPr>
          <w:rFonts w:ascii="Times New Roman" w:hAnsi="Times New Roman"/>
          <w:b w:val="false"/>
          <w:i w:val="false"/>
          <w:color w:val="000000"/>
          <w:sz w:val="20"/>
        </w:rPr>
        <w:t xml:space="preserve"> The Company has an authorized capital as set forth in the Registration Statement, the Pricing Disclosure Package and the Prospectus under the heading “Capitalization”.  All the issued and outstanding Ordinary Shares have been duly and validly authorized and issued and are fully paid and non-assessable and are not subject to any pre-emptive or similar rights that have not been duly waived or satisfied or validly excluded.  Except as described in or expressly contemplated by the Registration Statement, the Pricing Disclosure Package and the Prospectus, there are no outstanding rights (including, without limitation, pre-emptive rights), warrants or options to acquire, or instruments convertible into or exchangeable for, any share capital or other equity interest in the Company or any of its subsidiaries, or any contract, commitment, agreement, understanding or arrangement of any kind relating to the issuance of any share capital of the Company or any such subsidiary, any such convertible or exchangeable securities or any such rights, warrants or options.  The share capital of the Company conforms in all material respects to the description thereof contained in the Registration Statement, the Pricing Disclosure Package and the Prospectus.  All the outstanding share capital or other equity interests of each subsidiary owned, directly or indirectly, by the Company have been duly and validly authorized and issued, are fully paid and non-assessable (except, in the case of any foreign subsidiary, for directors’ qualifying shares and except as otherwise described in the Registration Statement, the Pricing Disclosure Package and the Prospectus) and are owned directly or indirectly by the Company, free and clear of any lien, charge, encumbrance, security interest, restriction on voting or transfer or any other similar claim of any third party.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(k)         </w:t>
      </w:r>
      <w:r>
        <w:rPr>
          <w:rFonts w:ascii="Times New Roman" w:hAnsi="Times New Roman"/>
          <w:b w:val="false"/>
          <w:i/>
          <w:color w:val="000000"/>
          <w:sz w:val="20"/>
        </w:rPr>
        <w:t xml:space="preserve">Share Options. </w:t>
      </w:r>
      <w:r>
        <w:rPr>
          <w:rFonts w:ascii="Times New Roman" w:hAnsi="Times New Roman"/>
          <w:b w:val="false"/>
          <w:i w:val="false"/>
          <w:color w:val="000000"/>
          <w:sz w:val="20"/>
        </w:rPr>
        <w:t>With respect to the share options (the “</w:t>
      </w:r>
      <w:r>
        <w:rPr>
          <w:rFonts w:ascii="Times New Roman" w:hAnsi="Times New Roman"/>
          <w:b w:val="false"/>
          <w:i w:val="false"/>
          <w:color w:val="000000"/>
          <w:sz w:val="20"/>
          <w:u w:val="single"/>
        </w:rPr>
        <w:t>Share Options</w:t>
      </w:r>
      <w:r>
        <w:rPr>
          <w:rFonts w:ascii="Times New Roman" w:hAnsi="Times New Roman"/>
          <w:b w:val="false"/>
          <w:i w:val="false"/>
          <w:color w:val="000000"/>
          <w:sz w:val="20"/>
        </w:rPr>
        <w:t>”) granted pursuant to the stock-based compensation plans of the Company and its subsidiaries (the “</w:t>
      </w:r>
      <w:r>
        <w:rPr>
          <w:rFonts w:ascii="Times New Roman" w:hAnsi="Times New Roman"/>
          <w:b w:val="false"/>
          <w:i w:val="false"/>
          <w:color w:val="000000"/>
          <w:sz w:val="20"/>
          <w:u w:val="single"/>
        </w:rPr>
        <w:t>Company Share Plans</w:t>
      </w:r>
      <w:r>
        <w:rPr>
          <w:rFonts w:ascii="Times New Roman" w:hAnsi="Times New Roman"/>
          <w:b w:val="false"/>
          <w:i w:val="false"/>
          <w:color w:val="000000"/>
          <w:sz w:val="20"/>
        </w:rPr>
        <w:t xml:space="preserve">”), (i) each grant of a Share Option was duly authorized no later than the date on which the grant of such Share Option was by its terms to be effective by all necessary corporate action, including, as applicable, approval by the board of directors of the Company (or a duly constituted and authorized committee thereof) and any required shareholder approval or authorization by the necessary number of votes or written consents, and, to the knowledge of the Company (other than with respect to the execution and delivery by the Company), the award agreement governing such grant (if any) was duly executed and delivered by each party thereto, (ii) each such grant was made in accordance with the terms of the Company Share Plans and all other applicable laws and regulatory rules or requirements and (iii) each such grant was properly accounted for in accordance with IFRS in the financial statements (including the related notes) of the Company included or incorporated by reference in the Registration Statement, the Pricing Disclosure Package and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(l)         </w:t>
      </w:r>
      <w:r>
        <w:rPr>
          <w:rFonts w:ascii="Times New Roman" w:hAnsi="Times New Roman"/>
          <w:b w:val="false"/>
          <w:i/>
          <w:color w:val="000000"/>
          <w:sz w:val="20"/>
        </w:rPr>
        <w:t xml:space="preserve">Due Authorization. </w:t>
      </w:r>
      <w:r>
        <w:rPr>
          <w:rFonts w:ascii="Times New Roman" w:hAnsi="Times New Roman"/>
          <w:b w:val="false"/>
          <w:i w:val="false"/>
          <w:color w:val="000000"/>
          <w:sz w:val="20"/>
        </w:rPr>
        <w:t xml:space="preserve">The Company has full right, power and authority to execute and deliver this Agreement and to perform its obligations hereunder and thereunder.  All action required to be taken for the due and proper authorization, execution and delivery by it of this Agreement and the consummation by it of the transactions contemplated hereby and thereby has been duly and validly taken.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(m)        </w:t>
      </w:r>
      <w:r>
        <w:rPr>
          <w:rFonts w:ascii="Times New Roman" w:hAnsi="Times New Roman"/>
          <w:b w:val="false"/>
          <w:i/>
          <w:color w:val="000000"/>
          <w:sz w:val="20"/>
        </w:rPr>
        <w:t xml:space="preserve">Underwriting Agreement.  </w:t>
      </w:r>
      <w:r>
        <w:rPr>
          <w:rFonts w:ascii="Times New Roman" w:hAnsi="Times New Roman"/>
          <w:b w:val="false"/>
          <w:i w:val="false"/>
          <w:color w:val="000000"/>
          <w:sz w:val="20"/>
        </w:rPr>
        <w:t xml:space="preserve">This Agreement has been duly authorized, executed and delivered by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(n)         </w:t>
      </w:r>
      <w:r>
        <w:rPr>
          <w:rFonts w:ascii="Times New Roman" w:hAnsi="Times New Roman"/>
          <w:b w:val="false"/>
          <w:i/>
          <w:color w:val="000000"/>
          <w:sz w:val="20"/>
        </w:rPr>
        <w:t xml:space="preserve">The Securities. </w:t>
      </w:r>
      <w:r>
        <w:rPr>
          <w:rFonts w:ascii="Times New Roman" w:hAnsi="Times New Roman"/>
          <w:b w:val="false"/>
          <w:i w:val="false"/>
          <w:color w:val="000000"/>
          <w:sz w:val="20"/>
        </w:rPr>
        <w:t>(i)</w:t>
      </w:r>
      <w:r>
        <w:rPr>
          <w:rFonts w:ascii="Times New Roman" w:hAnsi="Times New Roman"/>
          <w:b w:val="false"/>
          <w:i/>
          <w:color w:val="000000"/>
          <w:sz w:val="20"/>
        </w:rPr>
        <w:t> </w:t>
      </w:r>
      <w:r>
        <w:rPr>
          <w:rFonts w:ascii="Times New Roman" w:hAnsi="Times New Roman"/>
          <w:b w:val="false"/>
          <w:i w:val="false"/>
          <w:color w:val="000000"/>
          <w:sz w:val="20"/>
        </w:rPr>
        <w:t xml:space="preserve">The Securities to be issued and sold by the Company hereunder have been duly authorized by the Company and, when issued and delivered and paid for as provided herein, will be duly and validly issued, will be fully paid and non-assessable and will conform in all material respects to the descriptions thereof in the Registration Statement, the Pricing Disclosure Package and the Prospectus and (ii) the issuance of the Securities is not subject to any pre-emptive or similar rights that have not been irrevocably waived or validly excluded.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       </w:t>
      </w:r>
      <w:r>
        <w:rPr>
          <w:rFonts w:ascii="Times New Roman" w:hAnsi="Times New Roman"/>
          <w:b w:val="false"/>
          <w:i/>
          <w:color w:val="000000"/>
          <w:sz w:val="20"/>
        </w:rPr>
        <w:t>Descriptions of the Underwriting Agreement.</w:t>
      </w:r>
      <w:r>
        <w:rPr>
          <w:rFonts w:ascii="Times New Roman" w:hAnsi="Times New Roman"/>
          <w:b w:val="false"/>
          <w:i w:val="false"/>
          <w:color w:val="000000"/>
          <w:sz w:val="20"/>
        </w:rPr>
        <w:t xml:space="preserve">  This Agreement conforms in all material respects to the description thereof contained in the Registration Statement, the Pricing Disclosure Package and the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(p)        </w:t>
      </w:r>
      <w:r>
        <w:rPr>
          <w:rFonts w:ascii="Times New Roman" w:hAnsi="Times New Roman"/>
          <w:b w:val="false"/>
          <w:i/>
          <w:color w:val="000000"/>
          <w:sz w:val="20"/>
        </w:rPr>
        <w:t>No Violation or Default.</w:t>
      </w:r>
      <w:r>
        <w:rPr>
          <w:rFonts w:ascii="Times New Roman" w:hAnsi="Times New Roman"/>
          <w:b w:val="false"/>
          <w:i w:val="false"/>
          <w:color w:val="000000"/>
          <w:sz w:val="20"/>
        </w:rPr>
        <w:t xml:space="preserve">  Neither the Company nor any of its subsidiaries is (i) in violation of its articles of association or similar organizational documents, (ii) in default, and no event has occurred that, with notice or lapse of time or both, would constitute such a default, in the due performance or observance of any term, covenant or condition contained in any indenture, mortgage, deed of trust, loan agreement or other agreement or instrument to which the Company or any of its subsidiaries is a party or by which the Company or any of its subsidiaries is bound or to which any property or asset of the Company or any of its subsidiaries is subject, or (iii) in violation of any law or statute or any judgment, order, rule or regulation of any court or arbitrator or governmental or regulatory authority having jurisdiction over the Company or any of its subsidiaries, except, in the case of clauses (ii) and (iii) above, for any such default or violation that would not, individually or in the aggregate, reasonably be expected to have a Material Adverse Effect.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(q)        </w:t>
      </w:r>
      <w:r>
        <w:rPr>
          <w:rFonts w:ascii="Times New Roman" w:hAnsi="Times New Roman"/>
          <w:b w:val="false"/>
          <w:i/>
          <w:color w:val="000000"/>
          <w:sz w:val="20"/>
        </w:rPr>
        <w:t xml:space="preserve">No Conflicts.  </w:t>
      </w:r>
      <w:r>
        <w:rPr>
          <w:rFonts w:ascii="Times New Roman" w:hAnsi="Times New Roman"/>
          <w:b w:val="false"/>
          <w:i w:val="false"/>
          <w:color w:val="000000"/>
          <w:sz w:val="20"/>
        </w:rPr>
        <w:t xml:space="preserve">The execution, delivery and performance by the Company of this Agreement and the issuance and sale of the Securities and the consummation of the transactions contemplated by this Agreement, the Pricing Disclosure Package or the Prospectus will not (i) conflict with or result in a breach or violation of any of the terms or provisions of, or constitute a default under, result in the termination, modification or acceleration of, or result in the creation or imposition of any lien, charge or encumbrance upon any property, right or asset of the Company or any of its subsidiaries pursuant to, any indenture, mortgage, deed of trust, loan agreement or other agreement or instrument to which the Company or any of its subsidiaries is a party or by which the Company or any of its subsidiaries is bound or to which any property, right or assets of the Company or any of its subsidiaries is subject, (ii) result in any violation of the provisions of the articles of association or similar organizational documents of the Company or any of its subsidiaries or (iii) result in the violation of any law or statute or any judgment, order, rule or regulation of any court or arbitrator or governmental or regulatory authority to which the Company or any of its subsidiaries is subject, except, in the case of clauses (i) and (iii) above, for any such conflict, breach, violation, default, lien, charge or encumbrance that would not, individually or in the aggregate, reasonably be expected to have a Material Adverse Effect.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(r)         </w:t>
      </w:r>
      <w:r>
        <w:rPr>
          <w:rFonts w:ascii="Times New Roman" w:hAnsi="Times New Roman"/>
          <w:b w:val="false"/>
          <w:i/>
          <w:color w:val="000000"/>
          <w:sz w:val="20"/>
        </w:rPr>
        <w:t xml:space="preserve">No Consents Required. </w:t>
      </w:r>
      <w:r>
        <w:rPr>
          <w:rFonts w:ascii="Times New Roman" w:hAnsi="Times New Roman"/>
          <w:b w:val="false"/>
          <w:i w:val="false"/>
          <w:color w:val="000000"/>
          <w:sz w:val="20"/>
        </w:rPr>
        <w:t>No consent, approval, authorization, order, registration or qualification of or with any court or arbitrator or governmental or regulatory authority is required for the execution, delivery and performance by the Company of this Agreement, the issuance and sale of the Securities, and the consummation of the transactions contemplated by this Agreement, except for the registration of the Securities under the Securities Act and such consents, approvals, authorizations, orders and registrations or qualifications as have already been made or obtained or as may be required by the Financial Industry Regulatory Authority, Inc.  (“</w:t>
      </w:r>
      <w:r>
        <w:rPr>
          <w:rFonts w:ascii="Times New Roman" w:hAnsi="Times New Roman"/>
          <w:b w:val="false"/>
          <w:i w:val="false"/>
          <w:color w:val="000000"/>
          <w:sz w:val="20"/>
          <w:u w:val="single"/>
        </w:rPr>
        <w:t>FINRA</w:t>
      </w:r>
      <w:r>
        <w:rPr>
          <w:rFonts w:ascii="Times New Roman" w:hAnsi="Times New Roman"/>
          <w:b w:val="false"/>
          <w:i w:val="false"/>
          <w:color w:val="000000"/>
          <w:sz w:val="20"/>
        </w:rPr>
        <w:t>”), the Nasdaq Global or Global Select Market (the “</w:t>
      </w:r>
      <w:r>
        <w:rPr>
          <w:rFonts w:ascii="Times New Roman" w:hAnsi="Times New Roman"/>
          <w:b w:val="false"/>
          <w:i w:val="false"/>
          <w:color w:val="000000"/>
          <w:sz w:val="20"/>
          <w:u w:val="single"/>
        </w:rPr>
        <w:t>Exchange</w:t>
      </w:r>
      <w:r>
        <w:rPr>
          <w:rFonts w:ascii="Times New Roman" w:hAnsi="Times New Roman"/>
          <w:b w:val="false"/>
          <w:i w:val="false"/>
          <w:color w:val="000000"/>
          <w:sz w:val="20"/>
        </w:rPr>
        <w:t xml:space="preserve">”), under applicable state securities laws in connection with the purchase and distribution of the Securities by the Underwriters and, prior to the Closing Date, any court order or regulatory filing.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(s)        </w:t>
      </w:r>
      <w:r>
        <w:rPr>
          <w:rFonts w:ascii="Times New Roman" w:hAnsi="Times New Roman"/>
          <w:b w:val="false"/>
          <w:i/>
          <w:color w:val="000000"/>
          <w:sz w:val="20"/>
        </w:rPr>
        <w:t>Legal Proceedings.</w:t>
      </w:r>
      <w:r>
        <w:rPr>
          <w:rFonts w:ascii="Times New Roman" w:hAnsi="Times New Roman"/>
          <w:b w:val="false"/>
          <w:i w:val="false"/>
          <w:color w:val="000000"/>
          <w:sz w:val="20"/>
        </w:rPr>
        <w:t>  Except as described in the Registration Statement, the Pricing Disclosure Package and the Prospectus, there are no legal, governmental or regulatory investigations, actions, demands, claims, suits, arbitrations, inquiries or proceedings (“</w:t>
      </w:r>
      <w:r>
        <w:rPr>
          <w:rFonts w:ascii="Times New Roman" w:hAnsi="Times New Roman"/>
          <w:b w:val="false"/>
          <w:i w:val="false"/>
          <w:color w:val="000000"/>
          <w:sz w:val="20"/>
          <w:u w:val="single"/>
        </w:rPr>
        <w:t>Actions</w:t>
      </w:r>
      <w:r>
        <w:rPr>
          <w:rFonts w:ascii="Times New Roman" w:hAnsi="Times New Roman"/>
          <w:b w:val="false"/>
          <w:i w:val="false"/>
          <w:color w:val="000000"/>
          <w:sz w:val="20"/>
        </w:rPr>
        <w:t xml:space="preserve">”) pending to which the Company or any of its subsidiaries is or, to the knowledge of the Company, would reasonably be expected to be a party or to which any property of the Company or any of its subsidiaries is or, to the knowledge of the Company, would reasonably be expected to be the subject that, individually or in the aggregate, if determined adversely to the Company or any of its subsidiaries, would reasonably be expected to have a Material Adverse Effect.  To the knowledge of the Company, no such Actions are threatened or contemplated by any governmental or regulatory authority or threatened by others.  There are no (i) current or pending Actions that are required under the Securities Act to be described in the Registration Statement, the Pricing Disclosure Package or the Prospectus that are not so described in the Registration Statement, the Pricing Disclosure Package and the Prospectus or (ii) statutes, regulations or contracts or other documents that are required under the Securities Act to be filed as exhibits to the Registration Statement or described in the Registration Statement, the Pricing Disclosure Package or the Prospectus that are not so filed as exhibits to the Registration Statement or described in the Registration Statement, the Pricing Disclosure Package and the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(t)     </w:t>
      </w:r>
      <w:r>
        <w:rPr>
          <w:rFonts w:ascii="Times New Roman" w:hAnsi="Times New Roman"/>
          <w:b w:val="false"/>
          <w:i/>
          <w:color w:val="000000"/>
          <w:sz w:val="20"/>
        </w:rPr>
        <w:t>Independent Accountants</w:t>
      </w:r>
      <w:r>
        <w:rPr>
          <w:rFonts w:ascii="Times New Roman" w:hAnsi="Times New Roman"/>
          <w:b w:val="false"/>
          <w:i w:val="false"/>
          <w:color w:val="000000"/>
          <w:sz w:val="20"/>
        </w:rPr>
        <w:t xml:space="preserve">.  Each of KPMG AG Wirtschaftsprüfungsgesellschaft and EY GmbH &amp; Co.  KG Wirtschaftsprüfungsgesellschaft, who have reviewed certain financial statements of the Company and its subsidiaries included or incorporated by reference into the Registration Statement, the Pricing Disclosure Package and the Prospectus, is an independent registered public accounting firm with respect to the Company and its subsidiaries within the applicable rules and regulations adopted by the Commission and the Public Company Accounting Oversight Board (United States) and as required by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(u)       </w:t>
      </w:r>
      <w:r>
        <w:rPr>
          <w:rFonts w:ascii="Times New Roman" w:hAnsi="Times New Roman"/>
          <w:b w:val="false"/>
          <w:i/>
          <w:color w:val="000000"/>
          <w:sz w:val="20"/>
        </w:rPr>
        <w:t>Title to Real and Personal Property.</w:t>
      </w:r>
      <w:r>
        <w:rPr>
          <w:rFonts w:ascii="Times New Roman" w:hAnsi="Times New Roman"/>
          <w:b w:val="false"/>
          <w:i w:val="false"/>
          <w:color w:val="000000"/>
          <w:sz w:val="20"/>
        </w:rPr>
        <w:t>  The Company and its subsidiaries have good and marketable title in fee simple (</w:t>
      </w:r>
      <w:r>
        <w:rPr>
          <w:rFonts w:ascii="Times New Roman" w:hAnsi="Times New Roman"/>
          <w:b w:val="false"/>
          <w:i/>
          <w:color w:val="000000"/>
          <w:sz w:val="20"/>
        </w:rPr>
        <w:t>Eigendom</w:t>
      </w:r>
      <w:r>
        <w:rPr>
          <w:rFonts w:ascii="Times New Roman" w:hAnsi="Times New Roman"/>
          <w:b w:val="false"/>
          <w:i w:val="false"/>
          <w:color w:val="000000"/>
          <w:sz w:val="20"/>
        </w:rPr>
        <w:t xml:space="preserve">) to, or have valid rights to lease or otherwise use, all items of real and personal property that are material to the respective businesses of the Company and its subsidiaries, taken as a whole, in each case free and clear of all liens, encumbrances, claims and defects and imperfections of title except those that (i) do not materially interfere with the use made and proposed to be made of such property by the Company and its subsidiaries or (ii) could not reasonably be expected, individually or in the aggregate, to have a Material Adverse Effect.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(v)        </w:t>
      </w:r>
      <w:r>
        <w:rPr>
          <w:rFonts w:ascii="Times New Roman" w:hAnsi="Times New Roman"/>
          <w:b w:val="false"/>
          <w:i/>
          <w:color w:val="000000"/>
          <w:sz w:val="20"/>
        </w:rPr>
        <w:t>Intellectual Property.</w:t>
      </w:r>
      <w:r>
        <w:rPr>
          <w:rFonts w:ascii="Times New Roman" w:hAnsi="Times New Roman"/>
          <w:b w:val="false"/>
          <w:i w:val="false"/>
          <w:color w:val="000000"/>
          <w:sz w:val="20"/>
        </w:rPr>
        <w:t>  Except as would not reasonably be expected, individually or in the aggregate, to have a Material Adverse Effect, (i) the Company and its subsidiaries own or have the right to use all patents, patent applications, trademarks, service marks, trade names, trademark registrations, service mark registrations, domain names and other source indicators, copyrights and copyrightable works, know-how, trade secrets, systems, procedures, proprietary or confidential information and all other worldwide intellectual property, industrial property and proprietary rights (collectively, “</w:t>
      </w:r>
      <w:r>
        <w:rPr>
          <w:rFonts w:ascii="Times New Roman" w:hAnsi="Times New Roman"/>
          <w:b w:val="false"/>
          <w:i w:val="false"/>
          <w:color w:val="000000"/>
          <w:sz w:val="20"/>
          <w:u w:val="single"/>
        </w:rPr>
        <w:t>Intellectual Property</w:t>
      </w:r>
      <w:r>
        <w:rPr>
          <w:rFonts w:ascii="Times New Roman" w:hAnsi="Times New Roman"/>
          <w:b w:val="false"/>
          <w:i w:val="false"/>
          <w:color w:val="000000"/>
          <w:sz w:val="20"/>
        </w:rPr>
        <w:t xml:space="preserve">”) necessary for the conduct of their respective businesses; (ii) to the knowledge of the Company, the Company and its subsidiaries’ conduct of their respective businesses does not infringe, misappropriate or otherwise violate any Intellectual Property of any person; (iii) the Company and its subsidiaries have not received any written notice of any claim by any third party (A) challenging the validity, enforceability or scope of any Intellectual Property owned or controlled by the Company or its subsidiaries or challenging the rights of the Company or its subsidiaries in such Intellectual Property or (B) alleging that the Company infringes, misappropriates or otherwise violates any Intellectual Property of such third party; and (iv) to the knowledge of the Company, the Intellectual Property owned or controlled (including pursuant to an exclusive license) by the Company and its subsidiaries is not being infringed, misappropriated or otherwise violated by any person.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      </w:t>
      </w:r>
      <w:r>
        <w:rPr>
          <w:rFonts w:ascii="Times New Roman" w:hAnsi="Times New Roman"/>
          <w:b w:val="false"/>
          <w:i/>
          <w:color w:val="000000"/>
          <w:sz w:val="20"/>
        </w:rPr>
        <w:t>No Undisclosed Relationships.</w:t>
      </w:r>
      <w:r>
        <w:rPr>
          <w:rFonts w:ascii="Times New Roman" w:hAnsi="Times New Roman"/>
          <w:b w:val="false"/>
          <w:i w:val="false"/>
          <w:color w:val="000000"/>
          <w:sz w:val="20"/>
        </w:rPr>
        <w:t xml:space="preserve">  No relationship, direct or indirect, exists between or among the Company or any of its subsidiaries, on the one hand, and the directors, officers, shareholders, customers, suppliers or other affiliates of the Company or any of its subsidiaries, on the other, that is required by the Securities Act to be described in each of the Registration Statement and the Prospectus and that is not so described in such documents and in the Pricing Disclosure Package.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(x)       </w:t>
      </w:r>
      <w:r>
        <w:rPr>
          <w:rFonts w:ascii="Times New Roman" w:hAnsi="Times New Roman"/>
          <w:b w:val="false"/>
          <w:i/>
          <w:color w:val="000000"/>
          <w:sz w:val="20"/>
        </w:rPr>
        <w:t>Investment Company Act.</w:t>
      </w:r>
      <w:r>
        <w:rPr>
          <w:rFonts w:ascii="Times New Roman" w:hAnsi="Times New Roman"/>
          <w:b w:val="false"/>
          <w:i w:val="false"/>
          <w:color w:val="000000"/>
          <w:sz w:val="20"/>
        </w:rPr>
        <w:t>  The Company is not and, after giving effect to the offering and sale of the Securities and the application of the proceeds thereof as described in the Registration Statement, the Pricing Disclosure Package and the Prospectus, will not be required to register as an “investment company” or an entity “controlled” by an “investment company” within the meaning of the Investment Company Act of 1940, as amended, and the rules and regulations of the Commission thereunder (collectively, the “</w:t>
      </w:r>
      <w:r>
        <w:rPr>
          <w:rFonts w:ascii="Times New Roman" w:hAnsi="Times New Roman"/>
          <w:b w:val="false"/>
          <w:i w:val="false"/>
          <w:color w:val="000000"/>
          <w:sz w:val="20"/>
          <w:u w:val="single"/>
        </w:rPr>
        <w:t>Investment Company Act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(y)          </w:t>
      </w:r>
      <w:r>
        <w:rPr>
          <w:rFonts w:ascii="Times New Roman" w:hAnsi="Times New Roman"/>
          <w:b w:val="false"/>
          <w:i/>
          <w:color w:val="000000"/>
          <w:sz w:val="20"/>
        </w:rPr>
        <w:t>Taxes.</w:t>
      </w:r>
      <w:r>
        <w:rPr>
          <w:rFonts w:ascii="Times New Roman" w:hAnsi="Times New Roman"/>
          <w:b w:val="false"/>
          <w:i w:val="false"/>
          <w:color w:val="000000"/>
          <w:sz w:val="20"/>
        </w:rPr>
        <w:t xml:space="preserve">  Except as would not, individually or in the aggregate, reasonably be expected to have a Material Adverse Effect, (i) the Company and its subsidiaries have filed all income and other material tax returns required to be filed through the date hereof and have paid all taxes required to be paid in respect thereof, except with respect to matters being contested in good faith or for which adequate reserves are reflected, in accordance with IFRS, in the financial statements of the Company or its subsidiaries, and (ii) except as otherwise disclosed in each of the Registration Statement, the Pricing Disclosure Package and the Prospectus, there is no income or other material tax deficiency that has been, or could reasonably be expected to be, asserted against the Company or any of its subsidiaries or any of their respective properties or assets.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(z)        </w:t>
      </w:r>
      <w:r>
        <w:rPr>
          <w:rFonts w:ascii="Times New Roman" w:hAnsi="Times New Roman"/>
          <w:b w:val="false"/>
          <w:i/>
          <w:color w:val="000000"/>
          <w:sz w:val="20"/>
        </w:rPr>
        <w:t>Licenses and Permits.</w:t>
      </w:r>
      <w:r>
        <w:rPr>
          <w:rFonts w:ascii="Times New Roman" w:hAnsi="Times New Roman"/>
          <w:b w:val="false"/>
          <w:i w:val="false"/>
          <w:color w:val="000000"/>
          <w:sz w:val="20"/>
        </w:rPr>
        <w:t>  The Company and its subsidiaries possess all licenses, sub-licenses, certificates, permits and other authorizations issued by, and have made all declarations and filings with, the appropriate federal, state, local or foreign governmental or regulatory authorities that are necessary for the ownership or lease of their respective properties or the conduct of their respective businesses as described in each of the Registration Statement, the Pricing Disclosure Package and the Prospectus, except where the failure to possess or make the same would not, individually or in the aggregate, reasonably be expected to have a Material Adverse Effect.  Except as described in each of the Registration Statement, the Pricing Disclosure Package and the Prospectus, neither the Company nor any of its subsidiaries has received notice of any revocation or modification of any such license, sub-license, certificate, permit or authorization or has any reason to believe that any such license, sub-license, certificate, permit or authorization will not be renewed in the ordinary course, except where such revocation, modification or non-renewal would not, individually or in the aggregate, reasonably be expected to have a Material Adverse Effect.  To the extent required by applicable laws and regulations of the U.S.  Food and Drug Administration (the “</w:t>
      </w:r>
      <w:r>
        <w:rPr>
          <w:rFonts w:ascii="Times New Roman" w:hAnsi="Times New Roman"/>
          <w:b w:val="false"/>
          <w:i w:val="false"/>
          <w:color w:val="000000"/>
          <w:sz w:val="20"/>
          <w:u w:val="single"/>
        </w:rPr>
        <w:t>FDA</w:t>
      </w:r>
      <w:r>
        <w:rPr>
          <w:rFonts w:ascii="Times New Roman" w:hAnsi="Times New Roman"/>
          <w:b w:val="false"/>
          <w:i w:val="false"/>
          <w:color w:val="000000"/>
          <w:sz w:val="20"/>
        </w:rPr>
        <w:t>”), the Company has submitted to the FDA an Investigational New Drug Application or amendment or supplement thereto for each clinical trial it has conducted or sponsored or is conducting or sponsoring; all such submissions, if any, were in material compliance with applicable laws and rules and regulations when submitted and no material deficiencies have been asserted by the FDA with respect to any such submissions.  To the extent required by applicable laws and regulations of the European Medicines Agency (the “</w:t>
      </w:r>
      <w:r>
        <w:rPr>
          <w:rFonts w:ascii="Times New Roman" w:hAnsi="Times New Roman"/>
          <w:b w:val="false"/>
          <w:i w:val="false"/>
          <w:color w:val="000000"/>
          <w:sz w:val="20"/>
          <w:u w:val="single"/>
        </w:rPr>
        <w:t>EMA</w:t>
      </w:r>
      <w:r>
        <w:rPr>
          <w:rFonts w:ascii="Times New Roman" w:hAnsi="Times New Roman"/>
          <w:b w:val="false"/>
          <w:i w:val="false"/>
          <w:color w:val="000000"/>
          <w:sz w:val="20"/>
        </w:rPr>
        <w:t xml:space="preserve">”), the Company has submitted to the EMA a Clinical Trial Authorization or amendment or supplement thereto for each clinical trial it has conducted or sponsored or is conducting or sponsoring; all such submissions, if any, were in material compliance with applicable laws and rules and regulations when submitted and no material deficiencies have been asserted by the EMA with respect to any such submissions.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(aa)        </w:t>
      </w:r>
      <w:r>
        <w:rPr>
          <w:rFonts w:ascii="Times New Roman" w:hAnsi="Times New Roman"/>
          <w:b w:val="false"/>
          <w:i/>
          <w:color w:val="000000"/>
          <w:sz w:val="20"/>
        </w:rPr>
        <w:t xml:space="preserve">No Labor Disputes. </w:t>
      </w:r>
      <w:r>
        <w:rPr>
          <w:rFonts w:ascii="Times New Roman" w:hAnsi="Times New Roman"/>
          <w:b w:val="false"/>
          <w:i w:val="false"/>
          <w:color w:val="000000"/>
          <w:sz w:val="20"/>
        </w:rPr>
        <w:t xml:space="preserve">No labor disturbance by or dispute with employees of the Company or any of its subsidiaries exists or, to the knowledge of the Company, is contemplated or threatened, and the Company is not aware of any existing or imminent labor disturbance by, or dispute with, the employees of any of its or its subsidiaries’ principal suppliers, contractors or customers, in each case, except as would not have a Material Adverse Effect.  Neither the Company nor any of its subsidiaries is or at any time has been a party to any collective bargaining agreement or other labor agreement with respect to employees of the Company or its subsidiaries.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(bb)      </w:t>
      </w:r>
      <w:r>
        <w:rPr>
          <w:rFonts w:ascii="Times New Roman" w:hAnsi="Times New Roman"/>
          <w:b w:val="false"/>
          <w:i/>
          <w:color w:val="000000"/>
          <w:sz w:val="20"/>
        </w:rPr>
        <w:t>Certain Environmental Matters</w:t>
      </w:r>
      <w:r>
        <w:rPr>
          <w:rFonts w:ascii="Times New Roman" w:hAnsi="Times New Roman"/>
          <w:b w:val="false"/>
          <w:i w:val="false"/>
          <w:color w:val="000000"/>
          <w:sz w:val="20"/>
        </w:rPr>
        <w:t>.  Except as described in the Registration Statement, the Pricing Disclosure Package and the Prospectus and except as would not reasonably be expected, individually or in the aggregate, to have a Material Adverse Effect: (i) the Company and its subsidiaries (x) are in compliance with any and all applicable federal, state, local and foreign laws, rules, regulations, requirements, decisions, judgments, decrees, orders and other legally enforceable requirements relating to pollution or the protection of human health or safety, the environment, natural resources, hazardous or toxic substances or wastes, pollutants or contaminants (collectively, “</w:t>
      </w:r>
      <w:r>
        <w:rPr>
          <w:rFonts w:ascii="Times New Roman" w:hAnsi="Times New Roman"/>
          <w:b w:val="false"/>
          <w:i w:val="false"/>
          <w:color w:val="000000"/>
          <w:sz w:val="20"/>
          <w:u w:val="single"/>
        </w:rPr>
        <w:t>Environmental Laws</w:t>
      </w:r>
      <w:r>
        <w:rPr>
          <w:rFonts w:ascii="Times New Roman" w:hAnsi="Times New Roman"/>
          <w:b w:val="false"/>
          <w:i w:val="false"/>
          <w:color w:val="000000"/>
          <w:sz w:val="20"/>
        </w:rPr>
        <w:t xml:space="preserve">”); (y) have received and are in compliance with all permits, licenses, certificates or other authorizations or approvals required of them under applicable Environmental Laws to conduct their respective businesses; and (z) have not received notice of any actual or potential liability under or relating to, or any actual or potential violation of, any Environmental Laws, including for the investigation or remediation of any disposal or release of hazardous or toxic substances or wastes, pollutants or contaminants, and have no knowledge of any event or condition that would reasonably be expected to result in any such notice; (ii) there are no costs or liabilities associated with Environmental Laws of or relating to the Company or its subsidiaries; and (iii) (x) there is no proceeding that is pending, or that is known to the Company to be contemplated, against the Company or any of its subsidiaries under any Environmental Laws in which a governmental entity is also a party, other than such proceeding regarding which it is reasonably believed no monetary sanctions of $100,000 or more will be imposed, (y) the Company and its subsidiaries are not aware of any facts or issues regarding compliance with Environmental Laws, or liabilities or other obligations under Environmental Laws or concerning hazardous or toxic substances or wastes, pollutants or contaminants, that could reasonably be expected to have a material effect on the capital expenditures, earnings or competitive position of the Company and its subsidiaries, and (z) none of the Company or its subsidiaries anticipates material capital expenditures relating to any Environmental Laws.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(cc)       </w:t>
      </w:r>
      <w:r>
        <w:rPr>
          <w:rFonts w:ascii="Times New Roman" w:hAnsi="Times New Roman"/>
          <w:b w:val="false"/>
          <w:i/>
          <w:color w:val="000000"/>
          <w:sz w:val="20"/>
        </w:rPr>
        <w:t>Compliance with ERISA</w:t>
      </w:r>
      <w:r>
        <w:rPr>
          <w:rFonts w:ascii="Times New Roman" w:hAnsi="Times New Roman"/>
          <w:b w:val="false"/>
          <w:i w:val="false"/>
          <w:color w:val="000000"/>
          <w:sz w:val="20"/>
        </w:rPr>
        <w:t xml:space="preserve">.  The Company does not maintain any “employee benefit plan” subject to Title IV of the Employee Retirement Income Security Act of 1974, as amended, or the regulations and published interpretations thereunder.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(dd)      </w:t>
      </w:r>
      <w:r>
        <w:rPr>
          <w:rFonts w:ascii="Times New Roman" w:hAnsi="Times New Roman"/>
          <w:b w:val="false"/>
          <w:i/>
          <w:color w:val="000000"/>
          <w:sz w:val="20"/>
        </w:rPr>
        <w:t>Disclosure Controls</w:t>
      </w:r>
      <w:r>
        <w:rPr>
          <w:rFonts w:ascii="Times New Roman" w:hAnsi="Times New Roman"/>
          <w:b w:val="false"/>
          <w:i w:val="false"/>
          <w:color w:val="000000"/>
          <w:sz w:val="20"/>
        </w:rPr>
        <w:t xml:space="preserve">.  The Company and its subsidiaries, on a consolidated basis, have established a system of “disclosure controls and procedures” (as defined in Rule 13a-15(e) of the Exchange Act) that is designed to comply with the requirements of the Exchange Act applicable to the Company and its subsidiaries and that is designed to ensure that information required to be disclosed by the Company in reports that it files or submits under the Exchange Act is recorded, processed, summarized and reported within the time periods specified in the Commission’s rules and forms, including controls and procedures designed to ensure that such information is accumulated and communicated to the Company’s management as appropriate to allow timely decisions regarding required disclosure .The Company and its subsidiaries have carried out evaluations of the effectiveness of their disclosure controls and procedures as required by Rule 13a-15 of the Exchange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(ee)        </w:t>
      </w:r>
      <w:r>
        <w:rPr>
          <w:rFonts w:ascii="Times New Roman" w:hAnsi="Times New Roman"/>
          <w:b w:val="false"/>
          <w:i/>
          <w:color w:val="000000"/>
          <w:sz w:val="20"/>
        </w:rPr>
        <w:t>Accounting Controls.</w:t>
      </w:r>
      <w:r>
        <w:rPr>
          <w:rFonts w:ascii="Times New Roman" w:hAnsi="Times New Roman"/>
          <w:b w:val="false"/>
          <w:i w:val="false"/>
          <w:color w:val="000000"/>
          <w:sz w:val="20"/>
        </w:rPr>
        <w:t xml:space="preserve"> The Company and its subsidiaries, on a consolidated basis, have established systems of “internal control over financial reporting” (as defined in Rule 13a-15(f) of the Exchange Act) that are designed to comply with the requirements of the Exchange Act by, or under the supervision of, their respective principal executive and principal financial officers, or persons performing similar functions, to provide reasonable assurance regarding the reliability of financial reporting and the preparation of financial statements for external purposes in accordance with IFRS.  The Company and its subsidiaries maintain internal accounting controls sufficient to provide reasonable assurance that (i) transactions are executed in accordance with management’s general or specific authorizations; (ii) transactions are recorded as necessary to permit preparation of financial statements in conformity with IFRS and to maintain asset accountability; (iii) access to assets is permitted only in accordance with management’s general or specific authorization; (iv) the recorded accountability for assets is compared with the existing assets at reasonable intervals and appropriate action is taken with respect to any differences and (v) interactive data in eXtensible Business Reporting Language included or incorporated by reference in the Registration Statement, the Pricing Disclosure Package and the Prospectus fairly presents the information called for in all material respects and is prepared in accordance with the Commission’s rules and guidelines applicable thereto.  Except as disclosed in the Registration Statement, the Pricing Disclosure Package and the Prospectus, no material weaknesses in the Company’s internal controls have been identified.  The Company’s auditors and the Audit Committee of the Board of Directors of the Company have been advised of: (A) all significant deficiencies and material weaknesses in the design or operation of internal controls over financial reporting which have adversely affected or are reasonably likely to adversely affect the Company’s ability to record, process, summarize and report financial information; and (B) any fraud, whether or not material, that involves management or other employees who have a significant role in the Company’s internal controls over financial reporting.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(ff)       </w:t>
      </w:r>
      <w:r>
        <w:rPr>
          <w:rFonts w:ascii="Times New Roman" w:hAnsi="Times New Roman"/>
          <w:b w:val="false"/>
          <w:i/>
          <w:color w:val="000000"/>
          <w:sz w:val="20"/>
        </w:rPr>
        <w:t xml:space="preserve">Insurance. </w:t>
      </w:r>
      <w:r>
        <w:rPr>
          <w:rFonts w:ascii="Times New Roman" w:hAnsi="Times New Roman"/>
          <w:b w:val="false"/>
          <w:i w:val="false"/>
          <w:color w:val="000000"/>
          <w:sz w:val="20"/>
        </w:rPr>
        <w:t xml:space="preserve">The Company and its subsidiaries have insurance covering their respective properties, operations, personnel and businesses, which insurance is in amounts and insures against such losses and risks as the Company reasonably believes are adequate to protect the Company and its subsidiaries and their respective businesses; and neither the Company nor any of its subsidiaries has (i) received notice from any insurer or agent of such insurer that capital improvements or other expenditures are required or necessary to be made in order to continue such insurance or (ii) any reason to believe that it will not be able to renew its existing insurance coverage as and when such coverage expires or to obtain similar coverage at reasonable cost from similar insurers as may be necessary to continue its business in all material respects.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(gg)       </w:t>
      </w:r>
      <w:r>
        <w:rPr>
          <w:rFonts w:ascii="Times New Roman" w:hAnsi="Times New Roman"/>
          <w:b w:val="false"/>
          <w:i/>
          <w:color w:val="000000"/>
          <w:sz w:val="20"/>
        </w:rPr>
        <w:t>No Unlawful Payments.</w:t>
      </w:r>
      <w:r>
        <w:rPr>
          <w:rFonts w:ascii="Times New Roman" w:hAnsi="Times New Roman"/>
          <w:b w:val="false"/>
          <w:i w:val="false"/>
          <w:color w:val="000000"/>
          <w:sz w:val="20"/>
        </w:rPr>
        <w:t xml:space="preserve"> Neither the Company nor any of its subsidiaries nor any director, officer or employee of the Company or any of its subsidiaries nor, to the knowledge of the Company, any agent, affiliate or other person associated with or acting on behalf of the Company or any of its subsidiaries has (i) used any corporate funds for any unlawful contribution, gift, entertainment or other unlawful expense relating to political activity; (ii) made or taken an act in furtherance of an offer, promise or authorization of any direct or indirect unlawful payment or benefit to any foreign or domestic government official or employee, including of any government-owned or controlled entity or of a public international organization, or any person acting in an official capacity for or on behalf of any of the foregoing, or any political party or party official or candidate for political office; (iii) violated or is in violation of any provision of the Foreign Corrupt Practices Act of 1977, as amended, or any applicable law or regulation implementing the OECD Convention on Combating Bribery of Foreign Public Officials in International Business Transactions, or committed an offence under the Bribery Act 2010 of the United Kingdom, or any other applicable anti-bribery or anti-corruption law; or (iv) made, offered, agreed, requested or taken an act in furtherance of any unlawful bribe or other unlawful benefit, including, without limitation, any rebate, payoff, influence payment, kickback or other unlawful or improper payment or benefit.  The Company and its subsidiaries have instituted, maintain and enforce, and will continue to maintain and enforce policies and procedures designed to promote and ensure compliance with all applicable anti-bribery and anti-corruption laws.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(hh)     </w:t>
      </w:r>
      <w:r>
        <w:rPr>
          <w:rFonts w:ascii="Times New Roman" w:hAnsi="Times New Roman"/>
          <w:b w:val="false"/>
          <w:i/>
          <w:color w:val="000000"/>
          <w:sz w:val="20"/>
        </w:rPr>
        <w:t>Compliance with Anti-Money Laundering Laws</w:t>
      </w:r>
      <w:r>
        <w:rPr>
          <w:rFonts w:ascii="Times New Roman" w:hAnsi="Times New Roman"/>
          <w:b w:val="false"/>
          <w:i w:val="false"/>
          <w:color w:val="000000"/>
          <w:sz w:val="20"/>
        </w:rPr>
        <w:t>.  The operations of the Company and its subsidiaries are and have been conducted at all times in compliance with applicable financial recordkeeping and reporting requirements, including those of the Currency and Foreign Transactions Reporting Act of 1970, as amended, the applicable money laundering statutes of all jurisdictions where the Company or any of its subsidiaries conducts business, the rules and regulations thereunder and any related or similar rules, regulations or guidelines issued, administered or enforced by any governmental agency (collectively, the “</w:t>
      </w:r>
      <w:r>
        <w:rPr>
          <w:rFonts w:ascii="Times New Roman" w:hAnsi="Times New Roman"/>
          <w:b w:val="false"/>
          <w:i w:val="false"/>
          <w:color w:val="000000"/>
          <w:sz w:val="20"/>
          <w:u w:val="single"/>
        </w:rPr>
        <w:t>Anti-Money Laundering Laws</w:t>
      </w:r>
      <w:r>
        <w:rPr>
          <w:rFonts w:ascii="Times New Roman" w:hAnsi="Times New Roman"/>
          <w:b w:val="false"/>
          <w:i w:val="false"/>
          <w:color w:val="000000"/>
          <w:sz w:val="20"/>
        </w:rPr>
        <w:t xml:space="preserve">”), and no action, suit or proceeding by or before any court or governmental agency, authority or body or any arbitrator involving the Company or any of its subsidiaries with respect to the Anti-Money Laundering Laws is pending or, to the knowledge of the Company, threatened.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(ii)         </w:t>
      </w:r>
      <w:r>
        <w:rPr>
          <w:rFonts w:ascii="Times New Roman" w:hAnsi="Times New Roman"/>
          <w:b w:val="false"/>
          <w:i/>
          <w:color w:val="000000"/>
          <w:sz w:val="20"/>
        </w:rPr>
        <w:t xml:space="preserve">No Conflicts with Sanctions Laws. </w:t>
      </w:r>
      <w:r>
        <w:rPr>
          <w:rFonts w:ascii="Times New Roman" w:hAnsi="Times New Roman"/>
          <w:b w:val="false"/>
          <w:i w:val="false"/>
          <w:color w:val="000000"/>
          <w:sz w:val="20"/>
        </w:rPr>
        <w:t>Neither the Company nor any of its subsidiaries, directors, officers or employees, nor, to the knowledge of the Company, any agent, affiliate or other person associated with or acting on behalf of the Company or any of its subsidiaries is currently the subject or the target of any sanctions administered or enforced by the U.S.  government (including, without limitation, the Office of Foreign Assets Control of the U.S.  Department of the Treasury or the U.S. Department of State and including, without limitation, the designation as a “specially designated national” or “blocked person”), the United Nations Security Council, the European Union, His Majesty’s Treasury or other relevant sanctions authority (collectively, “</w:t>
      </w:r>
      <w:r>
        <w:rPr>
          <w:rFonts w:ascii="Times New Roman" w:hAnsi="Times New Roman"/>
          <w:b w:val="false"/>
          <w:i w:val="false"/>
          <w:color w:val="000000"/>
          <w:sz w:val="20"/>
          <w:u w:val="single"/>
        </w:rPr>
        <w:t>Sanctions</w:t>
      </w:r>
      <w:r>
        <w:rPr>
          <w:rFonts w:ascii="Times New Roman" w:hAnsi="Times New Roman"/>
          <w:b w:val="false"/>
          <w:i w:val="false"/>
          <w:color w:val="000000"/>
          <w:sz w:val="20"/>
        </w:rPr>
        <w:t>”), nor is the Company or any of its subsidiaries located, organized or resident in a country or territory that is the subject or target of Sanctions, including, without limitation, the so-called Donetsk People’s Republic, the so-called Luhansk People’s Republic or any other Covered Region of Ukraine identified pursuant to Executive Order 14065, the Crimea region of Ukraine, Cuba, Iran, North Korea and Syria (each, a “</w:t>
      </w:r>
      <w:r>
        <w:rPr>
          <w:rFonts w:ascii="Times New Roman" w:hAnsi="Times New Roman"/>
          <w:b w:val="false"/>
          <w:i w:val="false"/>
          <w:color w:val="000000"/>
          <w:sz w:val="20"/>
          <w:u w:val="single"/>
        </w:rPr>
        <w:t>Sanctioned Country</w:t>
      </w:r>
      <w:r>
        <w:rPr>
          <w:rFonts w:ascii="Times New Roman" w:hAnsi="Times New Roman"/>
          <w:b w:val="false"/>
          <w:i w:val="false"/>
          <w:color w:val="000000"/>
          <w:sz w:val="20"/>
        </w:rPr>
        <w:t xml:space="preserve">”).  The Company will not directly or indirectly use the proceeds of the offering of the Securities hereunder, or lend, contribute or otherwise make available such proceeds to any subsidiary, joint venture partner or other person or entity (i) to fund or facilitate any activities of or business with any person that, at the time of such funding or facilitation, is the subject or target of Sanctions, (ii) to fund or facilitate any activities of or business in any Sanctioned Country or (iii) in any other manner that will result in a violation by any person (including any person participating in the transaction, whether as underwriter, advisor, investor or otherwise) of Sanctions.  For the past 10 years, the Company and its subsidiaries have not knowingly engaged in and are not now knowingly engaged in any dealings or transactions with any person that at the time of the dealing or transaction is or was the subject or the target of Sanctions or with any Sanctioned Country.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(jj)         </w:t>
      </w:r>
      <w:r>
        <w:rPr>
          <w:rFonts w:ascii="Times New Roman" w:hAnsi="Times New Roman"/>
          <w:b w:val="false"/>
          <w:i/>
          <w:color w:val="000000"/>
          <w:sz w:val="20"/>
        </w:rPr>
        <w:t>No Restrictions on Subsidiaries</w:t>
      </w:r>
      <w:r>
        <w:rPr>
          <w:rFonts w:ascii="Times New Roman" w:hAnsi="Times New Roman"/>
          <w:b w:val="false"/>
          <w:i w:val="false"/>
          <w:color w:val="000000"/>
          <w:sz w:val="20"/>
        </w:rPr>
        <w:t xml:space="preserve">.  No subsidiary of the Company is currently prohibited (except as may be limited by applicable laws of the jurisdictions of such subsidiary’s incorporation or formation and as set forth in the Registration Statement, the Pricing Disclosure Package and the Prospectus), directly or indirectly, under any agreement or other instrument to which it is a party or is subject, from paying any dividends to the Company, from making any other distribution on such subsidiary’s share capital or similar ownership interest, from repaying to the Company any loans or advances to such subsidiary from the Company or from transferring any of such subsidiary’s properties or assets to the Company or any other subsidiary of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(kk)        </w:t>
      </w:r>
      <w:r>
        <w:rPr>
          <w:rFonts w:ascii="Times New Roman" w:hAnsi="Times New Roman"/>
          <w:b w:val="false"/>
          <w:i/>
          <w:color w:val="000000"/>
          <w:sz w:val="20"/>
        </w:rPr>
        <w:t>No Broker’s Fees.</w:t>
      </w:r>
      <w:r>
        <w:rPr>
          <w:rFonts w:ascii="Times New Roman" w:hAnsi="Times New Roman"/>
          <w:b w:val="false"/>
          <w:i w:val="false"/>
          <w:color w:val="000000"/>
          <w:sz w:val="20"/>
        </w:rPr>
        <w:t xml:space="preserve">  Neither the Company nor any of its subsidiaries is a party to any contract, agreement or understanding with any person (other than this Agreement) that would give rise to a valid claim against any of them or any Underwriter for a brokerage commission, finder’s fee or like payment in connection with the offering and sale of the Securities.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(ll)          </w:t>
      </w:r>
      <w:r>
        <w:rPr>
          <w:rFonts w:ascii="Times New Roman" w:hAnsi="Times New Roman"/>
          <w:b w:val="false"/>
          <w:i/>
          <w:color w:val="000000"/>
          <w:sz w:val="20"/>
        </w:rPr>
        <w:t>No Registration Rights</w:t>
      </w:r>
      <w:r>
        <w:rPr>
          <w:rFonts w:ascii="Times New Roman" w:hAnsi="Times New Roman"/>
          <w:b w:val="false"/>
          <w:i w:val="false"/>
          <w:color w:val="000000"/>
          <w:sz w:val="20"/>
        </w:rPr>
        <w:t xml:space="preserve">.  Except as described in the Registration Statement, the Pricing Disclosure Package and the Prospectus, no person has the right to require the Company or any of its subsidiaries to register any securities for sale under the Securities Act by reason of the filing of the Registration Statement with the Commission, the issuance and sale of the Securities.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(mm)    </w:t>
      </w:r>
      <w:r>
        <w:rPr>
          <w:rFonts w:ascii="Times New Roman" w:hAnsi="Times New Roman"/>
          <w:b w:val="false"/>
          <w:i/>
          <w:color w:val="000000"/>
          <w:sz w:val="20"/>
        </w:rPr>
        <w:t>No Stabilization.</w:t>
      </w:r>
      <w:r>
        <w:rPr>
          <w:rFonts w:ascii="Times New Roman" w:hAnsi="Times New Roman"/>
          <w:b w:val="false"/>
          <w:i w:val="false"/>
          <w:color w:val="000000"/>
          <w:sz w:val="20"/>
        </w:rPr>
        <w:t xml:space="preserve">  The Company has not taken, directly or indirectly (without giving any effect to the activities by the Underwriters), any action designed to or that would reasonably be expected to cause or result in any stabilization or manipulation of the price of the Ordinary Shares.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(nn)      </w:t>
      </w:r>
      <w:r>
        <w:rPr>
          <w:rFonts w:ascii="Times New Roman" w:hAnsi="Times New Roman"/>
          <w:b w:val="false"/>
          <w:i/>
          <w:color w:val="000000"/>
          <w:sz w:val="20"/>
        </w:rPr>
        <w:t>Margin Rules</w:t>
      </w:r>
      <w:r>
        <w:rPr>
          <w:rFonts w:ascii="Times New Roman" w:hAnsi="Times New Roman"/>
          <w:b w:val="false"/>
          <w:i w:val="false"/>
          <w:color w:val="000000"/>
          <w:sz w:val="20"/>
        </w:rPr>
        <w:t xml:space="preserve">.  Neither the issuance, sale and delivery of the Securities nor the application of the proceeds thereof by the Company as described in each of the Registration Statement, the Pricing Disclosure Package and the Prospectus will violate Regulation T, U or X of the Board of Governors of the Federal Reserve System or any other regulation of such Board of Governors.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(oo)      </w:t>
      </w:r>
      <w:r>
        <w:rPr>
          <w:rFonts w:ascii="Times New Roman" w:hAnsi="Times New Roman"/>
          <w:b w:val="false"/>
          <w:i/>
          <w:color w:val="000000"/>
          <w:sz w:val="20"/>
        </w:rPr>
        <w:t>Forward-Looking Statements.</w:t>
      </w:r>
      <w:r>
        <w:rPr>
          <w:rFonts w:ascii="Times New Roman" w:hAnsi="Times New Roman"/>
          <w:b w:val="false"/>
          <w:i w:val="false"/>
          <w:color w:val="000000"/>
          <w:sz w:val="20"/>
        </w:rPr>
        <w:t xml:space="preserve">  No forward-looking statement (within the meaning of Section 27A of the Securities Act and Section 21E of the Exchange Act) included or incorporated by reference in any of the Registration Statement, the Pricing Disclosure Package or the Prospectus has been made or reaffirmed without a reasonable basis or has been disclosed other than in good faith.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(pp)      </w:t>
      </w:r>
      <w:r>
        <w:rPr>
          <w:rFonts w:ascii="Times New Roman" w:hAnsi="Times New Roman"/>
          <w:b w:val="false"/>
          <w:i/>
          <w:color w:val="000000"/>
          <w:sz w:val="20"/>
        </w:rPr>
        <w:t>Statistical and Market Data.</w:t>
      </w:r>
      <w:r>
        <w:rPr>
          <w:rFonts w:ascii="Times New Roman" w:hAnsi="Times New Roman"/>
          <w:b w:val="false"/>
          <w:i w:val="false"/>
          <w:color w:val="000000"/>
          <w:sz w:val="20"/>
        </w:rPr>
        <w:t xml:space="preserve">  Nothing has come to the attention of the Company that has caused the Company to believe that the statistical and market-related data included or incorporated by reference in each of the Registration Statement, the Pricing Disclosure Package and the Prospectus is not based on or derived from sources that are reliable and accurate in all material respects.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(qq)       </w:t>
      </w:r>
      <w:r>
        <w:rPr>
          <w:rFonts w:ascii="Times New Roman" w:hAnsi="Times New Roman"/>
          <w:b w:val="false"/>
          <w:i/>
          <w:color w:val="000000"/>
          <w:sz w:val="20"/>
        </w:rPr>
        <w:t>Sarbanes-Oxley Act</w:t>
      </w:r>
      <w:r>
        <w:rPr>
          <w:rFonts w:ascii="Times New Roman" w:hAnsi="Times New Roman"/>
          <w:b w:val="false"/>
          <w:i w:val="false"/>
          <w:color w:val="000000"/>
          <w:sz w:val="20"/>
        </w:rPr>
        <w:t xml:space="preserve">.  There is and has been no failure on the part of the Company or any of the Company’s directors or officers, in their capacities as such, to comply with any provision of the Sarbanes-Oxley Act of 2002, as amended and the rules and regulations promulgated in connection therewith, applicable to the Company and its subsidiaries.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(rr)        </w:t>
      </w:r>
      <w:r>
        <w:rPr>
          <w:rFonts w:ascii="Times New Roman" w:hAnsi="Times New Roman"/>
          <w:b w:val="false"/>
          <w:i/>
          <w:color w:val="000000"/>
          <w:sz w:val="20"/>
        </w:rPr>
        <w:t>Status under the Securities Act</w:t>
      </w:r>
      <w:r>
        <w:rPr>
          <w:rFonts w:ascii="Times New Roman" w:hAnsi="Times New Roman"/>
          <w:b w:val="false"/>
          <w:i w:val="false"/>
          <w:color w:val="000000"/>
          <w:sz w:val="20"/>
        </w:rPr>
        <w:t xml:space="preserve">.  At the time of filing the Registration Statement and any amendment thereto, at the earliest time thereafter that the Company or any offering participant made a </w:t>
      </w:r>
      <w:r>
        <w:rPr>
          <w:rFonts w:ascii="Times New Roman" w:hAnsi="Times New Roman"/>
          <w:b w:val="false"/>
          <w:i/>
          <w:color w:val="000000"/>
          <w:sz w:val="20"/>
        </w:rPr>
        <w:t>bona fide</w:t>
      </w:r>
      <w:r>
        <w:rPr>
          <w:rFonts w:ascii="Times New Roman" w:hAnsi="Times New Roman"/>
          <w:b w:val="false"/>
          <w:i w:val="false"/>
          <w:color w:val="000000"/>
          <w:sz w:val="20"/>
        </w:rPr>
        <w:t xml:space="preserve"> offer (within the meaning of Rule 164(h)(2) under the Securities Act) of the Securities and at the date hereof, the Company was not and is not an “ineligible issuer,” as defined in Rule 405 under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(ss)        </w:t>
      </w:r>
      <w:r>
        <w:rPr>
          <w:rFonts w:ascii="Times New Roman" w:hAnsi="Times New Roman"/>
          <w:b w:val="false"/>
          <w:i/>
          <w:color w:val="000000"/>
          <w:sz w:val="20"/>
        </w:rPr>
        <w:t>No Ratings</w:t>
      </w:r>
      <w:r>
        <w:rPr>
          <w:rFonts w:ascii="Times New Roman" w:hAnsi="Times New Roman"/>
          <w:b w:val="false"/>
          <w:i w:val="false"/>
          <w:color w:val="000000"/>
          <w:sz w:val="20"/>
        </w:rPr>
        <w:t xml:space="preserve">.  There are (and prior to the Closing Date, will be) no debt securities or preferred shares issued or guaranteed by the Company or any of its subsidiaries that are rated by a “nationally recognized statistical rating organization,” as such term is defined under Section 3(a)(62) under the Exchange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(tt)          </w:t>
      </w:r>
      <w:r>
        <w:rPr>
          <w:rFonts w:ascii="Times New Roman" w:hAnsi="Times New Roman"/>
          <w:b w:val="false"/>
          <w:i/>
          <w:color w:val="000000"/>
          <w:sz w:val="20"/>
        </w:rPr>
        <w:t>Stamp Taxes</w:t>
      </w:r>
      <w:r>
        <w:rPr>
          <w:rFonts w:ascii="Times New Roman" w:hAnsi="Times New Roman"/>
          <w:b w:val="false"/>
          <w:i w:val="false"/>
          <w:color w:val="000000"/>
          <w:sz w:val="20"/>
        </w:rPr>
        <w:t xml:space="preserve">.  Except for any net income, capital gains or franchise taxes imposed on the Underwriters by the governments of the Netherlands, the United States, Germany or any political subdivision or taxing authority thereof or therein as a result of any present or former connection (other than any connection resulting from the transactions contemplated by this Agreement) between the Underwriters and the jurisdiction imposing such tax, no stamp duties or other issuance or transfer taxes are payable by or on behalf of the Underwriters in the Netherlands, the United States, Germany or any political subdivision or taxing authority thereof solely in connection with (i) the execution, delivery and performance of this Agreement, (ii) the issuance and delivery of the Securities in the manner contemplated by this Agreement, the Pricing Disclosure Package and the Prospectus or (iii) the sale and delivery by the Underwriters of the Securities as contemplated herein and in the Pricing Disclosure Package and the Prospectus, assuming that the Underwriters will not waive any value-added tax exemption.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(uu)       </w:t>
      </w:r>
      <w:r>
        <w:rPr>
          <w:rFonts w:ascii="Times New Roman" w:hAnsi="Times New Roman"/>
          <w:b w:val="false"/>
          <w:i/>
          <w:color w:val="000000"/>
          <w:sz w:val="20"/>
        </w:rPr>
        <w:t>Passive Foreign Investment Company and Controlled Foreign Corporation</w:t>
      </w:r>
      <w:r>
        <w:rPr>
          <w:rFonts w:ascii="Times New Roman" w:hAnsi="Times New Roman"/>
          <w:b w:val="false"/>
          <w:i w:val="false"/>
          <w:color w:val="000000"/>
          <w:sz w:val="20"/>
        </w:rPr>
        <w:t>. The Company believes it was likely a “passive foreign investment company,” as such term is defined in Section 1297 of the Internal Revenue Code of 1986, as amended, and the regulations and published interpretations thereunder (the “</w:t>
      </w:r>
      <w:r>
        <w:rPr>
          <w:rFonts w:ascii="Times New Roman" w:hAnsi="Times New Roman"/>
          <w:b w:val="false"/>
          <w:i w:val="false"/>
          <w:color w:val="000000"/>
          <w:sz w:val="20"/>
          <w:u w:val="single"/>
        </w:rPr>
        <w:t>Code</w:t>
      </w:r>
      <w:r>
        <w:rPr>
          <w:rFonts w:ascii="Times New Roman" w:hAnsi="Times New Roman"/>
          <w:b w:val="false"/>
          <w:i w:val="false"/>
          <w:color w:val="000000"/>
          <w:sz w:val="20"/>
        </w:rPr>
        <w:t xml:space="preserve">”), for its most recently completed taxable year.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(vv)       </w:t>
      </w:r>
      <w:r>
        <w:rPr>
          <w:rFonts w:ascii="Times New Roman" w:hAnsi="Times New Roman"/>
          <w:b w:val="false"/>
          <w:i/>
          <w:color w:val="000000"/>
          <w:sz w:val="20"/>
        </w:rPr>
        <w:t>No Immunity</w:t>
      </w:r>
      <w:r>
        <w:rPr>
          <w:rFonts w:ascii="Times New Roman" w:hAnsi="Times New Roman"/>
          <w:b w:val="false"/>
          <w:i w:val="false"/>
          <w:color w:val="000000"/>
          <w:sz w:val="20"/>
        </w:rPr>
        <w:t xml:space="preserve">.  Neither the Company nor any of its subsidiaries or their properties or assets has immunity under Dutch, German, U.S.  federal or New York state law from any legal action, suit or proceeding, from the giving of any relief in any such legal action, suit or proceeding, from set-off or counterclaim, from the jurisdiction of any Dutch, German, U.S.  federal or New York state court, from service of process, attachment upon or prior to judgment, or attachment in aid of execution of judgment, or from execution of a judgment, or other legal process or proceeding for the giving of any relief or for the enforcement of a judgment, in any such court with respect to their respective obligations, liabilities or any other matter under or arising out of or in connection herewith; and, to the extent that the Company or any of its subsidiaries or any of its properties, assets or revenues may have or may hereafter become entitled to any such right of immunity in any such court in which proceedings arising out of, or relating to the transactions contemplated by this Agreement, may at any time be commenced, the Company has, pursuant to Section 16(d) of this Agreement, waived, and it will waive, or will cause its subsidiaries to waive, such right to the extent permitted by law.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(ww)      </w:t>
      </w:r>
      <w:r>
        <w:rPr>
          <w:rFonts w:ascii="Times New Roman" w:hAnsi="Times New Roman"/>
          <w:b w:val="false"/>
          <w:i/>
          <w:color w:val="000000"/>
          <w:sz w:val="20"/>
        </w:rPr>
        <w:t>Valid Choice of Law</w:t>
      </w:r>
      <w:r>
        <w:rPr>
          <w:rFonts w:ascii="Times New Roman" w:hAnsi="Times New Roman"/>
          <w:b w:val="false"/>
          <w:i w:val="false"/>
          <w:color w:val="000000"/>
          <w:sz w:val="20"/>
        </w:rPr>
        <w:t>.  The choice of laws of the State of New York as the governing law of this Agreement is a valid choice of law under the laws of the Netherlands and subject to the provisions of Regulation (EC) No 593/2008 of the European Parliament and of the Council of 17 June 2008 relating to the law applicable to contractual obligations (Rome I), will be honored by the courts of the Netherlands, except in case performance of the contract is unlawful in the Netherlands or manifest incompatibility with the public policy ‘</w:t>
      </w:r>
      <w:r>
        <w:rPr>
          <w:rFonts w:ascii="Times New Roman" w:hAnsi="Times New Roman"/>
          <w:b w:val="false"/>
          <w:i/>
          <w:color w:val="000000"/>
          <w:sz w:val="20"/>
        </w:rPr>
        <w:t>ordre public</w:t>
      </w:r>
      <w:r>
        <w:rPr>
          <w:rFonts w:ascii="Times New Roman" w:hAnsi="Times New Roman"/>
          <w:b w:val="false"/>
          <w:i w:val="false"/>
          <w:color w:val="000000"/>
          <w:sz w:val="20"/>
        </w:rPr>
        <w:t xml:space="preserve">’ of the Netherlands.  The Company has the power to submit, and pursuant to Section 16(e) of this Agreement has legally, validly, effectively and irrevocably submitted, to the personal jurisdiction of each New York state and United States federal court sitting in the City of New York and has validly and irrevocably waived any objection to the laying of venue of any suit, action or proceeding brought in such court.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(xx)       </w:t>
      </w:r>
      <w:r>
        <w:rPr>
          <w:rFonts w:ascii="Times New Roman" w:hAnsi="Times New Roman"/>
          <w:b w:val="false"/>
          <w:i/>
          <w:color w:val="000000"/>
          <w:sz w:val="20"/>
        </w:rPr>
        <w:t>Legality</w:t>
      </w:r>
      <w:r>
        <w:rPr>
          <w:rFonts w:ascii="Times New Roman" w:hAnsi="Times New Roman"/>
          <w:b w:val="false"/>
          <w:i w:val="false"/>
          <w:color w:val="000000"/>
          <w:sz w:val="20"/>
        </w:rPr>
        <w:t xml:space="preserve">.  The legality, validity, enforceability or admissibility into evidence of any of the Registration Statement, the Pricing Disclosure Package, the Prospectus, this Agreement, or the Securities in any jurisdiction in which the Company is organized or does business is not dependent upon such document being submitted into, filed or recorded with any court or other authority in any such jurisdiction (other than court filings in the ordinary course of proceedings) on or before the date hereof or that any tax, imposition or charge (other than court fees or similar documentary tax payable in the ordinary course of proceedings) be paid in any such jurisdiction on or in respect of any such document.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(yy)       </w:t>
      </w:r>
      <w:r>
        <w:rPr>
          <w:rFonts w:ascii="Times New Roman" w:hAnsi="Times New Roman"/>
          <w:b w:val="false"/>
          <w:i/>
          <w:color w:val="000000"/>
          <w:sz w:val="20"/>
        </w:rPr>
        <w:t>Legal Action</w:t>
      </w:r>
      <w:r>
        <w:rPr>
          <w:rFonts w:ascii="Times New Roman" w:hAnsi="Times New Roman"/>
          <w:b w:val="false"/>
          <w:i w:val="false"/>
          <w:color w:val="000000"/>
          <w:sz w:val="20"/>
        </w:rPr>
        <w:t xml:space="preserve">.  A holder of the Securities and each Underwriter are each entitled to sue as plaintiff in the court of the jurisdiction of formation and domicile of the Company for the enforcement of their respective rights under this Agreement and the Securities and such access to such courts will not be subject to any conditions which are not applicable to residents of such jurisdiction or a company incorporated in such jurisdiction except that plaintiffs not residing in the Netherlands may be required to guarantee payment of a possible order for payment of costs or damages at the request of the defendant.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(zz)         </w:t>
      </w:r>
      <w:r>
        <w:rPr>
          <w:rFonts w:ascii="Times New Roman" w:hAnsi="Times New Roman"/>
          <w:b w:val="false"/>
          <w:i/>
          <w:color w:val="000000"/>
          <w:sz w:val="20"/>
        </w:rPr>
        <w:t>Foreign Private Issuer</w:t>
      </w:r>
      <w:r>
        <w:rPr>
          <w:rFonts w:ascii="Times New Roman" w:hAnsi="Times New Roman"/>
          <w:b w:val="false"/>
          <w:i w:val="false"/>
          <w:color w:val="000000"/>
          <w:sz w:val="20"/>
        </w:rPr>
        <w:t xml:space="preserve">.  The Company is a “foreign private issuer” as defined in Rule 405 under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(aaa)      </w:t>
      </w:r>
      <w:r>
        <w:rPr>
          <w:rFonts w:ascii="Times New Roman" w:hAnsi="Times New Roman"/>
          <w:b w:val="false"/>
          <w:i/>
          <w:color w:val="000000"/>
          <w:sz w:val="20"/>
        </w:rPr>
        <w:t>Preclinical and Clinical Data and Regulatory Compliance</w:t>
      </w:r>
      <w:r>
        <w:rPr>
          <w:rFonts w:ascii="Times New Roman" w:hAnsi="Times New Roman"/>
          <w:b w:val="false"/>
          <w:i w:val="false"/>
          <w:color w:val="000000"/>
          <w:sz w:val="20"/>
        </w:rPr>
        <w:t>.  The preclinical tests and clinical trials conducted by or on behalf of the Company and its subsidiaries that are described in, or the results of which are referred to in, the Registration Statement, the Pricing Disclosure Package or the Prospectus (collectively, “</w:t>
      </w:r>
      <w:r>
        <w:rPr>
          <w:rFonts w:ascii="Times New Roman" w:hAnsi="Times New Roman"/>
          <w:b w:val="false"/>
          <w:i w:val="false"/>
          <w:color w:val="000000"/>
          <w:sz w:val="20"/>
          <w:u w:val="single"/>
        </w:rPr>
        <w:t>Studies</w:t>
      </w:r>
      <w:r>
        <w:rPr>
          <w:rFonts w:ascii="Times New Roman" w:hAnsi="Times New Roman"/>
          <w:b w:val="false"/>
          <w:i w:val="false"/>
          <w:color w:val="000000"/>
          <w:sz w:val="20"/>
        </w:rPr>
        <w:t xml:space="preserve">”) were and, if still pending, are being conducted in all material respects in accordance with the protocols, procedures and controls designed and approved for such Studies and with standard medical and scientific research procedures.  Each description of the results of such Studies is accurate and complete in all material respects and fairly presents the data derived from such Studies.  The Company has no knowledge of any other Studies the results of which are inconsistent with, or otherwise call into question, the results described or referred to in the Registration Statement, the Pricing Disclosure Package or the Prospectus.  Except as described in the Registration Statement, the Pricing Disclosure Package and the Prospectus or as otherwise disclosed to the Underwriters, the Company has not received any written notice of, or correspondence from, any Governmental Authority requiring the termination, suspension or material modification of any Studies.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(bbb)    </w:t>
      </w:r>
      <w:r>
        <w:rPr>
          <w:rFonts w:ascii="Times New Roman" w:hAnsi="Times New Roman"/>
          <w:b w:val="false"/>
          <w:i/>
          <w:color w:val="000000"/>
          <w:sz w:val="20"/>
        </w:rPr>
        <w:t>Regulatory Filings</w:t>
      </w:r>
      <w:r>
        <w:rPr>
          <w:rFonts w:ascii="Times New Roman" w:hAnsi="Times New Roman"/>
          <w:b w:val="false"/>
          <w:i w:val="false"/>
          <w:color w:val="000000"/>
          <w:sz w:val="20"/>
        </w:rPr>
        <w:t xml:space="preserve">.  Except as described in each of the Registration Statement, the Pricing Disclosure Package and the Prospectus and except as would not have a Material Adverse Effect, the Company has not failed to file with the FDA any required filing, declaration, listing, registration, report or submission that is a responsibility with the Company with respect to the Company’s products or products candidates that are described or referred to in the Registration Statement, the Pricing Disclosure Package and the Prospectus.  All such filings, declarations, listings, registrations, reports or submissions were, to the knowledge of the Company, in compliance with applicable laws when filed.  To the Company’s knowledge, no deficiencies regarding compliance with applicable law have been asserted by the FDA with respect to any such filings, declarations, listings, registrations, reports or submissions.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(ccc)      </w:t>
      </w:r>
      <w:r>
        <w:rPr>
          <w:rFonts w:ascii="Times New Roman" w:hAnsi="Times New Roman"/>
          <w:b w:val="false"/>
          <w:i/>
          <w:color w:val="000000"/>
          <w:sz w:val="20"/>
        </w:rPr>
        <w:t>Compliance with Healthcare Laws</w:t>
      </w:r>
      <w:r>
        <w:rPr>
          <w:rFonts w:ascii="Times New Roman" w:hAnsi="Times New Roman"/>
          <w:b w:val="false"/>
          <w:i w:val="false"/>
          <w:color w:val="000000"/>
          <w:sz w:val="20"/>
        </w:rPr>
        <w:t>.  Except as described in each of the Registration Statement, the Pricing Disclosure Package and the Prospectus and except as would be reasonably expected to have a Material Adverse Effect, the Company and its subsidiaries are in compliance with all applicable Health Care Laws.  For purposes of this Agreement, “</w:t>
      </w:r>
      <w:r>
        <w:rPr>
          <w:rFonts w:ascii="Times New Roman" w:hAnsi="Times New Roman"/>
          <w:b w:val="false"/>
          <w:i w:val="false"/>
          <w:color w:val="000000"/>
          <w:sz w:val="20"/>
          <w:u w:val="single"/>
        </w:rPr>
        <w:t>Health Care Laws</w:t>
      </w:r>
      <w:r>
        <w:rPr>
          <w:rFonts w:ascii="Times New Roman" w:hAnsi="Times New Roman"/>
          <w:b w:val="false"/>
          <w:i w:val="false"/>
          <w:color w:val="000000"/>
          <w:sz w:val="20"/>
        </w:rPr>
        <w:t xml:space="preserve">” means: (i) the Federal Food, Drug, and Cosmetic Act and the Public Health Service Act and regulations promulgated thereunder; (ii) applicable healthcare-related fraud and abuse laws and regulations; and (iii) the U.S. Health Insurance Portability and Accountability Act of 1996, as amended by the Health Information Technology for Economic and Clinical Health Act, and regulations promulgated thereunder.  Neither the Company nor its subsidiaries has received written notice of any claim, action, suit, proceeding, hearing, enforcement, investigation, arbitration or other action from any court or arbitrator or governmental or regulatory authority or third party alleging that it is in violation of any Health Care Laws, and, to the Company’s knowledge, no such claim, action, suit, proceeding, hearing, enforcement, investigation, arbitration or other action is threatened.  Neither the Company nor its subsidiaries nor, to the knowledge of the Company, any of their respective directors, officers, employees or agents is a party to any corporate integrity agreements, monitoring agreements, consent decrees, settlement orders, or similar agreements with or imposed by any U.S.  governmental or regulatory authority, has been excluded or suspended from participation in any U.S.  federal health care program or human clinical research or, to the knowledge of the Company, is subject to a governmental inquiry, investigation, proceeding or other similar action that could reasonably be expected to result in such suspension or exclusion.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(ddd)    </w:t>
      </w:r>
      <w:r>
        <w:rPr>
          <w:rFonts w:ascii="Times New Roman" w:hAnsi="Times New Roman"/>
          <w:b w:val="false"/>
          <w:i/>
          <w:color w:val="000000"/>
          <w:sz w:val="20"/>
        </w:rPr>
        <w:t>Cyber Security; Data Protection</w:t>
      </w:r>
      <w:r>
        <w:rPr>
          <w:rFonts w:ascii="Times New Roman" w:hAnsi="Times New Roman"/>
          <w:b w:val="false"/>
          <w:i w:val="false"/>
          <w:color w:val="000000"/>
          <w:sz w:val="20"/>
        </w:rPr>
        <w:t>.  Except as would not, individually or in the aggregate, reasonably be expected to have a Material Adverse Effect, the Company and its subsidiaries, to the knowledge of the Company, (i) have implemented and maintained commercially reasonable controls, policies, procedures, and safeguards to maintain and protect their personal, personally identifiable, sensitive, confidential or regulated data (“</w:t>
      </w:r>
      <w:r>
        <w:rPr>
          <w:rFonts w:ascii="Times New Roman" w:hAnsi="Times New Roman"/>
          <w:b w:val="false"/>
          <w:i w:val="false"/>
          <w:color w:val="000000"/>
          <w:sz w:val="20"/>
          <w:u w:val="single"/>
        </w:rPr>
        <w:t>Personal Data</w:t>
      </w:r>
      <w:r>
        <w:rPr>
          <w:rFonts w:ascii="Times New Roman" w:hAnsi="Times New Roman"/>
          <w:b w:val="false"/>
          <w:i w:val="false"/>
          <w:color w:val="000000"/>
          <w:sz w:val="20"/>
        </w:rPr>
        <w:t xml:space="preserve">”) used in connection with their businesses and there have been no breaches, violations, outages or unauthorized uses of or accesses to same, (ii) are presently in compliance with all applicable laws or statutes and all applicable judgments, orders, rules and regulations of any court or arbitrator or governmental or regulatory authority, internal policies and contractual obligations, in each case relating to the privacy and security of Personal Data and to the protection of such Personal Data from unauthorized use, access, misappropriation or modification, and (iii) have taken all necessary actions to comply with the European Union General Data Protection Regulations.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4.            </w:t>
      </w:r>
      <w:r>
        <w:rPr>
          <w:rFonts w:ascii="Times New Roman" w:hAnsi="Times New Roman"/>
          <w:b w:val="false"/>
          <w:i w:val="false"/>
          <w:color w:val="000000"/>
          <w:sz w:val="20"/>
          <w:u w:val="single"/>
        </w:rPr>
        <w:t>Further Agreements of the Company</w:t>
      </w:r>
      <w:r>
        <w:rPr>
          <w:rFonts w:ascii="Times New Roman" w:hAnsi="Times New Roman"/>
          <w:b w:val="false"/>
          <w:i w:val="false"/>
          <w:color w:val="000000"/>
          <w:sz w:val="20"/>
        </w:rPr>
        <w:t xml:space="preserve">.  The Company covenants and agrees with each Underwriter that: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t>
      </w:r>
      <w:r>
        <w:rPr>
          <w:rFonts w:ascii="Times New Roman" w:hAnsi="Times New Roman"/>
          <w:b w:val="false"/>
          <w:i/>
          <w:color w:val="000000"/>
          <w:sz w:val="20"/>
        </w:rPr>
        <w:t>Required Filings.</w:t>
      </w:r>
      <w:r>
        <w:rPr>
          <w:rFonts w:ascii="Times New Roman" w:hAnsi="Times New Roman"/>
          <w:b w:val="false"/>
          <w:i w:val="false"/>
          <w:color w:val="000000"/>
          <w:sz w:val="20"/>
        </w:rPr>
        <w:t xml:space="preserve"> The Company will file the final Prospectus with the Commission within the time periods specified by Rule 424(b) and Rule 430A, 430B or 430C under the Securities Act, will file any Issuer Free Writing Prospectus to the extent required by Rule 433 under the Securities Act; and the Company will file promptly all reports and any definitive proxy or information statements required to be filed by the Company with the Commission pursuant to Section 13(a), 13(c), 14 or 15(d) of the Exchange Act subsequent to the date of the Prospectus and for so long as the delivery of a prospectus is required in connection with the offering or sale of the Securities; and the Company will furnish copies of the Prospectus and each Issuer Free Writing Prospectus (to the extent not previously delivered) to the Underwriters in New York City prior to 10:00 A.M., New York City time, on the business day next succeeding the date of this Agreement in such quantities as the Representative may reasonably request.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(b)        </w:t>
      </w:r>
      <w:r>
        <w:rPr>
          <w:rFonts w:ascii="Times New Roman" w:hAnsi="Times New Roman"/>
          <w:b w:val="false"/>
          <w:i/>
          <w:color w:val="000000"/>
          <w:sz w:val="20"/>
        </w:rPr>
        <w:t>Delivery of Copies.</w:t>
      </w:r>
      <w:r>
        <w:rPr>
          <w:rFonts w:ascii="Times New Roman" w:hAnsi="Times New Roman"/>
          <w:b w:val="false"/>
          <w:i w:val="false"/>
          <w:color w:val="000000"/>
          <w:sz w:val="20"/>
        </w:rPr>
        <w:t>  The Company will deliver, upon written request of the Representative and without charge, (i) to the Representative, conformed copies of the Registration Statement as originally filed and each amendment thereto, in each case including all exhibits and consents filed therewith; and (ii) to each Underwriter (A) a conformed copy of the Registration Statement as originally filed and each amendment thereto (without exhibits) and (B) during the Prospectus Delivery Period (as defined below), as many copies of the Prospectus (including all amendments and supplements thereto and each Issuer Free Writing Prospectus) as the Representative may reasonably request.  As used herein, the term “</w:t>
      </w:r>
      <w:r>
        <w:rPr>
          <w:rFonts w:ascii="Times New Roman" w:hAnsi="Times New Roman"/>
          <w:b w:val="false"/>
          <w:i w:val="false"/>
          <w:color w:val="000000"/>
          <w:sz w:val="20"/>
          <w:u w:val="single"/>
        </w:rPr>
        <w:t>Prospectus Delivery Period</w:t>
      </w:r>
      <w:r>
        <w:rPr>
          <w:rFonts w:ascii="Times New Roman" w:hAnsi="Times New Roman"/>
          <w:b w:val="false"/>
          <w:i w:val="false"/>
          <w:color w:val="000000"/>
          <w:sz w:val="20"/>
        </w:rPr>
        <w:t xml:space="preserve">” means such period of time after the first date of the offering of the Securities as in the opinion of counsel for the Underwriters a prospectus relating to the Securities is required by law to be delivered (or required to be delivered but for Rule 172 under the Securities Act) in connection with sales of the Securities by any Underwriter or dealer.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         </w:t>
      </w:r>
      <w:r>
        <w:rPr>
          <w:rFonts w:ascii="Times New Roman" w:hAnsi="Times New Roman"/>
          <w:b w:val="false"/>
          <w:i/>
          <w:color w:val="000000"/>
          <w:sz w:val="20"/>
        </w:rPr>
        <w:t>Amendments or Supplements, Issuer Free Writing Prospectuses.</w:t>
      </w:r>
      <w:r>
        <w:rPr>
          <w:rFonts w:ascii="Times New Roman" w:hAnsi="Times New Roman"/>
          <w:b w:val="false"/>
          <w:i w:val="false"/>
          <w:color w:val="000000"/>
          <w:sz w:val="20"/>
        </w:rPr>
        <w:t xml:space="preserve">  Before preparing, using, authorizing, approving, referring to or filing any Issuer Free Writing Prospectus, and before filing any amendment or supplement to the Registration Statement, the Pricing Disclosure Package or the Prospectus, the Company will furnish to the Representative and counsel for the Underwriters a copy of the proposed Issuer Free Writing Prospectus, amendment or supplement for review and will not prepare, use, authorize, approve, refer to or file any such Issuer Free Writing Prospectus or file any such proposed amendment or supplement to which the Representative reasonably objects in a timely manner.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        </w:t>
      </w:r>
      <w:r>
        <w:rPr>
          <w:rFonts w:ascii="Times New Roman" w:hAnsi="Times New Roman"/>
          <w:b w:val="false"/>
          <w:i/>
          <w:color w:val="000000"/>
          <w:sz w:val="20"/>
        </w:rPr>
        <w:t>Notice to the Representative.</w:t>
      </w:r>
      <w:r>
        <w:rPr>
          <w:rFonts w:ascii="Times New Roman" w:hAnsi="Times New Roman"/>
          <w:b w:val="false"/>
          <w:i w:val="false"/>
          <w:color w:val="000000"/>
          <w:sz w:val="20"/>
        </w:rPr>
        <w:t xml:space="preserve">  The Company will advise the Representative promptly, and confirm such advice in writing (which may be by electronic mail), (i) when the Registration Statement has become effective; (ii) when any amendment to the Registration Statement has been filed or becomes effective; (iii) when any supplement to the Pricing Disclosure Package, the Prospectus or any Issuer Free Writing Prospectus or any amendment to the Prospectus has been filed or distributed; (iv) of any request by the Commission for any amendment to the Registration Statement or any amendment or supplement to the Prospectus or the receipt of any comments from the Commission relating to the Registration Statement or any other request by the Commission for any additional information; (v) of the issuance by the Commission of any order suspending the effectiveness of the Registration Statement or preventing or suspending the use of any Preliminary Prospectus, any of the Pricing Disclosure Package or the Prospectus or the initiation or, to the knowledge of the Company, threatening of any proceeding for that purpose or pursuant to Section 8A of the Securities Act; (vi) of the occurrence of any event or development within the Prospectus Delivery Period as a result of which the Prospectus, any of the Pricing Disclosure Package or any Issuer Free Writing Prospectus as then amended or supplemented would include any untrue statement of a material fact or omit to state a material fact necessary in order to make the statements therein, in the light of the circumstances existing when the Prospectus, the Pricing Disclosure Package or any such Issuer Free Writing Prospectus is delivered to a purchaser, not misleading; (vii) of the receipt by the Company of any notice of objection of the Commission to the use of the Registration Statement or any post-effective amendment thereto pursuant to Rule 401(g)(2) under the Securities Act; and (viii) of the receipt by the Company of any notice with respect to any suspension of the qualification of the Securities for offer and sale in any jurisdiction, or the initiation or, to the knowledge of the Company, threatening of any proceeding for such purpose; and the Company will use its reasonable best efforts to prevent the issuance of any such order suspending the effectiveness of the Registration Statement, preventing or suspending the use of any Preliminary Prospectus, any of the Pricing Disclosure Package or the Prospectus or suspending any such qualification of the Securities and, if any such order is issued, will use reasonable efforts to obtain as soon as possible the withdrawal thereof.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(e)          </w:t>
      </w:r>
      <w:r>
        <w:rPr>
          <w:rFonts w:ascii="Times New Roman" w:hAnsi="Times New Roman"/>
          <w:b w:val="false"/>
          <w:i/>
          <w:color w:val="000000"/>
          <w:sz w:val="20"/>
        </w:rPr>
        <w:t>Ongoing Compliance.</w:t>
      </w:r>
      <w:r>
        <w:rPr>
          <w:rFonts w:ascii="Times New Roman" w:hAnsi="Times New Roman"/>
          <w:b w:val="false"/>
          <w:i w:val="false"/>
          <w:color w:val="000000"/>
          <w:sz w:val="20"/>
        </w:rPr>
        <w:t xml:space="preserve"> (i) If during the Prospectus Delivery Period (A) any event or development shall occur or condition shall exist as a result of which the Prospectus as then amended or supplemented would include any untrue statement of a material fact or omit to state any material fact necessary in order to make the statements therein, in the light of the circumstances existing when the Prospectus is delivered to a purchaser, not misleading or (B) it is necessary to amend or supplement the Prospectus to comply with law, the Company will promptly notify the Underwriters thereof and forthwith prepare and, subject to paragraph (c) above, file with the Commission and furnish to the Underwriters and to such dealers as the Representative may designate such amendments or supplements to the Prospectus (or any document to be filed with the Commission and incorporated by reference therein) as may be necessary so that the statements in the Prospectus as so amended or supplemented (or any document to be filed with the Commission and incorporated by reference therein) will not, in the light of the circumstances existing when the Prospectus is delivered to a purchaser, be misleading or so that the Prospectus will comply with law and (ii) if at any time prior to the Closing Date (A) any event or development shall occur or condition shall exist as a result of which the Pricing Disclosure Package as then amended or supplemented would include any untrue statement of a material fact or omit to state any material fact necessary in order to make the statements therein, in the light of the circumstances existing when the Pricing Disclosure Package is delivered to a purchaser, not misleading or (B) it is necessary to amend or supplement the Pricing Disclosure Package to comply with law, the Company will promptly notify the Underwriters thereof and forthwith prepare and, subject to paragraph (c) above, file with the Commission (to the extent required) and furnish to the Underwriters and to such dealers as the Representative may designate, such amendments or supplements to the Pricing Disclosure Package (or any document to be filed with the Commission and incorporated by reference therein) as may be necessary so that the statements in the Pricing Disclosure Package as so amended or supplemented will not, in the light of the circumstances existing when the Pricing Disclosure Package is delivered to a purchaser, be misleading or so that the Pricing Disclosure Package will comply with law.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         </w:t>
      </w:r>
      <w:r>
        <w:rPr>
          <w:rFonts w:ascii="Times New Roman" w:hAnsi="Times New Roman"/>
          <w:b w:val="false"/>
          <w:i/>
          <w:color w:val="000000"/>
          <w:sz w:val="20"/>
        </w:rPr>
        <w:t xml:space="preserve">Blue Sky Compliance. </w:t>
      </w:r>
      <w:r>
        <w:rPr>
          <w:rFonts w:ascii="Times New Roman" w:hAnsi="Times New Roman"/>
          <w:b w:val="false"/>
          <w:i w:val="false"/>
          <w:color w:val="000000"/>
          <w:sz w:val="20"/>
        </w:rPr>
        <w:t xml:space="preserve">The Company will qualify the Securities for offer and sale under the securities or Blue Sky laws of such jurisdictions as the Representative shall reasonably request and will continue such qualifications in effect so long as required for distribution of the Securities;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shall not be required to (i) qualify as a foreign corporation or other entity or as a dealer in securities in any such jurisdiction where it would not otherwise be required to so qualify, (ii) file any general consent to service of process in any such jurisdiction or (iii) subject itself to taxation in any such jurisdiction if it is not otherwise so subject.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19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(g)        </w:t>
      </w:r>
      <w:r>
        <w:rPr>
          <w:rFonts w:ascii="Times New Roman" w:hAnsi="Times New Roman"/>
          <w:b w:val="false"/>
          <w:i/>
          <w:color w:val="000000"/>
          <w:sz w:val="20"/>
        </w:rPr>
        <w:t xml:space="preserve">Earning Statement.  </w:t>
      </w:r>
      <w:r>
        <w:rPr>
          <w:rFonts w:ascii="Times New Roman" w:hAnsi="Times New Roman"/>
          <w:b w:val="false"/>
          <w:i w:val="false"/>
          <w:color w:val="000000"/>
          <w:sz w:val="20"/>
        </w:rPr>
        <w:t xml:space="preserve">The Company will make generally available to its security holders and the Representative as soon as practicable an earning statement that satisfies the provisions of Section 11(a) of the Securities Act and Rule 158 of the Commission promulgated thereunder covering a period of at least twelve months beginning with the first fiscal quarter of the Company occurring after the “effective date” (as defined in Rule 158) of the Registration Statement;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Company will be deemed to have furnished such earnings statement to its security holders and the Representative to the extent they are filed on the Commission’s Electronic Data Gathering, Analysis, and Retrieval system.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(h)          </w:t>
      </w:r>
      <w:r>
        <w:rPr>
          <w:rFonts w:ascii="Times New Roman" w:hAnsi="Times New Roman"/>
          <w:b w:val="false"/>
          <w:i/>
          <w:color w:val="000000"/>
          <w:sz w:val="20"/>
        </w:rPr>
        <w:t>Clear Market.</w:t>
      </w:r>
      <w:r>
        <w:rPr>
          <w:rFonts w:ascii="Times New Roman" w:hAnsi="Times New Roman"/>
          <w:b w:val="false"/>
          <w:i w:val="false"/>
          <w:color w:val="000000"/>
          <w:sz w:val="20"/>
        </w:rPr>
        <w:t xml:space="preserve">  For a period of 90 days after the date of the Prospectus, the Company will not (i) offer, pledge, sell, contract to sell, sell any option or contract to purchase, purchase any option or contract to sell, grant any option, right or warrant to purchase, lend or otherwise transfer or dispose of, directly or indirectly, or submit to, or file with, the Commission a registration statement under the Securities Act relating to, any shares of Stock or any securities convertible into or exercisable or exchangeable for Stock, or publicly disclose the intention to undertake any of the foregoing, or (ii) enter into any swap or other agreement that transfers, in whole or in part, any of the economic consequences of ownership of the Stock or any such other securities, whether any such transaction described in clause (i) or (ii) above is to be settled by delivery of Stock or such other securities, in cash or otherwise, without the prior written consent of the Representative, other than (A) the Securities to be sold hereunder, (B) any Ordinary Shares granted or issued upon the exercise of options granted under Company Share Plans, (C) any options and other awards granted under a Company Share Plan described in the Registration Statement, the Pricing Disclosure Package and the Prospectus, (D) the filing by the Company of any registration statement on Form S-8 or a successor form thereto relating to a Company Share Plan described in the Registration Statement, the Pricing Disclosure Package and the Prospectus, and (E) Ordinary Shares or other securities of the Company issued in connection with a transaction with an unaffiliated third party that includes a bona fide commercial relationship (including joint ventures, marketing or distribution arrangements, collaboration agreements or intellectual property license agreements) or any acquisition of assets or equity of another entity (whether by merger, consolidation, acquisition of equity interests or otherwise), </w:t>
      </w:r>
      <w:r>
        <w:rPr>
          <w:rFonts w:ascii="Times New Roman" w:hAnsi="Times New Roman"/>
          <w:b w:val="false"/>
          <w:i/>
          <w:color w:val="000000"/>
          <w:sz w:val="20"/>
        </w:rPr>
        <w:t>provided</w:t>
      </w:r>
      <w:r>
        <w:rPr>
          <w:rFonts w:ascii="Times New Roman" w:hAnsi="Times New Roman"/>
          <w:b w:val="false"/>
          <w:i w:val="false"/>
          <w:color w:val="000000"/>
          <w:sz w:val="20"/>
        </w:rPr>
        <w:t xml:space="preserve"> that (x) the aggregate number of shares issued pursuant to this clause (E) shall not exceed five percent (5%) of the total number of outstanding Ordinary Shares immediately following the issuance and sale of the Securities pursuant hereto and (y) the recipient of any such Ordinary Shares or securities issued pursuant to this clause (E) during the 90-day restricted period described above shall enter into an agreement substantially in the form of Exhibit A hereto.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       </w:t>
      </w:r>
      <w:r>
        <w:rPr>
          <w:rFonts w:ascii="Times New Roman" w:hAnsi="Times New Roman"/>
          <w:b w:val="false"/>
          <w:i/>
          <w:color w:val="000000"/>
          <w:sz w:val="20"/>
        </w:rPr>
        <w:t>Use of Proceeds.</w:t>
      </w:r>
      <w:r>
        <w:rPr>
          <w:rFonts w:ascii="Times New Roman" w:hAnsi="Times New Roman"/>
          <w:b w:val="false"/>
          <w:i w:val="false"/>
          <w:color w:val="000000"/>
          <w:sz w:val="20"/>
        </w:rPr>
        <w:t xml:space="preserve">  The Company will apply the net proceeds from the sale of the Securities as described in each of the Registration Statement, the Pricing Disclosure Package and the Prospectus under the heading “Use of Proceeds”.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(j)          </w:t>
      </w:r>
      <w:r>
        <w:rPr>
          <w:rFonts w:ascii="Times New Roman" w:hAnsi="Times New Roman"/>
          <w:b w:val="false"/>
          <w:i/>
          <w:color w:val="000000"/>
          <w:sz w:val="20"/>
        </w:rPr>
        <w:t>No Stabilization.</w:t>
      </w:r>
      <w:r>
        <w:rPr>
          <w:rFonts w:ascii="Times New Roman" w:hAnsi="Times New Roman"/>
          <w:b w:val="false"/>
          <w:i w:val="false"/>
          <w:color w:val="000000"/>
          <w:sz w:val="20"/>
        </w:rPr>
        <w:t xml:space="preserve">  The Company will not take, directly or indirectly, without giving effect to activities by the Underwriters, any action designed to or that could reasonably be expected to cause or result in any stabilization or manipulation of the price of the Ordinary Shares.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(k)         </w:t>
      </w:r>
      <w:r>
        <w:rPr>
          <w:rFonts w:ascii="Times New Roman" w:hAnsi="Times New Roman"/>
          <w:b w:val="false"/>
          <w:i/>
          <w:color w:val="000000"/>
          <w:sz w:val="20"/>
        </w:rPr>
        <w:t>Exchange Listing.</w:t>
      </w:r>
      <w:r>
        <w:rPr>
          <w:rFonts w:ascii="Times New Roman" w:hAnsi="Times New Roman"/>
          <w:b w:val="false"/>
          <w:i w:val="false"/>
          <w:color w:val="000000"/>
          <w:sz w:val="20"/>
        </w:rPr>
        <w:t xml:space="preserve">  The Company will use its reasonable best efforts to list, subject to notice of issuance, the Securities on the Exchange.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(l)          </w:t>
      </w:r>
      <w:r>
        <w:rPr>
          <w:rFonts w:ascii="Times New Roman" w:hAnsi="Times New Roman"/>
          <w:b w:val="false"/>
          <w:i/>
          <w:color w:val="000000"/>
          <w:sz w:val="20"/>
        </w:rPr>
        <w:t>Reports.</w:t>
      </w:r>
      <w:r>
        <w:rPr>
          <w:rFonts w:ascii="Times New Roman" w:hAnsi="Times New Roman"/>
          <w:b w:val="false"/>
          <w:i w:val="false"/>
          <w:color w:val="000000"/>
          <w:sz w:val="20"/>
        </w:rPr>
        <w:t xml:space="preserve">  For a period of one year from the date of this Agreement, so long as the Securities are outstanding, the Company will furnish to the Representative, as soon as they are available, copies of all reports or other communications (financial or other) furnished to holders of the Securities, and copies of any reports and financial statements furnished to or filed with the Commission or any national securities exchange or automatic quotation system; </w:t>
      </w:r>
      <w:r>
        <w:rPr>
          <w:rFonts w:ascii="Times New Roman" w:hAnsi="Times New Roman"/>
          <w:b w:val="false"/>
          <w:i/>
          <w:color w:val="000000"/>
          <w:sz w:val="20"/>
        </w:rPr>
        <w:t>provided</w:t>
      </w:r>
      <w:r>
        <w:rPr>
          <w:rFonts w:ascii="Times New Roman" w:hAnsi="Times New Roman"/>
          <w:b w:val="false"/>
          <w:i w:val="false"/>
          <w:color w:val="000000"/>
          <w:sz w:val="20"/>
        </w:rPr>
        <w:t xml:space="preserve"> the Company will be deemed to have furnished such reports and financial statements to the Representative to the extent they are filed on the Commission’s Electronic Data Gathering, Analysis, and Retrieval system.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(m)        </w:t>
      </w:r>
      <w:r>
        <w:rPr>
          <w:rFonts w:ascii="Times New Roman" w:hAnsi="Times New Roman"/>
          <w:b w:val="false"/>
          <w:i/>
          <w:color w:val="000000"/>
          <w:sz w:val="20"/>
        </w:rPr>
        <w:t>Record Retention</w:t>
      </w:r>
      <w:r>
        <w:rPr>
          <w:rFonts w:ascii="Times New Roman" w:hAnsi="Times New Roman"/>
          <w:b w:val="false"/>
          <w:i w:val="false"/>
          <w:color w:val="000000"/>
          <w:sz w:val="20"/>
        </w:rPr>
        <w:t xml:space="preserve">.  The Company will, pursuant to reasonable procedures developed in good faith, retain copies of each Issuer Free Writing Prospectus that is not filed with the Commission in accordance with Rule 433 under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(n)          </w:t>
      </w:r>
      <w:r>
        <w:rPr>
          <w:rFonts w:ascii="Times New Roman" w:hAnsi="Times New Roman"/>
          <w:b w:val="false"/>
          <w:i/>
          <w:color w:val="000000"/>
          <w:sz w:val="20"/>
        </w:rPr>
        <w:t xml:space="preserve">Filings. </w:t>
      </w:r>
      <w:r>
        <w:rPr>
          <w:rFonts w:ascii="Times New Roman" w:hAnsi="Times New Roman"/>
          <w:b w:val="false"/>
          <w:i w:val="false"/>
          <w:color w:val="000000"/>
          <w:sz w:val="20"/>
        </w:rPr>
        <w:t xml:space="preserve">The Company will file with the Commission such reports as may be required by Rule 463 under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         </w:t>
      </w:r>
      <w:r>
        <w:rPr>
          <w:rFonts w:ascii="Times New Roman" w:hAnsi="Times New Roman"/>
          <w:b w:val="false"/>
          <w:i/>
          <w:color w:val="000000"/>
          <w:sz w:val="20"/>
        </w:rPr>
        <w:t>Foreign Private Issuer</w:t>
      </w:r>
      <w:r>
        <w:rPr>
          <w:rFonts w:ascii="Times New Roman" w:hAnsi="Times New Roman"/>
          <w:b w:val="false"/>
          <w:i w:val="false"/>
          <w:color w:val="000000"/>
          <w:sz w:val="20"/>
        </w:rPr>
        <w:t xml:space="preserve">.  The Company will promptly notify the Representative if the Company ceases to be a Foreign Private Issuer at any time prior to the later of (i) completion of the distribution of the Securities within the meaning of the Securities Act and (ii) completion of the 90-day restricted period referred to in Section 4(h) 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(p)         </w:t>
      </w:r>
      <w:r>
        <w:rPr>
          <w:rFonts w:ascii="Times New Roman" w:hAnsi="Times New Roman"/>
          <w:b w:val="false"/>
          <w:i/>
          <w:color w:val="000000"/>
          <w:sz w:val="20"/>
        </w:rPr>
        <w:t>Tax Indemnity</w:t>
      </w:r>
      <w:r>
        <w:rPr>
          <w:rFonts w:ascii="Times New Roman" w:hAnsi="Times New Roman"/>
          <w:b w:val="false"/>
          <w:i w:val="false"/>
          <w:color w:val="000000"/>
          <w:sz w:val="20"/>
        </w:rPr>
        <w:t xml:space="preserve">.  The Company will indemnify and hold harmless the Underwriters against any documentary, stamp, registration or similar issuance tax, including any interest and penalties, on the sale of the Securities by the Company to the Underwriters and on the execution and delivery of this Agreement.  All indemnity payments to be made by the Company hereunder in respect of this Section 4(p) shall be made without withholding or deduction for or on account of any present or future Dutch or German taxes, duties or governmental charges whatsoever unless the Company is compelled by law to deduct or withhold such taxes, duties or charges.  In that event, and except for any net income, capital gains or franchise taxes imposed on the Underwriters by the Netherlands, Germany or the United States or any political subdivision of taxing authority thereof or therein as a result of any present or former connection (other than any connection resulting from the transactions contemplated by this Agreement) between the Underwriters and the jurisdiction imposing such withholding or deductions, the Company shall pay such additional amounts as may be necessary in order to ensure that the net amounts received after such withholding or deductions shall equal the amounts that would have been received if no withholding or deduction has been made.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5.            </w:t>
      </w:r>
      <w:r>
        <w:rPr>
          <w:rFonts w:ascii="Times New Roman" w:hAnsi="Times New Roman"/>
          <w:b w:val="false"/>
          <w:i w:val="false"/>
          <w:color w:val="000000"/>
          <w:sz w:val="20"/>
          <w:u w:val="single"/>
        </w:rPr>
        <w:t>Certain Agreements of the Underwriters</w:t>
      </w:r>
      <w:r>
        <w:rPr>
          <w:rFonts w:ascii="Times New Roman" w:hAnsi="Times New Roman"/>
          <w:b w:val="false"/>
          <w:i w:val="false"/>
          <w:color w:val="000000"/>
          <w:sz w:val="20"/>
        </w:rPr>
        <w:t xml:space="preserve">.  Each Underwriter hereby severally represents and agrees that: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It has not used, authorized use of, referred to or participated in the planning for the use of, and will not use, authorize use of, refer to or participate in the planning for use of, any “free writing prospectus”, as defined in Rule 405 under the Securities Act (which term includes use of any written information furnished to the Commission by the Company and not incorporated by reference into the Registration Statement and any press release issued by the Company) other than (i) a free writing prospectus that contains no “issuer information” (as defined in Rule 433(h)(2) under the Securities Act) that was not included (including through incorporation by reference) in the Preliminary Prospectus or a previously filed Issuer Free Writing Prospectus, (ii) any Issuer Free Writing Prospectus listed on Annex A or prepared pursuant to Section 3(c) or Section 4(c) above (including any electronic road show), or (iii) any free writing prospectus prepared by such Underwriter and approved by the Company in advance in writing (each such free writing prospectus referred to in clause (i) or (iii), an “</w:t>
      </w:r>
      <w:r>
        <w:rPr>
          <w:rFonts w:ascii="Times New Roman" w:hAnsi="Times New Roman"/>
          <w:b w:val="false"/>
          <w:i w:val="false"/>
          <w:color w:val="000000"/>
          <w:sz w:val="20"/>
          <w:u w:val="single"/>
        </w:rPr>
        <w:t>Underwriter Free Writing Prospectus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(b)         It has not used and will not use, without the prior written consent of the Company, any free writing prospectus that contains the final terms of the offering of the Securities unless such terms have previously been included in a free writing prospectus filed with the Commission.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        It is not subject to any pending proceeding under Section 8A of the Securities Act with respect to the offering (and will promptly notify the Company if any such proceeding against it is initiated during the Prospectus Delivery Period).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        It will not offer, sell or otherwise make available any Securities to any retail investor in the European Economic Area.  For these purposes, a retail investor means a person who is one (or more) of: (i) a retail client as defined in point (11) of Article 4(1) of Directive 2014/65/EU (as amended, “</w:t>
      </w:r>
      <w:r>
        <w:rPr>
          <w:rFonts w:ascii="Times New Roman" w:hAnsi="Times New Roman"/>
          <w:b w:val="false"/>
          <w:i w:val="false"/>
          <w:color w:val="000000"/>
          <w:sz w:val="20"/>
          <w:u w:val="single"/>
        </w:rPr>
        <w:t>MiFID II</w:t>
      </w:r>
      <w:r>
        <w:rPr>
          <w:rFonts w:ascii="Times New Roman" w:hAnsi="Times New Roman"/>
          <w:b w:val="false"/>
          <w:i w:val="false"/>
          <w:color w:val="000000"/>
          <w:sz w:val="20"/>
        </w:rPr>
        <w:t xml:space="preserve">”); (ii) a customer within the meaning of Directive 2002/92/EC, where that customer would not qualify as a professional client as defined in point (10) of Article 4(1) of MiFID II or (iii) not a qualified investor as defined in Regulation (EU) 2017/1129.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6.          </w:t>
      </w:r>
      <w:r>
        <w:rPr>
          <w:rFonts w:ascii="Times New Roman" w:hAnsi="Times New Roman"/>
          <w:b w:val="false"/>
          <w:i w:val="false"/>
          <w:color w:val="000000"/>
          <w:sz w:val="20"/>
          <w:u w:val="single"/>
        </w:rPr>
        <w:t>Conditions of Underwriters’ Obligations</w:t>
      </w:r>
      <w:r>
        <w:rPr>
          <w:rFonts w:ascii="Times New Roman" w:hAnsi="Times New Roman"/>
          <w:b w:val="false"/>
          <w:i w:val="false"/>
          <w:color w:val="000000"/>
          <w:sz w:val="20"/>
        </w:rPr>
        <w:t xml:space="preserve">.  The obligation of each Underwriter to purchase the Securities on the Closing Date, as provided herein is subject to the performance by the Company of its covenants and other obligations hereunder and to the following additional conditions: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t>
      </w:r>
      <w:r>
        <w:rPr>
          <w:rFonts w:ascii="Times New Roman" w:hAnsi="Times New Roman"/>
          <w:b w:val="false"/>
          <w:i/>
          <w:color w:val="000000"/>
          <w:sz w:val="20"/>
        </w:rPr>
        <w:t>Registration Compliance; No Stop Order.</w:t>
      </w:r>
      <w:r>
        <w:rPr>
          <w:rFonts w:ascii="Times New Roman" w:hAnsi="Times New Roman"/>
          <w:b w:val="false"/>
          <w:i w:val="false"/>
          <w:color w:val="000000"/>
          <w:sz w:val="20"/>
        </w:rPr>
        <w:t xml:space="preserve">  No order suspending the effectiveness of the Registration Statement shall be in effect, and no proceeding for such purpose or pursuant to Section 8A under the Securities Act shall be pending before or, to the knowledge of the Company, threatened by the Commission; the Prospectus and each Issuer Free Writing Prospectus shall have been timely filed with the Commission under the Securities Act (in the case of an Issuer Free Writing Prospectus, to the extent required by Rule 433 under the Securities Act) and in accordance with Section 4(a) hereof; and all requests by the Commission for additional information shall have been complied with to the reasonable satisfaction of the Representative.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w:t>
      </w:r>
      <w:r>
        <w:rPr>
          <w:rFonts w:ascii="Times New Roman" w:hAnsi="Times New Roman"/>
          <w:b w:val="false"/>
          <w:i/>
          <w:color w:val="000000"/>
          <w:sz w:val="20"/>
        </w:rPr>
        <w:t>Representations and Warranties.</w:t>
      </w:r>
      <w:r>
        <w:rPr>
          <w:rFonts w:ascii="Times New Roman" w:hAnsi="Times New Roman"/>
          <w:b w:val="false"/>
          <w:i w:val="false"/>
          <w:color w:val="000000"/>
          <w:sz w:val="20"/>
        </w:rPr>
        <w:t xml:space="preserve">  The representations and warranties of the Company contained herein shall be true and correct on the date hereof and on and as of the Closing Date; and the statements of the Company and its officers made in any certificates delivered pursuant to this Agreement shall be true and correct on and as of the Closing Date.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        </w:t>
      </w:r>
      <w:r>
        <w:rPr>
          <w:rFonts w:ascii="Times New Roman" w:hAnsi="Times New Roman"/>
          <w:b w:val="false"/>
          <w:i/>
          <w:color w:val="000000"/>
          <w:sz w:val="20"/>
        </w:rPr>
        <w:t xml:space="preserve">No Material Adverse Change. </w:t>
      </w:r>
      <w:r>
        <w:rPr>
          <w:rFonts w:ascii="Times New Roman" w:hAnsi="Times New Roman"/>
          <w:b w:val="false"/>
          <w:i w:val="false"/>
          <w:color w:val="000000"/>
          <w:sz w:val="20"/>
        </w:rPr>
        <w:t xml:space="preserve">No event or condition of a type described in Section 3(h) hereof shall have occurred or shall exist, which event or condition is not described in the Pricing Disclosure Package (excluding any amendment or supplement thereto) and the Prospectus (excluding any amendment or supplement thereto) and the effect of which in the judgment of the Representative makes it impracticable or inadvisable to proceed with the offering, sale or delivery of the Securities on the Closing Date , on the terms and in the manner contemplated by this Agreement, the Pricing Disclosure Package and the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(d)        </w:t>
      </w:r>
      <w:r>
        <w:rPr>
          <w:rFonts w:ascii="Times New Roman" w:hAnsi="Times New Roman"/>
          <w:b w:val="false"/>
          <w:i/>
          <w:color w:val="000000"/>
          <w:sz w:val="20"/>
        </w:rPr>
        <w:t>Officer’s Certificate.</w:t>
      </w:r>
      <w:r>
        <w:rPr>
          <w:rFonts w:ascii="Times New Roman" w:hAnsi="Times New Roman"/>
          <w:b w:val="false"/>
          <w:i w:val="false"/>
          <w:color w:val="000000"/>
          <w:sz w:val="20"/>
        </w:rPr>
        <w:t xml:space="preserve">  The Representative shall have received on and as of the Closing Date, (x) a certificate on behalf of the Company of the chief financial officer of the Company and one additional senior executive officer of the Company who is satisfactory to the Representative (i) confirming that such officers have carefully reviewed the Registration Statement, the Pricing Disclosure Package and the Prospectus and, to the knowledge of such officers, the representations set forth in Sections 3(a) and 3(b) hereof are true and correct, (ii) confirming that the other representations and warranties of the Company in this Agreement are true and correct and that the Company has complied with all agreements and satisfied all conditions on its part to be performed or satisfied hereunder at or prior to the Closing Date, and (iii) to the effect set forth in paragraphs (a) and (c) above.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        </w:t>
      </w:r>
      <w:r>
        <w:rPr>
          <w:rFonts w:ascii="Times New Roman" w:hAnsi="Times New Roman"/>
          <w:b w:val="false"/>
          <w:i/>
          <w:color w:val="000000"/>
          <w:sz w:val="20"/>
        </w:rPr>
        <w:t>Chief Financial Officer’s Certificate</w:t>
      </w:r>
      <w:r>
        <w:rPr>
          <w:rFonts w:ascii="Times New Roman" w:hAnsi="Times New Roman"/>
          <w:b w:val="false"/>
          <w:i w:val="false"/>
          <w:color w:val="000000"/>
          <w:sz w:val="20"/>
        </w:rPr>
        <w:t xml:space="preserve">.  On the date of this Agreement and on the Closing Date, the Company shall have furnished to the Representative a certificate, dated the respective dates of delivery thereof and addressed to the Underwriters, of its chief financial officer with respect to certain financial data contained in the Pricing Disclosure Package and the Prospectus, providing “management comfort” with respect to such information, in form and substance reasonably satisfactory to the Representative.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        </w:t>
      </w:r>
      <w:r>
        <w:rPr>
          <w:rFonts w:ascii="Times New Roman" w:hAnsi="Times New Roman"/>
          <w:b w:val="false"/>
          <w:i/>
          <w:color w:val="000000"/>
          <w:sz w:val="20"/>
        </w:rPr>
        <w:t xml:space="preserve">Comfort Letters. </w:t>
      </w:r>
      <w:r>
        <w:rPr>
          <w:rFonts w:ascii="Times New Roman" w:hAnsi="Times New Roman"/>
          <w:b w:val="false"/>
          <w:i w:val="false"/>
          <w:color w:val="000000"/>
          <w:sz w:val="20"/>
        </w:rPr>
        <w:t xml:space="preserve">On the date of this Agreement and on the Closing Date, KPMG AG Wirtschaftsprüfungsgesellschaft and EY GmbH &amp; Co. KG Wirtschaftsprüfungsgesellschaft each shall have furnished to the Representative, at the request of the Company, letters, dated the respective dates of delivery thereof and addressed to the Underwriters, in form and substance reasonably satisfactory to the Representative, containing statements and information of the type customarily included in accountants’ “comfort letters” to underwriters with respect to the financial statements and certain financial information contained in each of the Registration Statement, the Pricing Disclosure Package and the Prospectus;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letters delivered on the Closing Date, shall use a “cut-off” date no more than two business days prior to such Closing Date.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       </w:t>
      </w:r>
      <w:r>
        <w:rPr>
          <w:rFonts w:ascii="Times New Roman" w:hAnsi="Times New Roman"/>
          <w:b w:val="false"/>
          <w:i/>
          <w:color w:val="000000"/>
          <w:sz w:val="20"/>
        </w:rPr>
        <w:t xml:space="preserve">Opinion and 10b-5 Statement of Counsel for the Company. </w:t>
      </w:r>
      <w:r>
        <w:rPr>
          <w:rFonts w:ascii="Times New Roman" w:hAnsi="Times New Roman"/>
          <w:b w:val="false"/>
          <w:i w:val="false"/>
          <w:color w:val="000000"/>
          <w:sz w:val="20"/>
        </w:rPr>
        <w:t xml:space="preserve">Kirkland &amp; Ellis LLP, counsel for the Company, shall have furnished to the Representative, at the request of the Company, their written opinion and 10b-5 statement, dated the Closing Date, and addressed to the Underwriters, in form and substance reasonably satisfactory to the Representative.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(h)        </w:t>
      </w:r>
      <w:r>
        <w:rPr>
          <w:rFonts w:ascii="Times New Roman" w:hAnsi="Times New Roman"/>
          <w:b w:val="false"/>
          <w:i/>
          <w:color w:val="000000"/>
          <w:sz w:val="20"/>
        </w:rPr>
        <w:t>Opinion of Dutch Counsel for the Company</w:t>
      </w:r>
      <w:r>
        <w:rPr>
          <w:rFonts w:ascii="Times New Roman" w:hAnsi="Times New Roman"/>
          <w:b w:val="false"/>
          <w:i w:val="false"/>
          <w:color w:val="000000"/>
          <w:sz w:val="20"/>
        </w:rPr>
        <w:t xml:space="preserve">.  NautaDutilh N.V., Dutch counsel for the Company, shall have furnished to the Representative, at the request of the Company, their written opinion, dated the Closing Date, and addressed to the Underwriters, in form and substance reasonably satisfactory to the Representative.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         </w:t>
      </w:r>
      <w:r>
        <w:rPr>
          <w:rFonts w:ascii="Times New Roman" w:hAnsi="Times New Roman"/>
          <w:b w:val="false"/>
          <w:i/>
          <w:color w:val="000000"/>
          <w:sz w:val="20"/>
        </w:rPr>
        <w:t>Opinion of IP Counsel for the Company.</w:t>
      </w:r>
      <w:r>
        <w:rPr>
          <w:rFonts w:ascii="Times New Roman" w:hAnsi="Times New Roman"/>
          <w:b w:val="false"/>
          <w:i w:val="false"/>
          <w:color w:val="000000"/>
          <w:sz w:val="20"/>
        </w:rPr>
        <w:t xml:space="preserve">  Zwicker Schnappauf &amp; Partner Patentanwälte, intellectual property counsel for the Company, shall have furnished to the Representative, at the request of the Company, their written opinion, dated the Closing Date, and addressed to the Underwriters, in form and substance reasonably satisfactory to the Representative and previously agreed upon with the Representative.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(j)         </w:t>
      </w:r>
      <w:r>
        <w:rPr>
          <w:rFonts w:ascii="Times New Roman" w:hAnsi="Times New Roman"/>
          <w:b w:val="false"/>
          <w:i/>
          <w:color w:val="000000"/>
          <w:sz w:val="20"/>
        </w:rPr>
        <w:t>Opinion and 10b-5 Statement of Counsel for the Underwriters.</w:t>
      </w:r>
      <w:r>
        <w:rPr>
          <w:rFonts w:ascii="Times New Roman" w:hAnsi="Times New Roman"/>
          <w:b w:val="false"/>
          <w:i w:val="false"/>
          <w:color w:val="000000"/>
          <w:sz w:val="20"/>
        </w:rPr>
        <w:t xml:space="preserve">  The Representative shall have received on and as of the Closing Date,  an opinion and 10b-5 statement addressed to the Underwriters of Mintz, Levin, Cohn, Ferris, Glovsky and Popeo, P.C. , counsel for the Underwriters, with respect to such matters as the Representative may reasonably request, and such counsel shall have received such documents and information as they may reasonably request to enable them to pass upon such matters.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(k)         </w:t>
      </w:r>
      <w:r>
        <w:rPr>
          <w:rFonts w:ascii="Times New Roman" w:hAnsi="Times New Roman"/>
          <w:b w:val="false"/>
          <w:i/>
          <w:color w:val="000000"/>
          <w:sz w:val="20"/>
        </w:rPr>
        <w:t>No Legal Impediment to Issuance and/or Sale.</w:t>
      </w:r>
      <w:r>
        <w:rPr>
          <w:rFonts w:ascii="Times New Roman" w:hAnsi="Times New Roman"/>
          <w:b w:val="false"/>
          <w:i w:val="false"/>
          <w:color w:val="000000"/>
          <w:sz w:val="20"/>
        </w:rPr>
        <w:t xml:space="preserve">  No action shall have been taken and no statute, rule, regulation or order shall have been enacted, adopted or issued by any federal, state or foreign governmental or regulatory authority that would, as of the Closing Date, prevent the issuance or sale of the Securities; and no injunction or order of any federal, state or foreign court shall have been issued that would, as of the Closing Date, prevent the issuance or sale of the Securities.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(l)        </w:t>
      </w:r>
      <w:r>
        <w:rPr>
          <w:rFonts w:ascii="Times New Roman" w:hAnsi="Times New Roman"/>
          <w:b w:val="false"/>
          <w:i/>
          <w:color w:val="000000"/>
          <w:sz w:val="20"/>
        </w:rPr>
        <w:t>Good Standing</w:t>
      </w:r>
      <w:r>
        <w:rPr>
          <w:rFonts w:ascii="Times New Roman" w:hAnsi="Times New Roman"/>
          <w:b w:val="false"/>
          <w:i w:val="false"/>
          <w:color w:val="000000"/>
          <w:sz w:val="20"/>
        </w:rPr>
        <w:t xml:space="preserve">.  The Representative shall have received on and as of the Closing Date, satisfactory evidence of the good standing (to the extent that the concept of good standing is applicable in such jurisdiction) of the Company and its subsidiaries in their respective jurisdictions of organization and their good standing (to the extent that the concept of good standing is applicable in such jurisdiction) in such other jurisdictions as the Representative may reasonably request, in each case in writing or any standard form of telecommunication from the appropriate governmental authorities of such jurisdictions.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(m)        </w:t>
      </w:r>
      <w:r>
        <w:rPr>
          <w:rFonts w:ascii="Times New Roman" w:hAnsi="Times New Roman"/>
          <w:b w:val="false"/>
          <w:i/>
          <w:color w:val="000000"/>
          <w:sz w:val="20"/>
        </w:rPr>
        <w:t>Exchange Listing.</w:t>
      </w:r>
      <w:r>
        <w:rPr>
          <w:rFonts w:ascii="Times New Roman" w:hAnsi="Times New Roman"/>
          <w:b w:val="false"/>
          <w:i w:val="false"/>
          <w:color w:val="000000"/>
          <w:sz w:val="20"/>
        </w:rPr>
        <w:t xml:space="preserve">  The Securities to be delivered on the Closing Date shall have been approved for listing on the Exchange, subject to official notice of issuance.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(n)         </w:t>
      </w:r>
      <w:r>
        <w:rPr>
          <w:rFonts w:ascii="Times New Roman" w:hAnsi="Times New Roman"/>
          <w:b w:val="false"/>
          <w:i/>
          <w:color w:val="000000"/>
          <w:sz w:val="20"/>
        </w:rPr>
        <w:t>Lock-up Agreements</w:t>
      </w:r>
      <w:r>
        <w:rPr>
          <w:rFonts w:ascii="Times New Roman" w:hAnsi="Times New Roman"/>
          <w:b w:val="false"/>
          <w:i w:val="false"/>
          <w:color w:val="000000"/>
          <w:sz w:val="20"/>
        </w:rPr>
        <w:t xml:space="preserve">.  The “lock-up” agreements, each substantially in the form of Exhibit A hereto, between you and certain shareholders, officers and directors of the Company relating to sales and certain other dispositions of shares of Stock or certain other securities, delivered to you on or before the date hereof, shall be in full force and effect on the Closing Date.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         </w:t>
      </w:r>
      <w:r>
        <w:rPr>
          <w:rFonts w:ascii="Times New Roman" w:hAnsi="Times New Roman"/>
          <w:b w:val="false"/>
          <w:i/>
          <w:color w:val="000000"/>
          <w:sz w:val="20"/>
        </w:rPr>
        <w:t>Additional Documents.</w:t>
      </w:r>
      <w:r>
        <w:rPr>
          <w:rFonts w:ascii="Times New Roman" w:hAnsi="Times New Roman"/>
          <w:b w:val="false"/>
          <w:i w:val="false"/>
          <w:color w:val="000000"/>
          <w:sz w:val="20"/>
        </w:rPr>
        <w:t xml:space="preserve">  On or prior to the Closing Date, the Company shall have furnished to the Representative such further certificates and documents as the Representative may reasonably request.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All opinions, letters, certificates and evidence mentioned above or elsewhere in this Agreement shall be deemed to be in compliance with the provisions hereof only if they are in form and substance reasonably satisfactory to counsel for the Underwriters.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7.            </w:t>
      </w:r>
      <w:r>
        <w:rPr>
          <w:rFonts w:ascii="Times New Roman" w:hAnsi="Times New Roman"/>
          <w:b w:val="false"/>
          <w:i w:val="false"/>
          <w:color w:val="000000"/>
          <w:sz w:val="20"/>
          <w:u w:val="single"/>
        </w:rPr>
        <w:t>Indemnification and Contribution</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t>
      </w:r>
      <w:r>
        <w:rPr>
          <w:rFonts w:ascii="Times New Roman" w:hAnsi="Times New Roman"/>
          <w:b w:val="false"/>
          <w:i/>
          <w:color w:val="000000"/>
          <w:sz w:val="20"/>
        </w:rPr>
        <w:t>Indemnification of the Underwriters.</w:t>
      </w:r>
      <w:r>
        <w:rPr>
          <w:rFonts w:ascii="Times New Roman" w:hAnsi="Times New Roman"/>
          <w:b w:val="false"/>
          <w:i w:val="false"/>
          <w:color w:val="000000"/>
          <w:sz w:val="20"/>
        </w:rPr>
        <w:t>  The Company agrees to indemnify and hold harmless each Underwriter, its affiliates, directors and officers and each person, if any, who controls such Underwriter within the meaning of Section 15 of the Securities Act or Section 20 of the Exchange Act, from and against any and all losses, claims, damages and liabilities (including, without limitation, reasonable legal fees and other reasonable expenses incurred in connection with any suit, action or proceeding or any claim asserted, as such fees and expenses are incurred), joint or several, that arise out of, or are based upon, (i) any untrue statement or alleged untrue statement of a material fact contained in the Registration Statement or caused by any omission or alleged omission to state therein a material fact required to be stated therein or necessary in order to make the statements therein, not misleading, or (ii) any untrue statement or alleged untrue statement of a material fact contained in the Prospectus (or any amendment or supplement thereto), any Preliminary Prospectus, any Issuer Free Writing Prospectus, any “issuer information” filed or required to be filed pursuant to Rule 433(d) under the Securities Act, any road show as defined in Rule 433(h) under the Securities Act (a “</w:t>
      </w:r>
      <w:r>
        <w:rPr>
          <w:rFonts w:ascii="Times New Roman" w:hAnsi="Times New Roman"/>
          <w:b w:val="false"/>
          <w:i w:val="false"/>
          <w:color w:val="000000"/>
          <w:sz w:val="20"/>
          <w:u w:val="single"/>
        </w:rPr>
        <w:t>road show</w:t>
      </w:r>
      <w:r>
        <w:rPr>
          <w:rFonts w:ascii="Times New Roman" w:hAnsi="Times New Roman"/>
          <w:b w:val="false"/>
          <w:i w:val="false"/>
          <w:color w:val="000000"/>
          <w:sz w:val="20"/>
        </w:rPr>
        <w:t xml:space="preserve">”) or any Pricing Disclosure Package, or caused by any omission or alleged omission to state therein a material fact necessary in order to make the statements therein, in light of the circumstances under which they were made, not misleading, in each case except insofar as such losses, claims, damages or liabilities arise out of, or are based upon, any untrue statement or omission or alleged untrue statement or omission made in reliance upon and in conformity with any information relating to any Underwriter furnished to the Company in writing by such Underwriter through the Representative expressly for use therein, it being understood and agreed that the only such information furnished by any Underwriter consists of the information described as such in paragraph (b) below.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w:t>
      </w:r>
      <w:r>
        <w:rPr>
          <w:rFonts w:ascii="Times New Roman" w:hAnsi="Times New Roman"/>
          <w:b w:val="false"/>
          <w:i/>
          <w:color w:val="000000"/>
          <w:sz w:val="20"/>
        </w:rPr>
        <w:t>Indemnification of the Company.</w:t>
      </w:r>
      <w:r>
        <w:rPr>
          <w:rFonts w:ascii="Times New Roman" w:hAnsi="Times New Roman"/>
          <w:b w:val="false"/>
          <w:i w:val="false"/>
          <w:color w:val="000000"/>
          <w:sz w:val="20"/>
        </w:rPr>
        <w:t xml:space="preserve">  Each Underwriter agrees, severally and not jointly, to indemnify and hold harmless the Company, its directors, its officers who signed the Registration Statement and each person, if any, who controls the Company within the meaning of Section 15 of the Securities Act or Section 20 of the Exchange Act to the same extent as the indemnity set forth in paragraph (a) above, but only with respect to any losses, claims, damages or liabilities that arise out of, or are based upon, any untrue statement or omission or alleged untrue statement or omission made in reliance upon and in conformity with any information relating to such Underwriter furnished to the Company in writing by such Underwriter through the Representative expressly for use in the Registration Statement, the Prospectus (or any amendment or supplement thereto), any Preliminary Prospectus, any Issuer Free Writing Prospectus, any road show or any Pricing Disclosure Package, it being understood and agreed upon that the only such information furnished by any Underwriter consists of the following information in the Prospectus furnished on behalf of each Underwriter: the concession figure appearing in the fourth paragraph and the information regarding the Underwriters’ activities in the “Stabilization” section under the caption “Underwriting.”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25</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(c)       </w:t>
      </w:r>
      <w:r>
        <w:rPr>
          <w:rFonts w:ascii="Times New Roman" w:hAnsi="Times New Roman"/>
          <w:b w:val="false"/>
          <w:i/>
          <w:color w:val="000000"/>
          <w:sz w:val="20"/>
        </w:rPr>
        <w:t xml:space="preserve">Notice and Procedures. </w:t>
      </w:r>
      <w:r>
        <w:rPr>
          <w:rFonts w:ascii="Times New Roman" w:hAnsi="Times New Roman"/>
          <w:b w:val="false"/>
          <w:i w:val="false"/>
          <w:color w:val="000000"/>
          <w:sz w:val="20"/>
        </w:rPr>
        <w:t>If any suit, action, proceeding (including any governmental or regulatory investigation), claim or demand shall be brought or asserted against any person in respect of which indemnification may be sought pursuant to either paragraph (a) or (b) above, such person (the “</w:t>
      </w:r>
      <w:r>
        <w:rPr>
          <w:rFonts w:ascii="Times New Roman" w:hAnsi="Times New Roman"/>
          <w:b w:val="false"/>
          <w:i w:val="false"/>
          <w:color w:val="000000"/>
          <w:sz w:val="20"/>
          <w:u w:val="single"/>
        </w:rPr>
        <w:t>Indemnified Person</w:t>
      </w:r>
      <w:r>
        <w:rPr>
          <w:rFonts w:ascii="Times New Roman" w:hAnsi="Times New Roman"/>
          <w:b w:val="false"/>
          <w:i w:val="false"/>
          <w:color w:val="000000"/>
          <w:sz w:val="20"/>
        </w:rPr>
        <w:t>”) shall promptly notify the person against whom such indemnification may be sought (the “</w:t>
      </w:r>
      <w:r>
        <w:rPr>
          <w:rFonts w:ascii="Times New Roman" w:hAnsi="Times New Roman"/>
          <w:b w:val="false"/>
          <w:i w:val="false"/>
          <w:color w:val="000000"/>
          <w:sz w:val="20"/>
          <w:u w:val="single"/>
        </w:rPr>
        <w:t>Indemnifying Person</w:t>
      </w:r>
      <w:r>
        <w:rPr>
          <w:rFonts w:ascii="Times New Roman" w:hAnsi="Times New Roman"/>
          <w:b w:val="false"/>
          <w:i w:val="false"/>
          <w:color w:val="000000"/>
          <w:sz w:val="20"/>
        </w:rPr>
        <w:t xml:space="preserve">”) in writing;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failure to notify the Indemnifying Person shall not relieve it from any liability that it may have under the paragraph (a) or (b) above except to the extent that it has been materially prejudiced (through the forfeiture of substantive rights or defenses) by such failure; and </w:t>
      </w:r>
      <w:r>
        <w:rPr>
          <w:rFonts w:ascii="Times New Roman" w:hAnsi="Times New Roman"/>
          <w:b w:val="false"/>
          <w:i/>
          <w:color w:val="000000"/>
          <w:sz w:val="20"/>
        </w:rPr>
        <w:t>provided further</w:t>
      </w:r>
      <w:r>
        <w:rPr>
          <w:rFonts w:ascii="Times New Roman" w:hAnsi="Times New Roman"/>
          <w:b w:val="false"/>
          <w:i w:val="false"/>
          <w:color w:val="000000"/>
          <w:sz w:val="20"/>
        </w:rPr>
        <w:t xml:space="preserve"> that the failure to notify the Indemnifying Person shall not relieve it from any liability that it may have to an Indemnified Person otherwise than under paragraph (a) or (b) above.  If any such proceeding shall be brought or asserted against an Indemnified Person and it shall have notified the Indemnifying Person thereof, the Indemnifying Person shall retain counsel reasonably satisfactory to the Indemnified Person (who shall not, without the consent of the Indemnified Person, be counsel to the Indemnifying Person) to represent the Indemnified Person and any others entitled to indemnification pursuant to this Section that the Indemnifying Person may designate in such proceeding and shall pay the reasonable fees and expenses of such counsel related to such proceeding, as incurred.  In any such proceeding, any Indemnified Person shall have the right to retain its own counsel, but the fees and expenses of such counsel shall be at the expense of such Indemnified Person unless (i) the Indemnifying Person and the Indemnified Person shall have mutually agreed to the contrary; (ii) the Indemnifying Person has failed within a reasonable time to retain counsel reasonably satisfactory to the Indemnified Person; (iii) the Indemnified Person shall have reasonably concluded that there may be legal defenses available to it that are different from or in addition to those available to the Indemnifying Person; or (iv) the named parties in any such proceeding (including any impleaded parties) include both the Indemnifying Person and the Indemnified Person and representation of both parties by the same counsel would be inappropriate due to actual or potential differing interests between them.  It is understood and agreed that the Indemnifying Person shall not, in connection with any proceeding or related proceeding in the same jurisdiction, be liable for the reasonable fees and expenses of more than one separate firm (in addition to any local counsel) for all Indemnified Persons, and that all such fees and expenses shall be paid or reimbursed as they are incurred.  Any such separate firm for any Underwriter, its affiliates, directors and officers and any control persons of such Underwriter shall be designated in writing by the Representative, any such separate firm for the Company, its directors, its officers who signed the Registration Statement and any control persons of the Company shall be designated in writing by the Company.  The Indemnifying Person shall not be liable for any settlement of any proceeding effected without its written consent, but if settled with such consent, the Indemnifying Person agrees to indemnify each Indemnified Person from and against any loss or liability by reason of such settlement.  Notwithstanding the foregoing sentence, if at any time an Indemnified Person shall have requested that an Indemnifying Person reimburse the Indemnified Person for reasonable fees and expenses of counsel as contemplated by this paragraph, the Indemnifying Person shall be liable for any settlement of any proceeding effected without its written consent if (A) such settlement is entered into more than 30 days after receipt by the Indemnifying Person of such request and (B) the Indemnifying Person shall not have reimbursed the Indemnified Person in accordance with such request prior to the date of such settlement.  No Indemnifying Person shall, without the written consent of the Indemnified Person, effect any settlement of any pending or threatened proceeding in respect of which any Indemnified Person is or could have been a party and indemnification could have been sought hereunder by such Indemnified Person, unless such settlement (x) includes an unconditional release of such Indemnified Person, in form and substance reasonably satisfactory to such Indemnified Person, from all liability on claims that are the subject matter of such proceeding and (y) does not include any statement as to or any admission of fault, culpability or a failure to act by or on behalf of any Indemnified Person.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26</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(d)         </w:t>
      </w:r>
      <w:r>
        <w:rPr>
          <w:rFonts w:ascii="Times New Roman" w:hAnsi="Times New Roman"/>
          <w:b w:val="false"/>
          <w:i/>
          <w:color w:val="000000"/>
          <w:sz w:val="20"/>
        </w:rPr>
        <w:t>Contribution.</w:t>
      </w:r>
      <w:r>
        <w:rPr>
          <w:rFonts w:ascii="Times New Roman" w:hAnsi="Times New Roman"/>
          <w:b w:val="false"/>
          <w:i w:val="false"/>
          <w:color w:val="000000"/>
          <w:sz w:val="20"/>
        </w:rPr>
        <w:t xml:space="preserve">  If the indemnification provided for in paragraph (a) or (b) above is unavailable to an Indemnified Person or insufficient in respect of any losses, claims, damages or liabilities referred to therein, then each Indemnifying Person under such paragraph, in lieu of indemnifying such Indemnified Person thereunder, shall contribute to the amount paid or payable by such Indemnified Person as a result of such losses, claims, damages or liabilities (i) in such proportion as is appropriate to reflect the relative benefits received by the Company, on the one hand, and the Underwriters on the other, from the offering of the Securities or (ii) if the allocation provided by clause (i) is not permitted by applicable law, in such proportion as is appropriate to reflect not only the relative benefits referred to in clause (i) but also the relative fault of the Company, on the one hand, and the Underwriters on the other, in connection with the statements or omissions that resulted in such losses, claims, damages or liabilities, as well as any other relevant equitable considerations.  The relative benefits received by the Company, on the one hand, and the Underwriters on the other, shall be deemed to be in the same respective proportions as the net proceeds (before deducting expenses) received by the Company from the sale of the Securities and the total underwriting discounts and commissions received by the Underwriters in connection therewith, in each case as set forth in the table on the cover of the Prospectus, bear to the aggregate offering price of the Securities.  The relative fault of the Company, on the one hand, and the Underwriters on the other, shall be determined by reference to, among other things, whether the untrue or alleged untrue statement of a material fact or the omission or alleged omission to state a material fact relates to information supplied by the Company or by the Underwriters and the parties’ relative intent, knowledge, access to information and opportunity to correct or prevent such statement or omission.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          </w:t>
      </w:r>
      <w:r>
        <w:rPr>
          <w:rFonts w:ascii="Times New Roman" w:hAnsi="Times New Roman"/>
          <w:b w:val="false"/>
          <w:i/>
          <w:color w:val="000000"/>
          <w:sz w:val="20"/>
        </w:rPr>
        <w:t>Limitation on Liability.</w:t>
      </w:r>
      <w:r>
        <w:rPr>
          <w:rFonts w:ascii="Times New Roman" w:hAnsi="Times New Roman"/>
          <w:b w:val="false"/>
          <w:i w:val="false"/>
          <w:color w:val="000000"/>
          <w:sz w:val="20"/>
        </w:rPr>
        <w:t xml:space="preserve">  Each of the Company and the Underwriters agree that it would not be just and equitable if contribution pursuant to paragraph (d) above were determined by </w:t>
      </w:r>
      <w:r>
        <w:rPr>
          <w:rFonts w:ascii="Times New Roman" w:hAnsi="Times New Roman"/>
          <w:b w:val="false"/>
          <w:i/>
          <w:color w:val="000000"/>
          <w:sz w:val="20"/>
        </w:rPr>
        <w:t>pro rata</w:t>
      </w:r>
      <w:r>
        <w:rPr>
          <w:rFonts w:ascii="Times New Roman" w:hAnsi="Times New Roman"/>
          <w:b w:val="false"/>
          <w:i w:val="false"/>
          <w:color w:val="000000"/>
          <w:sz w:val="20"/>
        </w:rPr>
        <w:t xml:space="preserve"> allocation (even if the Underwriters were treated as one entity for such purpose) or by any other method of allocation that does not take account of the equitable considerations referred to in paragraph (d) above.  The amount paid or payable by an Indemnified Person as a result of the losses, claims, damages and liabilities referred to in paragraph (d) above shall be deemed to include, subject to the limitations set forth above, any reasonable legal or other expenses incurred by such Indemnified Person in connection with any such action or claim.  Notwithstanding the provisions of paragraphs (d) and (e), in no event shall an Underwriter be required to contribute any amount in excess of the amount by which the total underwriting discounts and commissions received by such Underwriter with respect to the offering of the Securities exceeds the amount of any damages that such Underwriter has otherwise been required to pay by reason of such untrue or alleged untrue statement or omission or alleged omission.  No person guilty of fraudulent misrepresentation (within the meaning of Section 11(f) of the Securities Act) shall be entitled to contribution from any person who was not guilty of such fraudulent misrepresentation.  The Underwriters’ obligations to contribute pursuant to paragraphs (d) and (e) are several in proportion to their respective purchase obligations hereunder and not joint.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        </w:t>
      </w:r>
      <w:r>
        <w:rPr>
          <w:rFonts w:ascii="Times New Roman" w:hAnsi="Times New Roman"/>
          <w:b w:val="false"/>
          <w:i/>
          <w:color w:val="000000"/>
          <w:sz w:val="20"/>
        </w:rPr>
        <w:t>Non-Exclusive Remedies.</w:t>
      </w:r>
      <w:r>
        <w:rPr>
          <w:rFonts w:ascii="Times New Roman" w:hAnsi="Times New Roman"/>
          <w:b w:val="false"/>
          <w:i w:val="false"/>
          <w:color w:val="000000"/>
          <w:sz w:val="20"/>
        </w:rPr>
        <w:t xml:space="preserve">  The remedies provided for in this Section 7 are not exclusive and shall not limit any rights or remedies which may otherwise be available to any Indemnified Person at law or in equity.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8.            </w:t>
      </w:r>
      <w:r>
        <w:rPr>
          <w:rFonts w:ascii="Times New Roman" w:hAnsi="Times New Roman"/>
          <w:b w:val="false"/>
          <w:i w:val="false"/>
          <w:color w:val="000000"/>
          <w:sz w:val="20"/>
          <w:u w:val="single"/>
        </w:rPr>
        <w:t>Effectiveness of Agreement</w:t>
      </w:r>
      <w:r>
        <w:rPr>
          <w:rFonts w:ascii="Times New Roman" w:hAnsi="Times New Roman"/>
          <w:b w:val="false"/>
          <w:i w:val="false"/>
          <w:color w:val="000000"/>
          <w:sz w:val="20"/>
        </w:rPr>
        <w:t xml:space="preserve">.  This Agreement shall become effective upon the execution and delivery hereof by the parties hereto as of the date first written above.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9.            </w:t>
      </w:r>
      <w:r>
        <w:rPr>
          <w:rFonts w:ascii="Times New Roman" w:hAnsi="Times New Roman"/>
          <w:b w:val="false"/>
          <w:i w:val="false"/>
          <w:color w:val="000000"/>
          <w:sz w:val="20"/>
          <w:u w:val="single"/>
        </w:rPr>
        <w:t>Termination</w:t>
      </w:r>
      <w:r>
        <w:rPr>
          <w:rFonts w:ascii="Times New Roman" w:hAnsi="Times New Roman"/>
          <w:b w:val="false"/>
          <w:i w:val="false"/>
          <w:color w:val="000000"/>
          <w:sz w:val="20"/>
        </w:rPr>
        <w:t xml:space="preserve">.  This Agreement may be terminated in the absolute discretion of the Representative, by notice to the Company, if after the execution and delivery of this Agreement and on or prior to the Closing Date, (a) trading generally shall have been suspended or materially limited on or by any of the New York Stock Exchange or the Nasdaq Stock Market; (b) trading of any securities issued or guaranteed by the Company shall have been suspended on any exchange or in any over-the-counter market; (c) a general moratorium on commercial banking activities shall have been declared by federal or New York State authorities; or (d) there shall have occurred any outbreak or escalation of hostilities or any change in financial markets or any calamity or crisis, either within or outside the United States, that, in the judgment of the Representative, is material and adverse and makes it impracticable or inadvisable to proceed with the offering, sale or delivery of the Securities on the Closing Date, on the terms and in the manner contemplated by this Agreement, the Pricing Disclosure Package and the Prospectus.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27</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10.          </w:t>
      </w:r>
      <w:r>
        <w:rPr>
          <w:rFonts w:ascii="Times New Roman" w:hAnsi="Times New Roman"/>
          <w:b w:val="false"/>
          <w:i w:val="false"/>
          <w:color w:val="000000"/>
          <w:sz w:val="20"/>
          <w:u w:val="single"/>
        </w:rPr>
        <w:t>Defaulting Underwriter</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If, on the Closing Date, any Underwriter defaults on its obligation to purchase the Securities that it has agreed to purchase hereunder on such date, the non-defaulting Underwriters may in their discretion arrange for the purchase of such Securities by other persons satisfactory to the Company on the terms contained in this Agreement.  If, within 36 hours after any such default by any Underwriter, the non-defaulting Underwriters do not arrange for the purchase of such Securities, then the Company shall be entitled to a further period of 36 hours within which to procure other persons reasonably satisfactory to the non-defaulting Underwriters to purchase such Securities on such terms.  If other persons become obligated or agree to purchase the Securities of a defaulting Underwriter, either the non‑defaulting Underwriters or the Company may postpone the Closing Date, for up to five full business days in order to effect any changes that in the opinion of counsel for the Company or counsel for the Underwriters may be necessary in the Registration Statement and the Prospectus or in any other document or arrangement, and the Company agrees to promptly prepare any amendment or supplement to the Registration Statement and the Prospectus that effects any such changes.  As used in this Agreement, the term “Underwriter” includes, for all purposes of this Agreement unless the context otherwise requires, any person not listed in Schedule 1 hereto that, pursuant to this Section 10, purchases Securities that a defaulting Underwriter agreed but failed to purchase.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If, after giving effect to any arrangements for the purchase of the Securities of a defaulting Underwriter or Underwriters by the non-defaulting Underwriters, as provided in paragraph (a) above, the aggregate number of Securities that remain unpurchased on the Closing Date, does not exceed one-eleventh of the aggregate number of Securities to be purchased on such date, then the Company shall have the right to require each non-defaulting Underwriter to purchase the number of Securities that such Underwriter agreed to purchase hereunder on such date plus such Underwriter’s pro rata share (based on the number of Securities that such Underwriter agreed to purchase on such date) of the Securities of such defaulting Underwriter or Underwriters for which such arrangements have not been made.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          If, after giving effect to any arrangements for the purchase of the Securities of a defaulting Underwriter or Underwriters by the non-defaulting Underwriters as provided in paragraph (a) above, the aggregate number of Securities that remain unpurchased on the Closing Date, exceeds one-eleventh of the aggregate amount of Securities to be purchased on such date, or if the Company shall not exercise the right described in paragraph (b) above, then this Agreement shall terminate without liability on the part of the non-defaulting Underwriters.  Any termination of this Agreement pursuant to this Section 10 shall be without liability on the part of the Company, except that the Company will continue to be liable for the payment of expenses as set forth in Section 11 hereof and except that the provisions of Section 7 hereof shall not terminate and shall remain in effect.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28</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(d)      Nothing contained herein shall relieve a defaulting Underwriter of any liability it may have to the Company or any non-defaulting Underwriter for damages caused by its default.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11.          </w:t>
      </w:r>
      <w:r>
        <w:rPr>
          <w:rFonts w:ascii="Times New Roman" w:hAnsi="Times New Roman"/>
          <w:b w:val="false"/>
          <w:i w:val="false"/>
          <w:color w:val="000000"/>
          <w:sz w:val="20"/>
          <w:u w:val="single"/>
        </w:rPr>
        <w:t>Payment of Expenses</w:t>
      </w:r>
      <w:r>
        <w:rPr>
          <w:rFonts w:ascii="Times New Roman" w:hAnsi="Times New Roman"/>
          <w:b w:val="false"/>
          <w:i/>
          <w:color w:val="000000"/>
          <w:sz w:val="20"/>
        </w:rPr>
        <w: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Whether or not the transactions contemplated by this Agreement are consummated or this Agreement is terminated, the Company will pay or cause to be paid all costs and expenses incident to the performance of its obligations hereunder, including without limitation, (i) the costs incident to the authorization, issuance, sale, preparation and delivery of the Securities and any taxes payable in that connection; (ii) the costs incident to the preparation, printing and filing under the Securities Act of the Registration Statement, the Preliminary Prospectus, any Issuer Free Writing Prospectus, any Pricing Disclosure Package and the Prospectus (including all exhibits, amendments and supplements thereto) and the distribution thereof; (iii) the costs of reproducing and distributing this Agreement; (iv) the fees and expenses of the Company’s counsel and independent accountants; (v) the fees and expenses incurred in connection with the registration or qualification and determination of eligibility for investment of the Securities under the laws of such jurisdictions as agreed between the Representative and the Company and the preparation, printing and distribution of a Blue Sky Memorandum (including the related fees and expenses of counsel for the Underwriters not to exceed $5,000); (vi) the costs and charges of any transfer agent or registrar; (vii) all expenses and application fees incurred in connection with any filing with, and clearance of the offering by, FINRA, </w:t>
      </w:r>
      <w:r>
        <w:rPr>
          <w:rFonts w:ascii="Times New Roman" w:hAnsi="Times New Roman"/>
          <w:b w:val="false"/>
          <w:i/>
          <w:color w:val="000000"/>
          <w:sz w:val="20"/>
        </w:rPr>
        <w:t>provided</w:t>
      </w:r>
      <w:r>
        <w:rPr>
          <w:rFonts w:ascii="Times New Roman" w:hAnsi="Times New Roman"/>
          <w:b w:val="false"/>
          <w:i w:val="false"/>
          <w:color w:val="000000"/>
          <w:sz w:val="20"/>
        </w:rPr>
        <w:t xml:space="preserve"> that the reimbursement obligation for any legal fees and expenses of counsel for the Underwriters in connection with FINRA shall be documented and not exceed $30,000 (it being agreed and understood that any other related fees and expenses, including filing fees, shall be reimbursed in full); (viii) all expenses incurred by the Company in connection with any “road show” presentation to potential investors, except it is understood that 50% of the cost of any jointly used chartered aircraft in the roadshow shall be the responsibility of the Underwriters, if the use of such chartered aircraft has been expressly approved by the Company; and (ix) all expenses and application fees related to the listing of the Securities on the Exchan</w:t>
      </w:r>
      <w:r>
        <w:rPr>
          <w:rFonts w:ascii="Times New Roman" w:hAnsi="Times New Roman"/>
          <w:b w:val="false"/>
          <w:i w:val="false"/>
          <w:color w:val="000000"/>
          <w:sz w:val="20"/>
        </w:rPr>
        <w:t>ge.  It is understood, however, that except as provided in this Section 11, the Underwriters will pay all of their costs and expenses incident to the performance of their obligations hereunder, including fees and disbursements of their counsel and the travel expenses of their own representatives in connection with any roadshow presentation to potential investors.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If (i) this Agreement is terminated prior to the Closing Date, pursuant to clause (a) or (b) of Section 9, (ii) the Company for any reason fail to tender the Securities for delivery to the Underwriters on the Closing Date, (iii) the Underwriters decline to purchase the Securities for any reason permitted under this Agreement (other than following the termination of this Agreement pursuant to clause (c) or (d) of Section 9 or pursuant to Section 10(c) above) on the Closing Date, the Company agrees to reimburse the Underwriters for all reasonable out-of-pocket costs and expenses (including the fees and expenses of their counsel) reasonably incurred by the Underwriters in connection with this Agreement and the offering contemplated hereby.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29</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12.          </w:t>
      </w:r>
      <w:r>
        <w:rPr>
          <w:rFonts w:ascii="Times New Roman" w:hAnsi="Times New Roman"/>
          <w:b w:val="false"/>
          <w:i w:val="false"/>
          <w:color w:val="000000"/>
          <w:sz w:val="20"/>
          <w:u w:val="single"/>
        </w:rPr>
        <w:t>Persons Entitled to Benefit of Agreement</w:t>
      </w:r>
      <w:r>
        <w:rPr>
          <w:rFonts w:ascii="Times New Roman" w:hAnsi="Times New Roman"/>
          <w:b w:val="false"/>
          <w:i w:val="false"/>
          <w:color w:val="000000"/>
          <w:sz w:val="20"/>
        </w:rPr>
        <w:t xml:space="preserve">.  This Agreement shall inure to the benefit of and be binding upon the parties hereto and their respective successors and the officers and directors and any controlling persons referred to herein and the affiliates of each Underwriter referred to in Section 7 hereof.  Nothing in this Agreement is intended or shall be construed to give any other person any legal or equitable right, remedy or claim under or in respect of this Agreement or any provision contained herein.  No purchaser of the Securities from any Underwriter shall be deemed to be a successor merely by reason of such purchase.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13.       </w:t>
      </w:r>
      <w:r>
        <w:rPr>
          <w:rFonts w:ascii="Times New Roman" w:hAnsi="Times New Roman"/>
          <w:b w:val="false"/>
          <w:i w:val="false"/>
          <w:color w:val="000000"/>
          <w:sz w:val="20"/>
          <w:u w:val="single"/>
        </w:rPr>
        <w:t>Survival</w:t>
      </w:r>
      <w:r>
        <w:rPr>
          <w:rFonts w:ascii="Times New Roman" w:hAnsi="Times New Roman"/>
          <w:b w:val="false"/>
          <w:i w:val="false"/>
          <w:color w:val="000000"/>
          <w:sz w:val="20"/>
        </w:rPr>
        <w:t xml:space="preserve">.  The respective indemnities, rights of contribution, representations, warranties and agreements of the Company and the Underwriters contained in this Agreement or made by or on behalf of the Company or the Underwriters pursuant to this Agreement or any certificate delivered pursuant hereto shall survive the delivery of and payment for the Securities and shall remain in full force and effect, regardless of any termination of this Agreement or any investigation made by or on behalf of the Company or the Underwriters or the directors, officers, controlling persons or affiliates referred to in Section 7 hereof.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14.        </w:t>
      </w:r>
      <w:r>
        <w:rPr>
          <w:rFonts w:ascii="Times New Roman" w:hAnsi="Times New Roman"/>
          <w:b w:val="false"/>
          <w:i w:val="false"/>
          <w:color w:val="000000"/>
          <w:sz w:val="20"/>
          <w:u w:val="single"/>
        </w:rPr>
        <w:t>Certain Defined Terms</w:t>
      </w:r>
      <w:r>
        <w:rPr>
          <w:rFonts w:ascii="Times New Roman" w:hAnsi="Times New Roman"/>
          <w:b w:val="false"/>
          <w:i w:val="false"/>
          <w:color w:val="000000"/>
          <w:sz w:val="20"/>
        </w:rPr>
        <w:t>.  For purposes of this Agreement, (a) except where otherwise expressly provided, the term “</w:t>
      </w:r>
      <w:r>
        <w:rPr>
          <w:rFonts w:ascii="Times New Roman" w:hAnsi="Times New Roman"/>
          <w:b w:val="false"/>
          <w:i w:val="false"/>
          <w:color w:val="000000"/>
          <w:sz w:val="20"/>
          <w:u w:val="single"/>
        </w:rPr>
        <w:t>affiliate</w:t>
      </w:r>
      <w:r>
        <w:rPr>
          <w:rFonts w:ascii="Times New Roman" w:hAnsi="Times New Roman"/>
          <w:b w:val="false"/>
          <w:i w:val="false"/>
          <w:color w:val="000000"/>
          <w:sz w:val="20"/>
        </w:rPr>
        <w:t>” has the meaning set forth in Rule 405 under the Securities Act; (b) the term “</w:t>
      </w:r>
      <w:r>
        <w:rPr>
          <w:rFonts w:ascii="Times New Roman" w:hAnsi="Times New Roman"/>
          <w:b w:val="false"/>
          <w:i w:val="false"/>
          <w:color w:val="000000"/>
          <w:sz w:val="20"/>
          <w:u w:val="single"/>
        </w:rPr>
        <w:t>business day</w:t>
      </w:r>
      <w:r>
        <w:rPr>
          <w:rFonts w:ascii="Times New Roman" w:hAnsi="Times New Roman"/>
          <w:b w:val="false"/>
          <w:i w:val="false"/>
          <w:color w:val="000000"/>
          <w:sz w:val="20"/>
        </w:rPr>
        <w:t>” means any day other than a day on which banks are permitted or required to be closed in New York City; and (c) the term “</w:t>
      </w:r>
      <w:r>
        <w:rPr>
          <w:rFonts w:ascii="Times New Roman" w:hAnsi="Times New Roman"/>
          <w:b w:val="false"/>
          <w:i w:val="false"/>
          <w:color w:val="000000"/>
          <w:sz w:val="20"/>
          <w:u w:val="single"/>
        </w:rPr>
        <w:t>subsidiary</w:t>
      </w:r>
      <w:r>
        <w:rPr>
          <w:rFonts w:ascii="Times New Roman" w:hAnsi="Times New Roman"/>
          <w:b w:val="false"/>
          <w:i w:val="false"/>
          <w:color w:val="000000"/>
          <w:sz w:val="20"/>
        </w:rPr>
        <w:t xml:space="preserve">” has the meaning set forth in Rule 405 under the Securities Act.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15.         </w:t>
      </w:r>
      <w:r>
        <w:rPr>
          <w:rFonts w:ascii="Times New Roman" w:hAnsi="Times New Roman"/>
          <w:b w:val="false"/>
          <w:i w:val="false"/>
          <w:color w:val="000000"/>
          <w:sz w:val="20"/>
          <w:u w:val="single"/>
        </w:rPr>
        <w:t>Compliance with USA Patriot Act</w:t>
      </w:r>
      <w:r>
        <w:rPr>
          <w:rFonts w:ascii="Times New Roman" w:hAnsi="Times New Roman"/>
          <w:b w:val="false"/>
          <w:i w:val="false"/>
          <w:color w:val="000000"/>
          <w:sz w:val="20"/>
        </w:rPr>
        <w:t xml:space="preserve">.  In accordance with the requirements of the USA Patriot Act (Title III of Pub. L. 107-56 (signed into law October 26, 2001)), the Underwriters are required to obtain, verify and record information that identifies their respective clients, including the Company, which information may include the name and address of their respective clients, as well as other information that will allow the Underwriters to properly identify their respective clients.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16.          </w:t>
      </w:r>
      <w:r>
        <w:rPr>
          <w:rFonts w:ascii="Times New Roman" w:hAnsi="Times New Roman"/>
          <w:b w:val="false"/>
          <w:i w:val="false"/>
          <w:color w:val="000000"/>
          <w:sz w:val="20"/>
          <w:u w:val="single"/>
        </w:rPr>
        <w:t>Miscellaneous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w:t>
      </w:r>
      <w:r>
        <w:rPr>
          <w:rFonts w:ascii="Times New Roman" w:hAnsi="Times New Roman"/>
          <w:b w:val="false"/>
          <w:i/>
          <w:color w:val="000000"/>
          <w:sz w:val="20"/>
        </w:rPr>
        <w:t>Notices.</w:t>
      </w:r>
      <w:r>
        <w:rPr>
          <w:rFonts w:ascii="Times New Roman" w:hAnsi="Times New Roman"/>
          <w:b w:val="false"/>
          <w:i w:val="false"/>
          <w:color w:val="000000"/>
          <w:sz w:val="20"/>
        </w:rPr>
        <w:t xml:space="preserve">  All notices and other communications hereunder shall be in writing and shall be deemed to have been duly given if mailed or transmitted and confirmed by any standard form of telecommunication.  Notices to the Underwriters shall be given to the Representative c/o Guggenheim Securities, LLC, 330 Madison Avenue, New York, New York 10017, Attention: Equity Syndicate.  Notices to the Company shall be given to it at InflaRx N.V., Winzerlaer Str. 2, 07745 Jena, Germany, Attention: Niels Riedemann, with a copy (which copy shall not constitute notice) to Kirkland &amp; Ellis LLP, 601 Lexington Ave, New York, New York 10022, Attention: Sophia Hudson and Leia Andrew.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        </w:t>
      </w:r>
      <w:r>
        <w:rPr>
          <w:rFonts w:ascii="Times New Roman" w:hAnsi="Times New Roman"/>
          <w:b w:val="false"/>
          <w:i/>
          <w:color w:val="000000"/>
          <w:sz w:val="20"/>
        </w:rPr>
        <w:t>Governing Law.</w:t>
      </w:r>
      <w:r>
        <w:rPr>
          <w:rFonts w:ascii="Times New Roman" w:hAnsi="Times New Roman"/>
          <w:b w:val="false"/>
          <w:i w:val="false"/>
          <w:color w:val="000000"/>
          <w:sz w:val="20"/>
        </w:rPr>
        <w:t xml:space="preserve">  This Agreement and any claim, controversy or dispute arising under or related to this Agreement shall be governed by and construed in accordance with the laws of the State of New York.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30</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(c)          </w:t>
      </w:r>
      <w:r>
        <w:rPr>
          <w:rFonts w:ascii="Times New Roman" w:hAnsi="Times New Roman"/>
          <w:b w:val="false"/>
          <w:i/>
          <w:color w:val="000000"/>
          <w:sz w:val="20"/>
        </w:rPr>
        <w:t>Judgment Currency</w:t>
      </w:r>
      <w:r>
        <w:rPr>
          <w:rFonts w:ascii="Times New Roman" w:hAnsi="Times New Roman"/>
          <w:b w:val="false"/>
          <w:i w:val="false"/>
          <w:color w:val="000000"/>
          <w:sz w:val="20"/>
        </w:rPr>
        <w:t>.  The Company agrees to indemnify each Underwriter, its directors, officers, affiliates and each person, if any, who controls such Underwriter within the meaning of Section 15 of the Securities Act or Section 20 of the Exchange Act, against any loss incurred by such Underwriter as a result of any judgment or order being given or made for any amount due hereunder and such judgment or order being expressed and paid in a currency (the “</w:t>
      </w:r>
      <w:r>
        <w:rPr>
          <w:rFonts w:ascii="Times New Roman" w:hAnsi="Times New Roman"/>
          <w:b w:val="false"/>
          <w:i w:val="false"/>
          <w:color w:val="000000"/>
          <w:sz w:val="20"/>
          <w:u w:val="single"/>
        </w:rPr>
        <w:t>judgment currency</w:t>
      </w:r>
      <w:r>
        <w:rPr>
          <w:rFonts w:ascii="Times New Roman" w:hAnsi="Times New Roman"/>
          <w:b w:val="false"/>
          <w:i w:val="false"/>
          <w:color w:val="000000"/>
          <w:sz w:val="20"/>
        </w:rPr>
        <w:t xml:space="preserve">”) other than U.S. dollars and as a result of any variation as between (i) the rate of exchange at which the U.S. dollar amount is converted into the judgment currency for the purpose of such judgment or order, and (ii) the rate of exchange at which such indemnified person is able to purchase U.S. dollars with the amount of the judgment currency actually received by the indemnified person.  The foregoing indemnity shall constitute a separate and independent obligation of the Company and shall continue in full force and effect notwithstanding any such judgment or order as aforesaid.  The term “rate of exchange” shall include any premiums and costs of exchange payable in connection with the purchase of, or conversion into, the relevant currency.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(d)          </w:t>
      </w:r>
      <w:r>
        <w:rPr>
          <w:rFonts w:ascii="Times New Roman" w:hAnsi="Times New Roman"/>
          <w:b w:val="false"/>
          <w:i/>
          <w:color w:val="000000"/>
          <w:sz w:val="20"/>
        </w:rPr>
        <w:t>Waiver of Immunity</w:t>
      </w:r>
      <w:r>
        <w:rPr>
          <w:rFonts w:ascii="Times New Roman" w:hAnsi="Times New Roman"/>
          <w:b w:val="false"/>
          <w:i w:val="false"/>
          <w:color w:val="000000"/>
          <w:sz w:val="20"/>
        </w:rPr>
        <w:t xml:space="preserve">.  To the extent that the Company has or hereafter may acquire any immunity (sovereign or otherwise) from jurisdiction of any court of (i) the Netherlands, (ii) the United States or the State of New York, (iii) any jurisdiction in which it owns or leases property or assets or from any legal process (whether through service of notice, attachment prior to judgment, attachment in aid of execution, execution, set-off or otherwise) with respect to themselves or their respective property and assets or this Agreement, the Company hereby irrevocably waives such immunity in respect of its obligations under this Agreement to the fullest extent permitted by applicable law.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          </w:t>
      </w:r>
      <w:r>
        <w:rPr>
          <w:rFonts w:ascii="Times New Roman" w:hAnsi="Times New Roman"/>
          <w:b w:val="false"/>
          <w:i/>
          <w:color w:val="000000"/>
          <w:sz w:val="20"/>
        </w:rPr>
        <w:t>Submission to Jurisdiction</w:t>
      </w:r>
      <w:r>
        <w:rPr>
          <w:rFonts w:ascii="Times New Roman" w:hAnsi="Times New Roman"/>
          <w:b w:val="false"/>
          <w:i w:val="false"/>
          <w:color w:val="000000"/>
          <w:sz w:val="20"/>
        </w:rPr>
        <w:t xml:space="preserve">.  The Company hereby submits to the non-exclusive jurisdiction of the U.S.  federal and New York state courts in the Borough of Manhattan in The City of New York in any suit or proceeding arising out of or relating to this Agreement or the transactions contemplated hereby.  The Company waives any objection which it may now or hereafter have to the laying of venue of any such suit or proceeding in such courts.  The Company agrees that final judgment in any such suit, action or proceeding brought in such court shall be conclusive and binding upon the Company and may be enforced in any court to the jurisdiction of which Company is subject by a suit upon such judgment.  The Company irrevocably appoints InflaRx Pharmaceuticals, Inc., located at 600 South Wagner Road, Ann Arbor, Michigan 48103, as its authorized agent in the Borough of Manhattan in The City of New York upon which process may be served in any such suit or proceeding, and agrees that service of process upon such authorized agent, and written notice of such service to the Company, by the person serving the same to the address provided in this Section 16, shall be deemed in every respect effective service of process upon the Company in any such suit or proceeding.  The Company hereby represents and warrants that its authorized agent has accepted such appointment and has agreed to act as such authorized agent for service of process.  The Company further agrees to take any and all action as may be reasonably necessary to maintain such designation and appointment of such authorized agent in full force and effect for a period of seven years from the date of this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          </w:t>
      </w:r>
      <w:r>
        <w:rPr>
          <w:rFonts w:ascii="Times New Roman" w:hAnsi="Times New Roman"/>
          <w:b w:val="false"/>
          <w:i/>
          <w:color w:val="000000"/>
          <w:sz w:val="20"/>
        </w:rPr>
        <w:t xml:space="preserve">Waiver of Jury Trial. </w:t>
      </w:r>
      <w:r>
        <w:rPr>
          <w:rFonts w:ascii="Times New Roman" w:hAnsi="Times New Roman"/>
          <w:b w:val="false"/>
          <w:i w:val="false"/>
          <w:color w:val="000000"/>
          <w:sz w:val="20"/>
        </w:rPr>
        <w:t xml:space="preserve">Each of the parties hereto hereby waives any right to trial by jury in any suit or proceeding arising out of or relating to this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          Recognition of the U.S. Special Resolution Regimes.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         In the event that any Underwriter that is a Covered Entity becomes subject to a proceeding under a U.S. Special Resolution Regime, the transfer from such Underwriter of this Agreement, and any interest and obligation in or under this Agreement, will be effective to the same extent as the transfer would be effective under the U.S. Special Resolution Regime if this Agreement, and any such interest and obligation, were governed by the laws of the United States or a state of the United States.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31</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(ii)        In the event that any Underwriter that is a Covered Entity or a BHC Act Affiliate of such Underwriter becomes subject to a proceeding under a U.S. Special Resolution Regime, Default Rights under this Agreement that may be exercised against such Underwriter are permitted to be exercised to no greater extent than such Default Rights could be exercised under the U.S. Special Resolution Regime if this Agreement were governed by the laws of the United States or a state of the United States.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As used in this Section 16(g):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BHC Act Affiliate</w:t>
      </w:r>
      <w:r>
        <w:rPr>
          <w:rFonts w:ascii="Times New Roman" w:hAnsi="Times New Roman"/>
          <w:b w:val="false"/>
          <w:i w:val="false"/>
          <w:color w:val="000000"/>
          <w:sz w:val="20"/>
        </w:rPr>
        <w:t xml:space="preserve">” has the meaning assigned to the term “affiliate” in, and shall be interpreted in accordance with, 12 U.S.C.  § 1841(k).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Covered Entity</w:t>
      </w:r>
      <w:r>
        <w:rPr>
          <w:rFonts w:ascii="Times New Roman" w:hAnsi="Times New Roman"/>
          <w:b w:val="false"/>
          <w:i w:val="false"/>
          <w:color w:val="000000"/>
          <w:sz w:val="20"/>
        </w:rPr>
        <w:t xml:space="preserve">” means any of the following: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           a “covered entity” as that term is defined in, and interpreted in accordance with, 12 C.F.R. § 252.82(b);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(ii)          a “covered bank” as that term is defined in, and interpreted in accordance with, 12 C.F.R. § 47.3(b); or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(iii)         a “covered FSI” as that term is defined in, and interpreted in accordance with, 12 C.F.R. § 382.2(b).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Default Right</w:t>
      </w:r>
      <w:r>
        <w:rPr>
          <w:rFonts w:ascii="Times New Roman" w:hAnsi="Times New Roman"/>
          <w:b w:val="false"/>
          <w:i w:val="false"/>
          <w:color w:val="000000"/>
          <w:sz w:val="20"/>
        </w:rPr>
        <w:t xml:space="preserve">” has the meaning assigned to that term in, and shall be interpreted in accordance with, 12 C.F.R. §§ 252.81, 47.2 or 382.1, as applicable.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U.S.  Special Resolution Regime</w:t>
      </w:r>
      <w:r>
        <w:rPr>
          <w:rFonts w:ascii="Times New Roman" w:hAnsi="Times New Roman"/>
          <w:b w:val="false"/>
          <w:i w:val="false"/>
          <w:color w:val="000000"/>
          <w:sz w:val="20"/>
        </w:rPr>
        <w:t xml:space="preserve">” means each of (i) the Federal Deposit Insurance Act and the regulations promulgated thereunder and (ii) Title II of the Dodd-Frank Wall Street Reform and Consumer Protection Act and the regulations promulgated thereunder.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(h)          </w:t>
      </w:r>
      <w:r>
        <w:rPr>
          <w:rFonts w:ascii="Times New Roman" w:hAnsi="Times New Roman"/>
          <w:b w:val="false"/>
          <w:i/>
          <w:color w:val="000000"/>
          <w:sz w:val="20"/>
        </w:rPr>
        <w:t xml:space="preserve">Counterparts. </w:t>
      </w:r>
      <w:r>
        <w:rPr>
          <w:rFonts w:ascii="Times New Roman" w:hAnsi="Times New Roman"/>
          <w:b w:val="false"/>
          <w:i w:val="false"/>
          <w:color w:val="000000"/>
          <w:sz w:val="20"/>
        </w:rPr>
        <w:t xml:space="preserve">This Agreement may be signed in counterparts (which may include counterparts delivered by any standard form of telecommunication), each of which shall be an original and all of which together shall constitute one and the same instrument.  The words “execution,” “signed,” “signature,” and words of like import in this Agreement or in any other certificate, agreement or document related to this Agreement, if any, shall include images of manually executed signatures transmitted by facsimile or other electronic format (including, without limitation, “pdf,” “tif” or “jpg”) and other electronic signatures (including, without limitation, DocuSign and AdobeSign).  The use of electronic signatures and electronic records (including, without limitation, any contract or other record created, generated, sent, communicated, received, or stored by electronic means) shall be of the same legal effect, validity and enforceability as a manually executed signature or use of a paper-based record-keeping system to the fullest extent permitted by applicable law, including the Federal Electronic Signatures in Global and National Commerce Act, the New York State Electronic Signatures and Records Act and any other applicable law, including, without limitation, any state law based on the Uniform Electronic Transactions Act or the Uniform Commercial Code.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(i)          </w:t>
      </w:r>
      <w:r>
        <w:rPr>
          <w:rFonts w:ascii="Times New Roman" w:hAnsi="Times New Roman"/>
          <w:b w:val="false"/>
          <w:i/>
          <w:color w:val="000000"/>
          <w:sz w:val="20"/>
        </w:rPr>
        <w:t>Amendments or Waivers.</w:t>
      </w:r>
      <w:r>
        <w:rPr>
          <w:rFonts w:ascii="Times New Roman" w:hAnsi="Times New Roman"/>
          <w:b w:val="false"/>
          <w:i w:val="false"/>
          <w:color w:val="000000"/>
          <w:sz w:val="20"/>
        </w:rPr>
        <w:t xml:space="preserve">  No amendment or waiver of any provision of this Agreement, nor any consent or approval to any departure therefrom, shall in any event be effective unless the same shall be in writing and signed by the parties hereto.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(j)          </w:t>
      </w:r>
      <w:r>
        <w:rPr>
          <w:rFonts w:ascii="Times New Roman" w:hAnsi="Times New Roman"/>
          <w:b w:val="false"/>
          <w:i/>
          <w:color w:val="000000"/>
          <w:sz w:val="20"/>
        </w:rPr>
        <w:t xml:space="preserve">Headings. </w:t>
      </w:r>
      <w:r>
        <w:rPr>
          <w:rFonts w:ascii="Times New Roman" w:hAnsi="Times New Roman"/>
          <w:b w:val="false"/>
          <w:i w:val="false"/>
          <w:color w:val="000000"/>
          <w:sz w:val="20"/>
        </w:rPr>
        <w:t xml:space="preserve">The headings herein are included for convenience of reference only and are not intended to be part of, or to affect the meaning or interpretation of, this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color w:val="000000"/>
          <w:sz w:val="20"/>
        </w:rPr>
        <w:t>Signatures to Follow</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If the foregoing is in accordance with your understanding, please indicate your acceptance of this Agreement by signing in the space provided below. </w:t>
      </w:r>
    </w:p>
    <w:p>
      <w:pPr>
        <w:spacing w:before="0" w:after="0"/>
        <w:ind w:left="120"/>
        <w:jc w:val="left"/>
      </w:pPr>
      <w:r>
        <w:rPr>
          <w:rFonts w:ascii="Times New Roman" w:hAnsi="Times New Roman"/>
          <w:b w:val="false"/>
          <w:i w:val="false"/>
          <w:color w:val="000000"/>
          <w:sz w:val="20"/>
        </w:rPr>
        <w:t xml:space="preserve">   </w:t>
      </w:r>
    </w:p>
    <w:bookmarkStart w:name="za087ecff132c4631a58cbad077f9c87c" w:id="0"/>
    <w:tbl>
      <w:tblPr>
        <w:tblW w:w="0" w:type="auto"/>
        <w:tblCellSpacing w:w="0" w:type="auto"/>
        <w:tblBorders>
          <w:top w:val="none"/>
          <w:left w:val="none"/>
          <w:bottom w:val="none"/>
          <w:right w:val="none"/>
          <w:insideH w:val="none"/>
          <w:insideV w:val="none"/>
        </w:tblBorders>
      </w:tblPr>
      <w:tblGrid>
        <w:gridCol w:w="6792"/>
        <w:gridCol w:w="453"/>
        <w:gridCol w:w="6389"/>
      </w:tblGrid>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Very truly yours,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InflaRx N.V.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By: </w:t>
            </w:r>
          </w:p>
        </w:tc>
        <w:tc>
          <w:tcPr>
            <w:tcW w:w="6389" w:type="dxa"/>
            <w:tcBorders>
              <w:bottom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 Niels Riedemann </w:t>
            </w:r>
          </w:p>
        </w:tc>
      </w:tr>
      <w:tr>
        <w:trPr>
          <w:trHeight w:val="225"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3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Name:  Niels Riedemann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3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Title:  Chief Executive Officer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389"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Accepted:  As of the date first written above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Guggenheim Securities, LLC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For itself and on behalf of the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several Underwriters listed in Schedule 1 hereto.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Guggenheim Securities, LLC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By: </w:t>
            </w:r>
          </w:p>
        </w:tc>
        <w:tc>
          <w:tcPr>
            <w:tcW w:w="6389" w:type="dxa"/>
            <w:tcBorders>
              <w:bottom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 Ron Gerber </w:t>
            </w:r>
          </w:p>
        </w:tc>
      </w:tr>
      <w:tr>
        <w:trPr>
          <w:trHeight w:val="225"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3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Name: Ron Gerber </w:t>
            </w:r>
          </w:p>
        </w:tc>
      </w:tr>
      <w:tr>
        <w:trPr>
          <w:trHeight w:val="210" w:hRule="atLeast"/>
        </w:trPr>
        <w:tc>
          <w:tcPr>
            <w:tcW w:w="679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53"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3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Title: Senior Managing Director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color w:val="000000"/>
          <w:sz w:val="20"/>
        </w:rPr>
        <w:t>Signature Page to Underwriting Agreement</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i w:val="false"/>
          <w:color w:val="000000"/>
          <w:sz w:val="20"/>
        </w:rPr>
        <w:t xml:space="preserve"> </w:t>
      </w:r>
      <w:r>
        <w:rPr>
          <w:rFonts w:ascii="Times New Roman" w:hAnsi="Times New Roman"/>
          <w:b/>
          <w:i w:val="false"/>
          <w:color w:val="000000"/>
          <w:sz w:val="20"/>
          <w:u w:val="single"/>
        </w:rPr>
        <w:t>Schedule 1</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bookmarkStart w:name="zd764ed78433f421db5548fea347543b0" w:id="1"/>
    <w:tbl>
      <w:tblPr>
        <w:tblW w:w="0" w:type="auto"/>
        <w:tblCellSpacing w:w="0" w:type="dxa"/>
        <w:tblBorders>
          <w:top w:val="none"/>
          <w:left w:val="none"/>
          <w:bottom w:val="none"/>
          <w:right w:val="none"/>
          <w:insideH w:val="none"/>
          <w:insideV w:val="none"/>
        </w:tblBorders>
      </w:tblPr>
      <w:tblGrid>
        <w:gridCol w:w="9026"/>
        <w:gridCol w:w="132"/>
        <w:gridCol w:w="132"/>
        <w:gridCol w:w="1484"/>
        <w:gridCol w:w="133"/>
      </w:tblGrid>
      <w:tr>
        <w:trPr>
          <w:trHeight w:val="435" w:hRule="atLeast"/>
        </w:trPr>
        <w:tc>
          <w:tcPr>
            <w:tcW w:w="9026"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Name of Underwriter</w:t>
            </w:r>
            <w:r>
              <w:rPr>
                <w:rFonts w:ascii="Times New Roman" w:hAnsi="Times New Roman"/>
                <w:b w:val="false"/>
                <w:i w:val="false"/>
                <w:color w:val="000000"/>
                <w:sz w:val="20"/>
              </w:rPr>
              <w:t xml:space="preserve">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u w:val="single"/>
              </w:rPr>
              <w:t>Number of Securities</w:t>
            </w:r>
            <w:r>
              <w:rPr>
                <w:rFonts w:ascii="Times New Roman" w:hAnsi="Times New Roman"/>
                <w:b w:val="false"/>
                <w:i w:val="false"/>
                <w:color w:val="000000"/>
                <w:sz w:val="20"/>
              </w:rPr>
              <w:t xml:space="preserve">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Guggenheim Securities, LLC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39,750,000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Oppenheimer &amp; Co. Inc.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12,750,000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LifeSci Capital LLC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11,250,000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Raymond James &amp; Associates, Inc.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3,750,000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Needham &amp; Company, LLC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3,000,000 </w:t>
            </w:r>
          </w:p>
        </w:tc>
        <w:tc>
          <w:tcPr>
            <w:tcW w:w="133" w:type="dxa"/>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H.C. Wainwright &amp; Co., LLC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2,250,000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40" w:hRule="atLeast"/>
        </w:trPr>
        <w:tc>
          <w:tcPr>
            <w:tcW w:w="9026" w:type="dxa"/>
            <w:tcBorders/>
            <w:shd w:fill="cceeff"/>
            <w:tcMar>
              <w:top w:w="15" w:type="dxa"/>
              <w:left w:w="15" w:type="dxa"/>
              <w:bottom w:w="30" w:type="dxa"/>
              <w:right w:w="15" w:type="dxa"/>
            </w:tcMar>
            <w:vAlign w:val="top"/>
          </w:tcPr>
          <w:p>
            <w:pPr>
              <w:spacing w:before="0" w:after="0"/>
              <w:ind w:left="120"/>
              <w:jc w:val="left"/>
            </w:pPr>
            <w:r>
              <w:rPr>
                <w:rFonts w:ascii="Times New Roman" w:hAnsi="Times New Roman"/>
                <w:b w:val="false"/>
                <w:i w:val="false"/>
                <w:color w:val="000000"/>
                <w:sz w:val="20"/>
              </w:rPr>
              <w:t xml:space="preserve"> Lucid Capital Markets, LLC </w:t>
            </w:r>
          </w:p>
        </w:tc>
        <w:tc>
          <w:tcPr>
            <w:tcW w:w="132"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bottom w:val="single" w:color="000000" w:sz="16"/>
            </w:tcBorders>
            <w:shd w:fill="cceeff"/>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bottom w:val="single" w:color="000000" w:sz="16"/>
            </w:tcBorders>
            <w:shd w:fill="cceeff"/>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2,250,000 </w:t>
            </w:r>
          </w:p>
        </w:tc>
        <w:tc>
          <w:tcPr>
            <w:tcW w:w="133" w:type="dxa"/>
            <w:tcBorders/>
            <w:shd w:fill="cceeff"/>
            <w:tcMar>
              <w:top w:w="15" w:type="dxa"/>
              <w:left w:w="15" w:type="dxa"/>
              <w:bottom w:w="30" w:type="dxa"/>
              <w:right w:w="15" w:type="dxa"/>
            </w:tcMar>
            <w:vAlign w:val="bottom"/>
          </w:tcPr>
          <w:p>
            <w:pPr>
              <w:spacing w:before="0" w:after="0"/>
              <w:ind w:left="0"/>
              <w:jc w:val="left"/>
            </w:pPr>
            <w:r>
              <w:rPr>
                <w:rFonts w:ascii="Times New Roman" w:hAnsi="Times New Roman"/>
                <w:b w:val="false"/>
                <w:i w:val="false"/>
                <w:color w:val="000000"/>
                <w:sz w:val="20"/>
              </w:rPr>
              <w:t> </w:t>
            </w:r>
          </w:p>
        </w:tc>
      </w:tr>
      <w:tr>
        <w:trPr>
          <w:trHeight w:val="210" w:hRule="atLeast"/>
        </w:trPr>
        <w:tc>
          <w:tcPr>
            <w:tcW w:w="9026" w:type="dxa"/>
            <w:tcBorders/>
            <w:tcMar>
              <w:top w:w="15" w:type="dxa"/>
              <w:left w:w="15" w:type="dxa"/>
              <w:bottom w:w="15" w:type="dxa"/>
              <w:right w:w="15" w:type="dxa"/>
            </w:tcMar>
            <w:vAlign w:val="top"/>
          </w:tcPr>
          <w:p>
            <w:pPr>
              <w:spacing w:before="0" w:after="0"/>
              <w:ind w:left="300"/>
              <w:jc w:val="left"/>
            </w:pPr>
            <w:r>
              <w:rPr>
                <w:rFonts w:ascii="Times New Roman" w:hAnsi="Times New Roman"/>
                <w:b w:val="false"/>
                <w:i w:val="false"/>
                <w:color w:val="000000"/>
                <w:sz w:val="20"/>
              </w:rPr>
              <w:t xml:space="preserve"> Total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32"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484" w:type="dxa"/>
            <w:tcBorders/>
            <w:tcMar>
              <w:top w:w="15" w:type="dxa"/>
              <w:left w:w="15" w:type="dxa"/>
              <w:bottom w:w="15" w:type="dxa"/>
              <w:right w:w="15" w:type="dxa"/>
            </w:tcMar>
            <w:vAlign w:val="bottom"/>
          </w:tcPr>
          <w:p>
            <w:pPr>
              <w:spacing w:before="0" w:after="0"/>
              <w:ind w:left="120"/>
              <w:jc w:val="right"/>
            </w:pPr>
            <w:r>
              <w:rPr>
                <w:rFonts w:ascii="Times New Roman" w:hAnsi="Times New Roman"/>
                <w:b w:val="false"/>
                <w:i w:val="false"/>
                <w:color w:val="000000"/>
                <w:sz w:val="20"/>
              </w:rPr>
              <w:t xml:space="preserve"> 75,000,000 </w:t>
            </w:r>
          </w:p>
        </w:tc>
        <w:tc>
          <w:tcPr>
            <w:tcW w:w="133"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i w:val="false"/>
          <w:color w:val="000000"/>
          <w:sz w:val="20"/>
        </w:rPr>
        <w:t xml:space="preserve"> </w:t>
      </w:r>
      <w:r>
        <w:rPr>
          <w:rFonts w:ascii="Times New Roman" w:hAnsi="Times New Roman"/>
          <w:b/>
          <w:i w:val="false"/>
          <w:color w:val="000000"/>
          <w:sz w:val="20"/>
          <w:u w:val="single"/>
        </w:rPr>
        <w:t>Annex A</w:t>
      </w:r>
      <w:r>
        <w:rPr>
          <w:rFonts w:ascii="Times New Roman" w:hAnsi="Times New Roman"/>
          <w:b/>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Pricing Information</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Offering price: $2.00 per Ordinary Share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Number of Securities: 75,000,000 Ordinary Shares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Issuer Free Writing Prospectuses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None.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i w:val="false"/>
          <w:color w:val="000000"/>
          <w:sz w:val="20"/>
        </w:rPr>
        <w:t xml:space="preserve"> </w:t>
      </w:r>
      <w:r>
        <w:rPr>
          <w:rFonts w:ascii="Times New Roman" w:hAnsi="Times New Roman"/>
          <w:b/>
          <w:i w:val="false"/>
          <w:color w:val="000000"/>
          <w:sz w:val="20"/>
          <w:u w:val="single"/>
        </w:rPr>
        <w:t>Exhibit A</w:t>
      </w: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Form of Lock-Up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right"/>
      </w:pPr>
      <w:r>
        <w:rPr>
          <w:rFonts w:ascii="Times New Roman" w:hAnsi="Times New Roman"/>
          <w:b w:val="false"/>
          <w:i w:val="false"/>
          <w:color w:val="000000"/>
          <w:sz w:val="20"/>
        </w:rPr>
        <w:t xml:space="preserve"> , 2026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Guggenheim Securities, LLC </w:t>
      </w:r>
    </w:p>
    <w:p>
      <w:pPr>
        <w:spacing w:before="0" w:after="0"/>
        <w:ind w:left="120"/>
        <w:jc w:val="both"/>
      </w:pPr>
      <w:r>
        <w:rPr>
          <w:rFonts w:ascii="Times New Roman" w:hAnsi="Times New Roman"/>
          <w:b w:val="false"/>
          <w:i w:val="false"/>
          <w:color w:val="000000"/>
          <w:sz w:val="20"/>
        </w:rPr>
        <w:t xml:space="preserve"> As Representative of the several Underwriters listed in </w:t>
      </w:r>
    </w:p>
    <w:p>
      <w:pPr>
        <w:spacing w:before="0" w:after="0"/>
        <w:ind w:left="120"/>
        <w:jc w:val="both"/>
      </w:pPr>
      <w:r>
        <w:rPr>
          <w:rFonts w:ascii="Times New Roman" w:hAnsi="Times New Roman"/>
          <w:b w:val="false"/>
          <w:i w:val="false"/>
          <w:color w:val="000000"/>
          <w:sz w:val="20"/>
        </w:rPr>
        <w:t xml:space="preserve"> Schedule 1 to the Underwriting Agreement referred to below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c/o Guggenheim Securities, LLC </w:t>
      </w:r>
    </w:p>
    <w:p>
      <w:pPr>
        <w:spacing w:before="0" w:after="0"/>
        <w:ind w:left="120"/>
        <w:jc w:val="both"/>
      </w:pPr>
      <w:r>
        <w:rPr>
          <w:rFonts w:ascii="Times New Roman" w:hAnsi="Times New Roman"/>
          <w:b w:val="false"/>
          <w:i w:val="false"/>
          <w:color w:val="000000"/>
          <w:sz w:val="20"/>
        </w:rPr>
        <w:t xml:space="preserve"> 330 Madison Avenue </w:t>
      </w:r>
    </w:p>
    <w:p>
      <w:pPr>
        <w:spacing w:before="0" w:after="0"/>
        <w:ind w:left="120"/>
        <w:jc w:val="both"/>
      </w:pPr>
      <w:r>
        <w:rPr>
          <w:rFonts w:ascii="Times New Roman" w:hAnsi="Times New Roman"/>
          <w:b w:val="false"/>
          <w:i w:val="false"/>
          <w:color w:val="000000"/>
          <w:sz w:val="20"/>
        </w:rPr>
        <w:t xml:space="preserve"> New York, New York 10017 </w:t>
      </w:r>
    </w:p>
    <w:p>
      <w:pPr>
        <w:spacing w:before="0" w:after="0"/>
        <w:ind w:left="120"/>
        <w:jc w:val="left"/>
      </w:pPr>
      <w:r>
        <w:rPr>
          <w:rFonts w:ascii="Times New Roman" w:hAnsi="Times New Roman"/>
          <w:b w:val="false"/>
          <w:i w:val="false"/>
          <w:color w:val="000000"/>
          <w:sz w:val="20"/>
        </w:rPr>
        <w:t xml:space="preserve">   </w:t>
      </w:r>
    </w:p>
    <w:bookmarkStart w:name="zdfbb8a67484a4a8aa23b79e477902142" w:id="2"/>
    <w:tbl>
      <w:tblPr>
        <w:tblW w:w="0" w:type="auto"/>
        <w:tblCellSpacing w:w="0" w:type="dxa"/>
        <w:tblBorders>
          <w:top w:val="none"/>
          <w:left w:val="none"/>
          <w:bottom w:val="none"/>
          <w:right w:val="none"/>
          <w:insideH w:val="none"/>
          <w:insideV w:val="none"/>
        </w:tblBorders>
      </w:tblPr>
      <w:tblGrid>
        <w:gridCol w:w="960"/>
        <w:gridCol w:w="12674"/>
      </w:tblGrid>
      <w:tr>
        <w:trPr>
          <w:trHeight w:val="210" w:hRule="atLeast"/>
        </w:trPr>
        <w:tc>
          <w:tcPr>
            <w:tcW w:w="960"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Re:</w:t>
            </w:r>
            <w:r>
              <w:rPr>
                <w:rFonts w:ascii="Times New Roman" w:hAnsi="Times New Roman"/>
                <w:b w:val="false"/>
                <w:i w:val="false"/>
                <w:color w:val="000000"/>
                <w:sz w:val="20"/>
              </w:rPr>
              <w:t xml:space="preserve"> </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InflaRx N.V. Offering</w:t>
            </w:r>
            <w:r>
              <w:rPr>
                <w:rFonts w:ascii="Times New Roman" w:hAnsi="Times New Roman"/>
                <w:b w:val="false"/>
                <w:i w:val="false"/>
                <w:color w:val="000000"/>
                <w:sz w:val="20"/>
              </w:rPr>
              <w:t xml:space="preserve"> </w:t>
            </w:r>
          </w:p>
        </w:tc>
      </w:tr>
    </w:tbl>
    <w:bookmarkEnd w:id="2"/>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Ladies and Gentlemen: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undersigned understands that you, as Representative of the several Underwriters, propose to enter into an underwriting agreement (the “</w:t>
      </w:r>
      <w:r>
        <w:rPr>
          <w:rFonts w:ascii="Times New Roman" w:hAnsi="Times New Roman"/>
          <w:b w:val="false"/>
          <w:i w:val="false"/>
          <w:color w:val="000000"/>
          <w:sz w:val="20"/>
          <w:u w:val="single"/>
        </w:rPr>
        <w:t>Underwriting Agreement</w:t>
      </w:r>
      <w:r>
        <w:rPr>
          <w:rFonts w:ascii="Times New Roman" w:hAnsi="Times New Roman"/>
          <w:b w:val="false"/>
          <w:i w:val="false"/>
          <w:color w:val="000000"/>
          <w:sz w:val="20"/>
        </w:rPr>
        <w:t xml:space="preserve">”) with InflaRx N.V., a public company with limited liability </w:t>
      </w:r>
      <w:r>
        <w:rPr>
          <w:rFonts w:ascii="Times New Roman" w:hAnsi="Times New Roman"/>
          <w:b w:val="false"/>
          <w:i w:val="false"/>
          <w:color w:val="000000"/>
          <w:sz w:val="20"/>
        </w:rPr>
        <w:t>(</w:t>
      </w:r>
      <w:r>
        <w:rPr>
          <w:rFonts w:ascii="Times New Roman" w:hAnsi="Times New Roman"/>
          <w:b w:val="false"/>
          <w:i/>
          <w:color w:val="000000"/>
          <w:sz w:val="20"/>
        </w:rPr>
        <w:t>naamloze vennootschap</w:t>
      </w:r>
      <w:r>
        <w:rPr>
          <w:rFonts w:ascii="Times New Roman" w:hAnsi="Times New Roman"/>
          <w:b w:val="false"/>
          <w:i w:val="false"/>
          <w:color w:val="000000"/>
          <w:sz w:val="20"/>
        </w:rPr>
        <w:t>) incorporated under the laws of the Netherlands</w:t>
      </w:r>
      <w:r>
        <w:rPr>
          <w:rFonts w:ascii="Times New Roman" w:hAnsi="Times New Roman"/>
          <w:b w:val="false"/>
          <w:i w:val="false"/>
          <w:color w:val="000000"/>
          <w:sz w:val="20"/>
        </w:rPr>
        <w:t xml:space="preserve"> (the “</w:t>
      </w:r>
      <w:r>
        <w:rPr>
          <w:rFonts w:ascii="Times New Roman" w:hAnsi="Times New Roman"/>
          <w:b w:val="false"/>
          <w:i w:val="false"/>
          <w:color w:val="000000"/>
          <w:sz w:val="20"/>
          <w:u w:val="single"/>
        </w:rPr>
        <w:t>Company</w:t>
      </w:r>
      <w:r>
        <w:rPr>
          <w:rFonts w:ascii="Times New Roman" w:hAnsi="Times New Roman"/>
          <w:b w:val="false"/>
          <w:i w:val="false"/>
          <w:color w:val="000000"/>
          <w:sz w:val="20"/>
        </w:rPr>
        <w:t>”), providing for the offering (the “</w:t>
      </w:r>
      <w:r>
        <w:rPr>
          <w:rFonts w:ascii="Times New Roman" w:hAnsi="Times New Roman"/>
          <w:b w:val="false"/>
          <w:i w:val="false"/>
          <w:color w:val="000000"/>
          <w:sz w:val="20"/>
          <w:u w:val="single"/>
        </w:rPr>
        <w:t>Offering</w:t>
      </w:r>
      <w:r>
        <w:rPr>
          <w:rFonts w:ascii="Times New Roman" w:hAnsi="Times New Roman"/>
          <w:b w:val="false"/>
          <w:i w:val="false"/>
          <w:color w:val="000000"/>
          <w:sz w:val="20"/>
        </w:rPr>
        <w:t>”) by the several Underwriters named in Schedule 1 to the Underwriting Agreement (the “</w:t>
      </w:r>
      <w:r>
        <w:rPr>
          <w:rFonts w:ascii="Times New Roman" w:hAnsi="Times New Roman"/>
          <w:b w:val="false"/>
          <w:i w:val="false"/>
          <w:color w:val="000000"/>
          <w:sz w:val="20"/>
          <w:u w:val="single"/>
        </w:rPr>
        <w:t>Underwriters</w:t>
      </w:r>
      <w:r>
        <w:rPr>
          <w:rFonts w:ascii="Times New Roman" w:hAnsi="Times New Roman"/>
          <w:b w:val="false"/>
          <w:i w:val="false"/>
          <w:color w:val="000000"/>
          <w:sz w:val="20"/>
        </w:rPr>
        <w:t>”), of Ordinary Shares, nominal value €0.12 per share (the “</w:t>
      </w:r>
      <w:r>
        <w:rPr>
          <w:rFonts w:ascii="Times New Roman" w:hAnsi="Times New Roman"/>
          <w:b w:val="false"/>
          <w:i w:val="false"/>
          <w:color w:val="000000"/>
          <w:sz w:val="20"/>
          <w:u w:val="single"/>
        </w:rPr>
        <w:t>Ordinary Shares</w:t>
      </w:r>
      <w:r>
        <w:rPr>
          <w:rFonts w:ascii="Times New Roman" w:hAnsi="Times New Roman"/>
          <w:b w:val="false"/>
          <w:i w:val="false"/>
          <w:color w:val="000000"/>
          <w:sz w:val="20"/>
        </w:rPr>
        <w:t>”), of the Company(the “</w:t>
      </w:r>
      <w:r>
        <w:rPr>
          <w:rFonts w:ascii="Times New Roman" w:hAnsi="Times New Roman"/>
          <w:b w:val="false"/>
          <w:i w:val="false"/>
          <w:color w:val="000000"/>
          <w:sz w:val="20"/>
          <w:u w:val="single"/>
        </w:rPr>
        <w:t>Offered Securities</w:t>
      </w:r>
      <w:r>
        <w:rPr>
          <w:rFonts w:ascii="Times New Roman" w:hAnsi="Times New Roman"/>
          <w:b w:val="false"/>
          <w:i w:val="false"/>
          <w:color w:val="000000"/>
          <w:sz w:val="20"/>
        </w:rPr>
        <w:t xml:space="preserve">”).  Capitalized terms used herein and not otherwise defined shall have the meanings set forth in the Underwriting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consideration of the Underwriters’ agreement to purchase and make the Offering of the Offered Securities, and for other good and valuable consideration receipt of which is hereby acknowledged, the undersigned hereby agrees that, without the prior written consent of the Representative on behalf of the Underwriters, the undersigned will not, during the period beginning on the date of this letter agreement (this “</w:t>
      </w:r>
      <w:r>
        <w:rPr>
          <w:rFonts w:ascii="Times New Roman" w:hAnsi="Times New Roman"/>
          <w:b w:val="false"/>
          <w:i w:val="false"/>
          <w:color w:val="000000"/>
          <w:sz w:val="20"/>
          <w:u w:val="single"/>
        </w:rPr>
        <w:t>Letter Agreement</w:t>
      </w:r>
      <w:r>
        <w:rPr>
          <w:rFonts w:ascii="Times New Roman" w:hAnsi="Times New Roman"/>
          <w:b w:val="false"/>
          <w:i w:val="false"/>
          <w:color w:val="000000"/>
          <w:sz w:val="20"/>
        </w:rPr>
        <w:t>”) and ending 90 days after the date of the final prospectus supplement relating to the Offering (the “</w:t>
      </w:r>
      <w:r>
        <w:rPr>
          <w:rFonts w:ascii="Times New Roman" w:hAnsi="Times New Roman"/>
          <w:b w:val="false"/>
          <w:i w:val="false"/>
          <w:color w:val="000000"/>
          <w:sz w:val="20"/>
          <w:u w:val="single"/>
        </w:rPr>
        <w:t>Prospectus</w:t>
      </w:r>
      <w:r>
        <w:rPr>
          <w:rFonts w:ascii="Times New Roman" w:hAnsi="Times New Roman"/>
          <w:b w:val="false"/>
          <w:i w:val="false"/>
          <w:color w:val="000000"/>
          <w:sz w:val="20"/>
        </w:rPr>
        <w:t>”) (such period, the “</w:t>
      </w:r>
      <w:r>
        <w:rPr>
          <w:rFonts w:ascii="Times New Roman" w:hAnsi="Times New Roman"/>
          <w:b w:val="false"/>
          <w:i w:val="false"/>
          <w:color w:val="000000"/>
          <w:sz w:val="20"/>
          <w:u w:val="single"/>
        </w:rPr>
        <w:t>Restricted Period</w:t>
      </w:r>
      <w:r>
        <w:rPr>
          <w:rFonts w:ascii="Times New Roman" w:hAnsi="Times New Roman"/>
          <w:b w:val="false"/>
          <w:i w:val="false"/>
          <w:color w:val="000000"/>
          <w:sz w:val="20"/>
        </w:rPr>
        <w:t xml:space="preserve">”), (1) offer, pledge, sell, contract to sell, sell any option or contract to purchase, purchase any option or contract to sell, grant any option, right or warrant to purchase, lend, or otherwise transfer or dispose of, directly or indirectly, any Ordinary Shares, or any securities convertible into or exercisable or exchangeable for Ordinary Shares (including without limitation, Ordinary Shares or such other securities which may be deemed to be beneficially owned by the undersigned in accordance with the rules and regulations of the Securities and Exchange Commission and securities which may be issued upon exercise of a share option or warrant), (2) enter into any hedging, swap or other agreement or transaction that transfers, in whole or in part, any of the economic consequences of ownership of the Ordinary Shares or such other securities, whether any such transaction described in clause (1) or (2) above is to be settled by delivery of Ordinary Shares or such other securities, in cash or otherwise, (3) make any demand for or exercise any right with respect to the registration of any Ordinary Shares or such other securities or (4) publicly disclose the intention to do any of the foregoing.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foregoing restrictions shall not apply to: </w:t>
      </w:r>
    </w:p>
    <w:p>
      <w:pPr>
        <w:spacing w:before="0" w:after="0"/>
        <w:ind w:left="120"/>
        <w:jc w:val="left"/>
      </w:pPr>
      <w:r>
        <w:rPr>
          <w:rFonts w:ascii="Times New Roman" w:hAnsi="Times New Roman"/>
          <w:b w:val="false"/>
          <w:i w:val="false"/>
          <w:color w:val="000000"/>
          <w:sz w:val="20"/>
        </w:rPr>
        <w:t xml:space="preserve">   </w:t>
      </w:r>
    </w:p>
    <w:bookmarkStart w:name="z6a21a63e4eab471da7e9acd69a5aa350" w:id="3"/>
    <w:tbl>
      <w:tblPr>
        <w:tblW w:w="0" w:type="auto"/>
        <w:tblCellSpacing w:w="0" w:type="dxa"/>
        <w:tblBorders>
          <w:top w:val="none"/>
          <w:left w:val="none"/>
          <w:bottom w:val="none"/>
          <w:right w:val="none"/>
          <w:insideH w:val="none"/>
          <w:insideV w:val="none"/>
        </w:tblBorders>
      </w:tblPr>
      <w:tblGrid>
        <w:gridCol w:w="960"/>
        <w:gridCol w:w="960"/>
        <w:gridCol w:w="11714"/>
      </w:tblGrid>
      <w:tr>
        <w:trPr>
          <w:trHeight w:val="21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96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 </w:t>
            </w:r>
          </w:p>
        </w:tc>
        <w:tc>
          <w:tcPr>
            <w:tcW w:w="1171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transfers of Ordinary Shares: </w:t>
            </w:r>
          </w:p>
        </w:tc>
      </w:tr>
    </w:tbl>
    <w:bookmarkEnd w:id="3"/>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840"/>
        <w:jc w:val="both"/>
      </w:pPr>
      <w:r>
        <w:rPr>
          <w:rFonts w:ascii="Times New Roman" w:hAnsi="Times New Roman"/>
          <w:b w:val="false"/>
          <w:i w:val="false"/>
          <w:color w:val="000000"/>
          <w:sz w:val="20"/>
        </w:rPr>
        <w:t xml:space="preserve"> (i)           as a bona fide gift or gifts,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(ii)          by will, testamentary document or intestate succession,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(iii)      to any trust for the direct or indirect benefit of the undersigned or the immediate family of the undersigned, or if the undersigned is a trust, to a trustor or beneficiary of the trust or to the estate of a beneficiary of such trust (for purposes of this Letter Agreement, “</w:t>
      </w:r>
      <w:r>
        <w:rPr>
          <w:rFonts w:ascii="Times New Roman" w:hAnsi="Times New Roman"/>
          <w:b w:val="false"/>
          <w:i w:val="false"/>
          <w:color w:val="000000"/>
          <w:sz w:val="20"/>
          <w:u w:val="single"/>
        </w:rPr>
        <w:t>immediate family</w:t>
      </w:r>
      <w:r>
        <w:rPr>
          <w:rFonts w:ascii="Times New Roman" w:hAnsi="Times New Roman"/>
          <w:b w:val="false"/>
          <w:i w:val="false"/>
          <w:color w:val="000000"/>
          <w:sz w:val="20"/>
        </w:rPr>
        <w:t xml:space="preserve">” shall mean any relationship by blood, current or former marriage, domestic partnership or adoption, not more remote than first cousin),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(iv)       if the undersigned is a corporation, partnership, limited liability company, trust or other business entity, to partners, members or stockholders of the undersigned,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(v)        to a partnership, limited liability company or other entity of which the undersigned and the immediate family of the undersigned are the legal and beneficial owner of all of the outstanding equity securities or similar interests,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(vi)        if the undersigned is a corporation, partnership, limited liability company, trust or other business entity, to any direct or indirect affiliate (as defined in Rule 405 promulgated under the Securities Act of 1933, as amended) of the undersigned, or to any investment fund or other entity controlling, controlled by, managing or managed by or under common control with the undersigned or affiliates of the undersigned,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(vii)       solely by operation of law, pursuant to a qualified domestic order or in connection with a divorce settlement, divorce decree or separation agreement,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(viii)      to the Company from an employee of the Company upon death, disability or termination of employment, in each case, of such employee,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(ix)      pursuant to a bona fide third-party tender offer, merger, consolidation or other similar transaction that is approved by the Company’s Board of Directors and made to all holders of the Company’s securities involving a Change of Control of the Company; </w:t>
      </w:r>
      <w:r>
        <w:rPr>
          <w:rFonts w:ascii="Times New Roman" w:hAnsi="Times New Roman"/>
          <w:b w:val="false"/>
          <w:i/>
          <w:color w:val="000000"/>
          <w:sz w:val="20"/>
        </w:rPr>
        <w:t xml:space="preserve">provided </w:t>
      </w:r>
      <w:r>
        <w:rPr>
          <w:rFonts w:ascii="Times New Roman" w:hAnsi="Times New Roman"/>
          <w:b w:val="false"/>
          <w:i w:val="false"/>
          <w:color w:val="000000"/>
          <w:sz w:val="20"/>
        </w:rPr>
        <w:t xml:space="preserve">that in the event that such tender offer, merger, consolidation or other such transaction is not completed, the Ordinary Shares or such others securities held by the undersigned shall remain subject to the provisions of this Letter Agreement; and </w:t>
      </w:r>
      <w:r>
        <w:rPr>
          <w:rFonts w:ascii="Times New Roman" w:hAnsi="Times New Roman"/>
          <w:b w:val="false"/>
          <w:i/>
          <w:color w:val="000000"/>
          <w:sz w:val="20"/>
        </w:rPr>
        <w:t>provided further</w:t>
      </w:r>
      <w:r>
        <w:rPr>
          <w:rFonts w:ascii="Times New Roman" w:hAnsi="Times New Roman"/>
          <w:b w:val="false"/>
          <w:i w:val="false"/>
          <w:color w:val="000000"/>
          <w:sz w:val="20"/>
        </w:rPr>
        <w:t xml:space="preserve"> that for purposes of this clause (ix), “</w:t>
      </w:r>
      <w:r>
        <w:rPr>
          <w:rFonts w:ascii="Times New Roman" w:hAnsi="Times New Roman"/>
          <w:b w:val="false"/>
          <w:i w:val="false"/>
          <w:color w:val="000000"/>
          <w:sz w:val="20"/>
          <w:u w:val="single"/>
        </w:rPr>
        <w:t>Change of Control</w:t>
      </w:r>
      <w:r>
        <w:rPr>
          <w:rFonts w:ascii="Times New Roman" w:hAnsi="Times New Roman"/>
          <w:b w:val="false"/>
          <w:i w:val="false"/>
          <w:color w:val="000000"/>
          <w:sz w:val="20"/>
        </w:rPr>
        <w:t xml:space="preserve">” shall mean the transfer (whether by tender offer, merger, consolidation, spin-off or other such transaction), in one transaction or a series of related transactions, to a person or group of affiliated persons (other than an Underwriter pursuant to the Offering), of the Company’s voting securities if, after such transfer, such person or group of affiliated persons would hold more than 60% of the outstanding voting securities of the Company (or the surviving entity), </w:t>
      </w:r>
    </w:p>
    <w:p>
      <w:pPr>
        <w:spacing w:before="0" w:after="0"/>
        <w:ind w:left="120"/>
        <w:jc w:val="left"/>
      </w:pPr>
      <w:r>
        <w:rPr>
          <w:rFonts w:ascii="Times New Roman" w:hAnsi="Times New Roman"/>
          <w:b w:val="false"/>
          <w:i w:val="false"/>
          <w:color w:val="000000"/>
          <w:sz w:val="20"/>
        </w:rPr>
        <w:t xml:space="preserve">   </w:t>
      </w:r>
    </w:p>
    <w:p>
      <w:pPr>
        <w:spacing w:before="0" w:after="0"/>
        <w:ind w:left="840"/>
        <w:jc w:val="both"/>
      </w:pPr>
      <w:r>
        <w:rPr>
          <w:rFonts w:ascii="Times New Roman" w:hAnsi="Times New Roman"/>
          <w:b w:val="false"/>
          <w:i w:val="false"/>
          <w:color w:val="000000"/>
          <w:sz w:val="20"/>
        </w:rPr>
        <w:t xml:space="preserve"> (x)          acquired by the undersigned in the Offering or in open market transactions subsequent to the closing of the Offering. </w:t>
      </w:r>
    </w:p>
    <w:p>
      <w:pPr>
        <w:spacing w:before="0" w:after="0"/>
        <w:ind w:left="120"/>
        <w:jc w:val="left"/>
      </w:pPr>
      <w:r>
        <w:rPr>
          <w:rFonts w:ascii="Times New Roman" w:hAnsi="Times New Roman"/>
          <w:b w:val="false"/>
          <w:i w:val="false"/>
          <w:color w:val="000000"/>
          <w:sz w:val="20"/>
        </w:rPr>
        <w:t xml:space="preserve">   </w:t>
      </w:r>
    </w:p>
    <w:bookmarkStart w:name="zdadf190da6f74dc98501ad50779d5efc" w:id="4"/>
    <w:tbl>
      <w:tblPr>
        <w:tblW w:w="0" w:type="auto"/>
        <w:tblCellSpacing w:w="0" w:type="dxa"/>
        <w:tblBorders>
          <w:top w:val="none"/>
          <w:left w:val="none"/>
          <w:bottom w:val="none"/>
          <w:right w:val="none"/>
          <w:insideH w:val="none"/>
          <w:insideV w:val="none"/>
        </w:tblBorders>
      </w:tblPr>
      <w:tblGrid>
        <w:gridCol w:w="960"/>
        <w:gridCol w:w="960"/>
        <w:gridCol w:w="11714"/>
      </w:tblGrid>
      <w:tr>
        <w:trPr>
          <w:trHeight w:val="660" w:hRule="atLeast"/>
        </w:trPr>
        <w:tc>
          <w:tcPr>
            <w:tcW w:w="960" w:type="dxa"/>
            <w:tcBorders/>
            <w:tcMar>
              <w:top w:w="15" w:type="dxa"/>
              <w:left w:w="15" w:type="dxa"/>
              <w:bottom w:w="15" w:type="dxa"/>
              <w:right w:w="15" w:type="dxa"/>
            </w:tcMar>
            <w:vAlign w:val="center"/>
          </w:tcPr>
          <w:p>
            <w:pPr>
              <w:spacing w:before="0" w:after="0"/>
              <w:ind w:left="0"/>
              <w:jc w:val="left"/>
            </w:pPr>
            <w:r>
              <w:br/>
            </w:r>
          </w:p>
        </w:tc>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171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establishment of a written plan for trading securities pursuant to and in accordance with Rule 10b5-1(c) under the Exchange Act, </w:t>
            </w:r>
            <w:r>
              <w:rPr>
                <w:rFonts w:ascii="Times New Roman" w:hAnsi="Times New Roman"/>
                <w:b w:val="false"/>
                <w:i/>
                <w:color w:val="000000"/>
                <w:sz w:val="20"/>
              </w:rPr>
              <w:t>provided</w:t>
            </w:r>
            <w:r>
              <w:rPr>
                <w:rFonts w:ascii="Times New Roman" w:hAnsi="Times New Roman"/>
                <w:b w:val="false"/>
                <w:i w:val="false"/>
                <w:color w:val="000000"/>
                <w:sz w:val="20"/>
              </w:rPr>
              <w:t xml:space="preserve"> that such plan does not provide for the transfer of Ordinary Shares during the Restricted Period; </w:t>
            </w:r>
          </w:p>
        </w:tc>
      </w:tr>
    </w:tbl>
    <w:bookmarkEnd w:id="4"/>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bookmarkStart w:name="z3a30e79574e24eaba90eb02c1857b123" w:id="5"/>
    <w:tbl>
      <w:tblPr>
        <w:tblW w:w="0" w:type="auto"/>
        <w:tblCellSpacing w:w="0" w:type="dxa"/>
        <w:tblBorders>
          <w:top w:val="none"/>
          <w:left w:val="none"/>
          <w:bottom w:val="none"/>
          <w:right w:val="none"/>
          <w:insideH w:val="none"/>
          <w:insideV w:val="none"/>
        </w:tblBorders>
      </w:tblPr>
      <w:tblGrid>
        <w:gridCol w:w="960"/>
        <w:gridCol w:w="960"/>
        <w:gridCol w:w="11714"/>
      </w:tblGrid>
      <w:tr>
        <w:trPr>
          <w:trHeight w:val="4020" w:hRule="atLeast"/>
        </w:trPr>
        <w:tc>
          <w:tcPr>
            <w:tcW w:w="960" w:type="dxa"/>
            <w:tcBorders/>
            <w:tcMar>
              <w:top w:w="15" w:type="dxa"/>
              <w:left w:w="15" w:type="dxa"/>
              <w:bottom w:w="15" w:type="dxa"/>
              <w:right w:w="15" w:type="dxa"/>
            </w:tcMar>
            <w:vAlign w:val="center"/>
          </w:tcPr>
          <w:p>
            <w:pPr>
              <w:spacing w:before="0" w:after="0"/>
              <w:ind w:left="0"/>
              <w:jc w:val="left"/>
            </w:pPr>
            <w:r>
              <w:br/>
            </w:r>
          </w:p>
        </w:tc>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171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delivery of Ordinary Shares to the Company for cancellation (or the withholding and cancellation of Ordinary Shares by the Company) as payment for (i) the exercise price of any options granted in the ordinary course pursuant to any of the Company’s current or future employee or director share option, incentive or benefit plans described in the Prospectus or (ii) the withholding taxes due upon the exercise of any such option or the vesting of any restricted Ordinary Shares granted under any such plan; </w:t>
            </w:r>
            <w:r>
              <w:rPr>
                <w:rFonts w:ascii="Times New Roman" w:hAnsi="Times New Roman"/>
                <w:b w:val="false"/>
                <w:i/>
                <w:color w:val="000000"/>
                <w:sz w:val="20"/>
              </w:rPr>
              <w:t>provided</w:t>
            </w:r>
            <w:r>
              <w:rPr>
                <w:rFonts w:ascii="Times New Roman" w:hAnsi="Times New Roman"/>
                <w:b w:val="false"/>
                <w:i w:val="false"/>
                <w:color w:val="000000"/>
                <w:sz w:val="20"/>
              </w:rPr>
              <w:t xml:space="preserve"> that any Ordinary Shares received as contemplated by any transaction described in this clause (C) remain subject to the terms of this Letter Agreement,</w:t>
            </w:r>
            <w:r>
              <w:rPr>
                <w:rFonts w:ascii="Times New Roman" w:hAnsi="Times New Roman"/>
                <w:b w:val="false"/>
                <w:i/>
                <w:color w:val="000000"/>
                <w:sz w:val="20"/>
              </w:rPr>
              <w:t xml:space="preserve"> provided</w:t>
            </w:r>
            <w:r>
              <w:rPr>
                <w:rFonts w:ascii="Times New Roman" w:hAnsi="Times New Roman"/>
                <w:b w:val="false"/>
                <w:i w:val="false"/>
                <w:color w:val="000000"/>
                <w:sz w:val="20"/>
              </w:rPr>
              <w:t xml:space="preserve"> that in the case of any transfer or distribution pursuant to clause (A) (other than in the case of a transfer described in clauses (A)(ix) or (A)(x)), each donee, transferee or distributee shall execute and deliver to the Representative a lock-up letter in the form of this Letter Agreement; and </w:t>
            </w:r>
            <w:r>
              <w:rPr>
                <w:rFonts w:ascii="Times New Roman" w:hAnsi="Times New Roman"/>
                <w:b w:val="false"/>
                <w:i/>
                <w:color w:val="000000"/>
                <w:sz w:val="20"/>
              </w:rPr>
              <w:t>provided, further</w:t>
            </w:r>
            <w:r>
              <w:rPr>
                <w:rFonts w:ascii="Times New Roman" w:hAnsi="Times New Roman"/>
                <w:b w:val="false"/>
                <w:i w:val="false"/>
                <w:color w:val="000000"/>
                <w:sz w:val="20"/>
              </w:rPr>
              <w:t>, that in the case of any transfer or distribution pursuant to clause (A), (B) or (C), no filing by any party (transferor, transferee, distributor or distributee) under the Securities Exchange Act of 1934, as amended (the “</w:t>
            </w:r>
            <w:r>
              <w:rPr>
                <w:rFonts w:ascii="Times New Roman" w:hAnsi="Times New Roman"/>
                <w:b w:val="false"/>
                <w:i w:val="false"/>
                <w:color w:val="000000"/>
                <w:sz w:val="20"/>
                <w:u w:val="single"/>
              </w:rPr>
              <w:t>Exchange Act</w:t>
            </w:r>
            <w:r>
              <w:rPr>
                <w:rFonts w:ascii="Times New Roman" w:hAnsi="Times New Roman"/>
                <w:b w:val="false"/>
                <w:i w:val="false"/>
                <w:color w:val="000000"/>
                <w:sz w:val="20"/>
              </w:rPr>
              <w:t xml:space="preserve">”), or other public announcement or filing (including, for the avoidance of doubt, under any foreign law) shall be required or shall be made voluntarily in connection with such transfer or distribution (other than (i) a filing on a Form 5 made after the expiration of the Restricted Period referred to above and (ii) a filing made pursuant to Section 16(a) of the Exchange Act as a result of a transfer pursuant to clause (A)(i) above; </w:t>
            </w:r>
            <w:r>
              <w:rPr>
                <w:rFonts w:ascii="Times New Roman" w:hAnsi="Times New Roman"/>
                <w:b w:val="false"/>
                <w:i/>
                <w:color w:val="000000"/>
                <w:sz w:val="20"/>
              </w:rPr>
              <w:t>provided</w:t>
            </w:r>
            <w:r>
              <w:rPr>
                <w:rFonts w:ascii="Times New Roman" w:hAnsi="Times New Roman"/>
                <w:b w:val="false"/>
                <w:i w:val="false"/>
                <w:color w:val="000000"/>
                <w:sz w:val="20"/>
              </w:rPr>
              <w:t xml:space="preserve">, </w:t>
            </w:r>
            <w:r>
              <w:rPr>
                <w:rFonts w:ascii="Times New Roman" w:hAnsi="Times New Roman"/>
                <w:b w:val="false"/>
                <w:i/>
                <w:color w:val="000000"/>
                <w:sz w:val="20"/>
              </w:rPr>
              <w:t>however</w:t>
            </w:r>
            <w:r>
              <w:rPr>
                <w:rFonts w:ascii="Times New Roman" w:hAnsi="Times New Roman"/>
                <w:b w:val="false"/>
                <w:i w:val="false"/>
                <w:color w:val="000000"/>
                <w:sz w:val="20"/>
              </w:rPr>
              <w:t xml:space="preserve">, that any such filing in connection with such transfer shall indicate, to the extent permitted by Section 16(a) and the related rules and regulations, that such transfer is a bona fide gift), and </w:t>
            </w:r>
          </w:p>
        </w:tc>
      </w:tr>
    </w:tbl>
    <w:bookmarkEnd w:id="5"/>
    <w:p>
      <w:pPr>
        <w:spacing w:before="0" w:after="0"/>
        <w:ind w:left="120"/>
        <w:jc w:val="left"/>
      </w:pPr>
      <w:r>
        <w:rPr>
          <w:rFonts w:ascii="Times New Roman" w:hAnsi="Times New Roman"/>
          <w:b w:val="false"/>
          <w:i w:val="false"/>
          <w:color w:val="000000"/>
          <w:sz w:val="20"/>
        </w:rPr>
        <w:t xml:space="preserve">   </w:t>
      </w:r>
    </w:p>
    <w:bookmarkStart w:name="z6c0c034af43d400d9261b76242486068" w:id="6"/>
    <w:tbl>
      <w:tblPr>
        <w:tblW w:w="0" w:type="auto"/>
        <w:tblCellSpacing w:w="0" w:type="dxa"/>
        <w:tblBorders>
          <w:top w:val="none"/>
          <w:left w:val="none"/>
          <w:bottom w:val="none"/>
          <w:right w:val="none"/>
          <w:insideH w:val="none"/>
          <w:insideV w:val="none"/>
        </w:tblBorders>
      </w:tblPr>
      <w:tblGrid>
        <w:gridCol w:w="960"/>
        <w:gridCol w:w="960"/>
        <w:gridCol w:w="11714"/>
      </w:tblGrid>
      <w:tr>
        <w:trPr>
          <w:trHeight w:val="660" w:hRule="atLeast"/>
        </w:trPr>
        <w:tc>
          <w:tcPr>
            <w:tcW w:w="960" w:type="dxa"/>
            <w:tcBorders/>
            <w:tcMar>
              <w:top w:w="15" w:type="dxa"/>
              <w:left w:w="15" w:type="dxa"/>
              <w:bottom w:w="15" w:type="dxa"/>
              <w:right w:w="15" w:type="dxa"/>
            </w:tcMar>
            <w:vAlign w:val="center"/>
          </w:tcPr>
          <w:p>
            <w:pPr>
              <w:spacing w:before="0" w:after="0"/>
              <w:ind w:left="0"/>
              <w:jc w:val="left"/>
            </w:pPr>
            <w:r>
              <w:br/>
            </w:r>
          </w:p>
        </w:tc>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171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exercise outstanding options, settle restricted share units or other equity awards or exercise warrants pursuant to plans described in the Prospectus; </w:t>
            </w:r>
            <w:r>
              <w:rPr>
                <w:rFonts w:ascii="Times New Roman" w:hAnsi="Times New Roman"/>
                <w:b w:val="false"/>
                <w:i/>
                <w:color w:val="000000"/>
                <w:sz w:val="20"/>
              </w:rPr>
              <w:t>provided</w:t>
            </w:r>
            <w:r>
              <w:rPr>
                <w:rFonts w:ascii="Times New Roman" w:hAnsi="Times New Roman"/>
                <w:b w:val="false"/>
                <w:i w:val="false"/>
                <w:color w:val="000000"/>
                <w:sz w:val="20"/>
              </w:rPr>
              <w:t xml:space="preserve"> that any securities received upon such exercise, vesting or settlement shall be subject to the terms of this Letter Agreement. </w:t>
            </w:r>
          </w:p>
        </w:tc>
      </w:tr>
    </w:tbl>
    <w:bookmarkEnd w:id="6"/>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furtherance of the foregoing, the Company, and any duly appointed transfer agent for the registration or transfer of the securities described herein, are hereby authorized to decline to make any transfer of securities if such transfer would constitute a violation or breach of this Letter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undersigned hereby represents and warrants that the undersigned has full power and authority to enter into this Letter Agreement.  All authority herein conferred or agreed to be conferred and any obligations of the undersigned shall be binding upon the successors, assigns, heirs or personal representatives of the undersigned.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undersigned acknowledges and agrees that the Underwriters have not provided any recommendation or investment advice nor have the Underwriters solicited any action from the undersigned with respect to the Offering of the Offered Securities and the undersigned has consulted their own legal, accounting, financial, regulatory and tax advisors to the extent deemed appropriate.  The undersigned further acknowledges and agrees that, although the Representative may be required or choose to provide certain Regulation Best Interest and Form CRS disclosures to you in connection with the Offering, the Representative and the other Underwriters are not making a recommendation to you to enter into this Letter Agreement, and nothing set forth in such disclosures is intended to suggest that the Representative or any Underwriter is making such a recommendation.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val="false"/>
          <w:i w:val="false"/>
          <w:color w:val="000000"/>
          <w:sz w:val="20"/>
        </w:rPr>
        <w:t xml:space="preserve"> The undersigned understands that, if (A) the Company notifies the Representative in writing, prior to the execution of the Underwriting Agreement, that it has determined not to proceed with the Offering, (B) the Underwriting Agreement has not been executed and delivered by May ___, 2026, or (C) the Underwriting Agreement (other than the provisions thereof which survive termination) shall terminate or be terminated prior to payment for and delivery of the Offered Securities to be sold thereunder, the undersigned shall be released from, all obligations under this Letter Agreement.  The undersigned understands that the Underwriters are entering into the Underwriting Agreement and proceeding with the Offering in reliance upon this Letter Agreement.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Letter Agreement and any claim, controversy or dispute arising under or related to this Letter Agreement shall be governed by and construed in accordance with the laws of the State of New York.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-4-</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EX-5.1 </w:t>
      </w:r>
      <w:r>
        <w:rPr>
          <w:rFonts w:ascii="Times New Roman" w:hAnsi="Times New Roman"/>
          <w:b w:val="false"/>
          <w:i w:val="false"/>
          <w:color w:val="000000"/>
          <w:sz w:val="20"/>
        </w:rPr>
        <w:t xml:space="preserve">3 </w:t>
      </w:r>
      <w:r>
        <w:rPr>
          <w:rFonts w:ascii="Times New Roman" w:hAnsi="Times New Roman"/>
          <w:b w:val="false"/>
          <w:i w:val="false"/>
          <w:color w:val="000000"/>
          <w:sz w:val="20"/>
        </w:rPr>
        <w:t xml:space="preserve">ef20072665_ex5-1.htm </w:t>
      </w:r>
      <w:r>
        <w:rPr>
          <w:rFonts w:ascii="Times New Roman" w:hAnsi="Times New Roman"/>
          <w:b w:val="false"/>
          <w:i w:val="false"/>
          <w:color w:val="000000"/>
          <w:sz w:val="20"/>
        </w:rPr>
        <w:t xml:space="preserve">EXHIBIT 5.1 </w:t>
      </w:r>
    </w:p>
    <w:p>
      <w:r>
        <w:pict>
          <v:rect style="width:0;height:1.5pt" id="_x0000_i1025" o:hr="t" o:hrstd="t" o:hralign="center" stroked="f" fillcolor="#a0a0a0"/>
        </w:pict>
      </w:r>
    </w:p>
    <w:p>
      <w:pPr>
        <w:spacing w:before="0" w:after="0"/>
        <w:ind w:left="120"/>
        <w:jc w:val="left"/>
      </w:pPr>
    </w:p>
    <w:bookmarkStart w:name="z0a6d65bcb1de458b8a47182486999cc4" w:id="0"/>
    <w:tbl>
      <w:tblPr>
        <w:tblW w:w="0" w:type="auto"/>
        <w:tblCellSpacing w:w="0" w:type="auto"/>
        <w:tblBorders>
          <w:top w:val="none"/>
          <w:left w:val="none"/>
          <w:bottom w:val="none"/>
          <w:right w:val="none"/>
          <w:insideH w:val="none"/>
          <w:insideV w:val="none"/>
        </w:tblBorders>
      </w:tblPr>
      <w:tblGrid>
        <w:gridCol w:w="5680"/>
        <w:gridCol w:w="5681"/>
        <w:gridCol w:w="2273"/>
      </w:tblGrid>
      <w:tr>
        <w:trPr>
          <w:trHeight w:val="435" w:hRule="atLeast"/>
        </w:trPr>
        <w:tc>
          <w:tcPr>
            <w:tcW w:w="56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w:t>
            </w:r>
            <w:bookmarkStart w:name="bmkLibAvocat" w:id="1"/>
            <w:bookmarkEnd w:id="1"/>
            <w:r>
              <w:rPr>
                <w:rFonts w:ascii="Times New Roman" w:hAnsi="Times New Roman"/>
                <w:b w:val="false"/>
                <w:i w:val="false"/>
                <w:color w:val="000000"/>
                <w:sz w:val="20"/>
              </w:rPr>
              <w:t>ATTORNEYS • CIVIL LAW NOTARIES • TAX ADVISERS</w:t>
            </w:r>
            <w:r>
              <w:rPr>
                <w:rFonts w:ascii="Times New Roman" w:hAnsi="Times New Roman"/>
                <w:b w:val="false"/>
                <w:i w:val="false"/>
                <w:color w:val="000000"/>
                <w:sz w:val="16"/>
              </w:rPr>
              <w:t xml:space="preserve"> </w:t>
            </w:r>
          </w:p>
          <w:p>
            <w:pPr>
              <w:spacing w:before="0" w:after="0"/>
              <w:ind w:left="120"/>
              <w:jc w:val="left"/>
            </w:pPr>
            <w:bookmarkStart w:name="bmkFirmLogo1" w:id="2"/>
            <w:bookmarkEnd w:id="2"/>
          </w:p>
        </w:tc>
        <w:tc>
          <w:tcPr>
            <w:tcW w:w="568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266825" cy="152400"/>
                          </a:xfrm>
                          <a:prstGeom prst="rect">
                            <a:avLst/>
                          </a:prstGeom>
                        </pic:spPr>
                      </pic:pic>
                    </a:graphicData>
                  </a:graphic>
                </wp:inline>
              </w:drawing>
            </w:r>
          </w:p>
        </w:tc>
        <w:tc>
          <w:tcPr>
            <w:tcW w:w="2273" w:type="dxa"/>
            <w:tcBorders/>
            <w:tcMar>
              <w:top w:w="15" w:type="dxa"/>
              <w:left w:w="15" w:type="dxa"/>
              <w:bottom w:w="15" w:type="dxa"/>
              <w:right w:w="15" w:type="dxa"/>
            </w:tcMar>
            <w:vAlign w:val="top"/>
          </w:tcPr>
          <w:p>
            <w:pPr>
              <w:spacing w:before="0" w:after="0"/>
              <w:ind w:left="0"/>
              <w:jc w:val="right"/>
            </w:pPr>
            <w:r>
              <w:rPr>
                <w:rFonts w:ascii="Times New Roman" w:hAnsi="Times New Roman"/>
                <w:b/>
                <w:i w:val="false"/>
                <w:color w:val="000000"/>
                <w:sz w:val="20"/>
              </w:rPr>
              <w:t>Exhibit 5.1</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tbl>
      <w:tblPr>
        <w:tblW w:w="0" w:type="auto"/>
        <w:tblCellSpacing w:w="0" w:type="auto"/>
        <w:tblBorders>
          <w:top w:val="none"/>
          <w:left w:val="none"/>
          <w:bottom w:val="none"/>
          <w:right w:val="none"/>
          <w:insideH w:val="none"/>
          <w:insideV w:val="none"/>
        </w:tblBorders>
      </w:tblPr>
      <w:tblGrid>
        <w:gridCol w:w="6817"/>
        <w:gridCol w:w="6817"/>
      </w:tblGrid>
      <w:tr>
        <w:trPr>
          <w:trHeight w:val="1335" w:hRule="atLeast"/>
        </w:trPr>
        <w:tc>
          <w:tcPr>
            <w:tcW w:w="681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P.O. Box 7113 </w:t>
            </w:r>
          </w:p>
          <w:p>
            <w:pPr>
              <w:spacing w:before="0" w:after="0"/>
              <w:ind w:left="120"/>
              <w:jc w:val="left"/>
            </w:pPr>
            <w:r>
              <w:rPr>
                <w:rFonts w:ascii="Times New Roman" w:hAnsi="Times New Roman"/>
                <w:b w:val="false"/>
                <w:i w:val="false"/>
                <w:color w:val="000000"/>
                <w:sz w:val="20"/>
              </w:rPr>
              <w:t xml:space="preserve"> 1007 JC Amsterdam </w:t>
            </w:r>
          </w:p>
          <w:p>
            <w:pPr>
              <w:spacing w:before="0" w:after="0"/>
              <w:ind w:left="120"/>
              <w:jc w:val="left"/>
            </w:pPr>
            <w:r>
              <w:rPr>
                <w:rFonts w:ascii="Times New Roman" w:hAnsi="Times New Roman"/>
                <w:b w:val="false"/>
                <w:i w:val="false"/>
                <w:color w:val="000000"/>
                <w:sz w:val="20"/>
              </w:rPr>
              <w:t xml:space="preserve"> Beethovenstraat 400 </w:t>
            </w:r>
          </w:p>
          <w:p>
            <w:pPr>
              <w:spacing w:before="0" w:after="0"/>
              <w:ind w:left="120"/>
              <w:jc w:val="left"/>
            </w:pPr>
            <w:r>
              <w:rPr>
                <w:rFonts w:ascii="Times New Roman" w:hAnsi="Times New Roman"/>
                <w:b w:val="false"/>
                <w:i w:val="false"/>
                <w:color w:val="000000"/>
                <w:sz w:val="20"/>
              </w:rPr>
              <w:t xml:space="preserve"> 1082 PR Amsterdam </w:t>
            </w:r>
          </w:p>
          <w:p>
            <w:pPr>
              <w:spacing w:before="0" w:after="0"/>
              <w:ind w:left="120"/>
              <w:jc w:val="left"/>
            </w:pPr>
            <w:r>
              <w:rPr>
                <w:rFonts w:ascii="Times New Roman" w:hAnsi="Times New Roman"/>
                <w:b w:val="false"/>
                <w:i w:val="false"/>
                <w:color w:val="000000"/>
                <w:sz w:val="20"/>
              </w:rPr>
              <w:t xml:space="preserve"> T +31 20 71 71 000 </w:t>
            </w:r>
          </w:p>
          <w:p>
            <w:pPr>
              <w:spacing w:before="0" w:after="0"/>
              <w:ind w:left="120"/>
              <w:jc w:val="left"/>
            </w:pPr>
            <w:r>
              <w:rPr>
                <w:rFonts w:ascii="Times New Roman" w:hAnsi="Times New Roman"/>
                <w:b w:val="false"/>
                <w:i w:val="false"/>
                <w:color w:val="000000"/>
                <w:sz w:val="20"/>
              </w:rPr>
              <w:t xml:space="preserve"> F +31 20 71 71 111 </w:t>
            </w:r>
          </w:p>
        </w:tc>
        <w:tc>
          <w:tcPr>
            <w:tcW w:w="681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Amsterdam, 7 May 2026. </w:t>
            </w:r>
          </w:p>
          <w:p>
            <w:pPr>
              <w:spacing w:before="0" w:after="0"/>
              <w:ind w:left="120"/>
              <w:jc w:val="left"/>
            </w:pPr>
            <w:bookmarkStart w:name="bmkFaxno" w:id="3"/>
            <w:bookmarkEnd w:id="3"/>
            <w:bookmarkStart w:name="bmkFaxnoLINE" w:id="4"/>
            <w:bookmarkEnd w:id="4"/>
            <w:bookmarkStart w:name="bmkYourref" w:id="5"/>
            <w:bookmarkEnd w:id="5"/>
          </w:p>
          <w:p>
            <w:pPr>
              <w:spacing w:before="0" w:after="0"/>
              <w:ind w:left="120"/>
              <w:jc w:val="left"/>
            </w:pPr>
            <w:r>
              <w:rPr>
                <w:rFonts w:ascii="Times New Roman" w:hAnsi="Times New Roman"/>
                <w:b w:val="false"/>
                <w:i w:val="false"/>
                <w:color w:val="000000"/>
                <w:sz w:val="20"/>
              </w:rPr>
              <w:t xml:space="preserve">  </w:t>
            </w:r>
          </w:p>
        </w:tc>
      </w:tr>
    </w:tbl>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both"/>
      </w:pPr>
      <w:r>
        <w:rPr>
          <w:rFonts w:ascii="Times New Roman" w:hAnsi="Times New Roman"/>
          <w:b w:val="false"/>
          <w:i w:val="false"/>
          <w:color w:val="000000"/>
          <w:sz w:val="20"/>
        </w:rPr>
        <w:t xml:space="preserve"> </w:t>
      </w:r>
      <w:bookmarkStart w:name="bmkExtrapara2" w:id="6"/>
      <w:bookmarkEnd w:id="6"/>
      <w:bookmarkStart w:name="bmkDocinfo" w:id="7"/>
      <w:bookmarkEnd w:id="7"/>
      <w:r>
        <w:rPr>
          <w:rFonts w:ascii="Times New Roman" w:hAnsi="Times New Roman"/>
          <w:b w:val="false"/>
          <w:i w:val="false"/>
          <w:color w:val="000000"/>
          <w:sz w:val="20"/>
        </w:rPr>
        <w:t xml:space="preserve">To the Company: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We have acted as legal counsel as to Dutch law to the Company in connection with the Offering. This opinion letter is rendered to you in order to be filed with the SEC in connection with the Offering.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Capitalised terms used in this opinion letter have the meanings set forth in Exhibit A to this opinion letter. The section headings used in this opinion letter are for convenience of reference only and are not to affect its construction or to be taken into consideration in its interpretation.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opinion letter is strictly limited to the matters stated in it and may not be read as extending by implication to any matters not specifically referred to in it. Nothing in this opinion letter should be taken as expressing an opinion in respect of any representations or warranties, or other information, contained in any document reviewed by us in connection with this opinion letter.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rendering the opinions expressed in this opinion letter, we have reviewed and relied upon drafts of the Reviewed Documents, the Prospectus Supplement and pdf copies or drafts, as the case may be, of the Corporate Documents and we have assumed that the Reviewed Documents shall be entered into for bona fide commercial reasons. We have not investigated or verified any factual matter disclosed to us in the course of our review.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This opinion letter sets out our opinion on certain matters of the laws with general applicability of the Netherlands, and, insofar as they are directly applicable in the Netherlands, of the European Union, as at today’s date and as presently interpreted under published authoritative case law of the Dutch courts, the General Court and the Court of Justice of the European Union. We do not express any opinion on Dutch or European competition law, </w:t>
      </w:r>
      <w:r>
        <w:rPr>
          <w:rFonts w:ascii="Times New Roman" w:hAnsi="Times New Roman"/>
          <w:b w:val="false"/>
          <w:i w:val="false"/>
          <w:color w:val="000000"/>
          <w:sz w:val="20"/>
        </w:rPr>
        <w:t xml:space="preserve">data protection law, </w:t>
      </w:r>
      <w:r>
        <w:rPr>
          <w:rFonts w:ascii="Times New Roman" w:hAnsi="Times New Roman"/>
          <w:b w:val="false"/>
          <w:i w:val="false"/>
          <w:color w:val="000000"/>
          <w:sz w:val="20"/>
        </w:rPr>
        <w:t>tax law, securitisation law or regulatory law. No undertaking is assumed on our part to revise, update or amend this opinion letter in connection with, or to notify or inform you of, any developments and/or changes of Dutch law subsequent to today’s date. We do not purport to opine on the consequences of amendments to the Reviewed Documents, the Registration Statement or the Corporate Documents subsequent to the date of this opinion letter.</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16"/>
        </w:rPr>
        <w:t xml:space="preserve"> All legal relationships are subject to NautaDutilh N.V.’s general terms and conditions (see https://www.nautadutilh.com/terms), which apply mutatis mutandis to our relationship with third parties relying on statements of NautaDutilh N.V., include a limitation of liability clause, have been filed with the Rotterdam District Court and will be provided free of charge upon request. NautaDutilh N.V.; corporate seat Rotterdam; trade register no. 24338323.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2</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opinions expressed in this opinion letter are to be construed and interpreted in accordance with Dutch law. The competent courts at Amsterdam, the Netherlands, have exclusive jurisdiction to settle any issues of interpretation or liability arising out of or in connection with this opinion letter. Any legal relationship arising out of or in connection with this opinion letter (whether contractual or non-contractual), including the above submission to jurisdiction, is governed by Dutch law and shall be subject to the general terms and conditions of NautaDutilh. Any liability arising out of or in connection with this opinion letter shall be limited to the amount which is paid out under NautaDutilh’s insurance policy in the matter concerned. No person other than NautaDutilh may be held liable in connection with this opinion letter.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this opinion letter, legal concepts are expressed in English terms. The Dutch legal concepts concerned may not be identical in meaning to the concepts described by the English terms as they exist under the law of other jurisdictions. In the event of a conflict or inconsistency, the relevant expression shall be deemed to refer only to the Dutch legal concepts described by the English terms.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For the purposes of this opinion letter, we have assumed that: </w:t>
      </w:r>
    </w:p>
    <w:p>
      <w:pPr>
        <w:spacing w:before="0" w:after="0"/>
        <w:ind w:left="120"/>
        <w:jc w:val="left"/>
      </w:pPr>
      <w:r>
        <w:rPr>
          <w:rFonts w:ascii="Times New Roman" w:hAnsi="Times New Roman"/>
          <w:b w:val="false"/>
          <w:i w:val="false"/>
          <w:color w:val="000000"/>
          <w:sz w:val="20"/>
        </w:rPr>
        <w:t xml:space="preserve">   </w:t>
      </w:r>
    </w:p>
    <w:bookmarkStart w:name="z79553f90914a43408f311d5f475f9637" w:id="8"/>
    <w:tbl>
      <w:tblPr>
        <w:tblW w:w="0" w:type="auto"/>
        <w:tblCellSpacing w:w="0" w:type="dxa"/>
        <w:tblBorders>
          <w:top w:val="none"/>
          <w:left w:val="none"/>
          <w:bottom w:val="none"/>
          <w:right w:val="none"/>
          <w:insideH w:val="none"/>
          <w:insideV w:val="none"/>
        </w:tblBorders>
      </w:tblPr>
      <w:tblGrid>
        <w:gridCol w:w="960"/>
        <w:gridCol w:w="12674"/>
      </w:tblGrid>
      <w:tr>
        <w:trPr>
          <w:trHeight w:val="66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drafts of documents reviewed by us will be signed in the form of those drafts, each copy of a document conforms to the original, each original is authentic, and each signature is the genuine signature of the individual purported to have placed that signature; </w:t>
            </w:r>
          </w:p>
        </w:tc>
      </w:tr>
    </w:tbl>
    <w:bookmarkEnd w:id="8"/>
    <w:p>
      <w:pPr>
        <w:spacing w:before="0" w:after="0"/>
        <w:ind w:left="120"/>
        <w:jc w:val="left"/>
      </w:pPr>
      <w:r>
        <w:rPr>
          <w:rFonts w:ascii="Times New Roman" w:hAnsi="Times New Roman"/>
          <w:b w:val="false"/>
          <w:i w:val="false"/>
          <w:color w:val="000000"/>
          <w:sz w:val="20"/>
        </w:rPr>
        <w:t xml:space="preserve">   </w:t>
      </w:r>
    </w:p>
    <w:bookmarkStart w:name="zfc69f458c690446099da4e796e5040e2" w:id="9"/>
    <w:tbl>
      <w:tblPr>
        <w:tblW w:w="0" w:type="auto"/>
        <w:tblCellSpacing w:w="0" w:type="dxa"/>
        <w:tblBorders>
          <w:top w:val="none"/>
          <w:left w:val="none"/>
          <w:bottom w:val="none"/>
          <w:right w:val="none"/>
          <w:insideH w:val="none"/>
          <w:insideV w:val="none"/>
        </w:tblBorders>
      </w:tblPr>
      <w:tblGrid>
        <w:gridCol w:w="960"/>
        <w:gridCol w:w="12674"/>
      </w:tblGrid>
      <w:tr>
        <w:trPr>
          <w:trHeight w:val="66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if any signature under any document is an electronic signature (as opposed to a handwritten (“wet ink”) signature) only, it is either a qualified electronic signature within the meaning of the eIDAS Regulation, or the method used for signing is otherwise sufficiently reliable; </w:t>
            </w:r>
          </w:p>
        </w:tc>
      </w:tr>
    </w:tbl>
    <w:bookmarkEnd w:id="9"/>
    <w:p>
      <w:pPr>
        <w:spacing w:before="0" w:after="0"/>
        <w:ind w:left="120"/>
        <w:jc w:val="left"/>
      </w:pPr>
      <w:r>
        <w:rPr>
          <w:rFonts w:ascii="Times New Roman" w:hAnsi="Times New Roman"/>
          <w:b w:val="false"/>
          <w:i w:val="false"/>
          <w:color w:val="000000"/>
          <w:sz w:val="20"/>
        </w:rPr>
        <w:t xml:space="preserve">   </w:t>
      </w:r>
    </w:p>
    <w:bookmarkStart w:name="z065420d1e3b54f22ae20067aff970f8e" w:id="10"/>
    <w:tbl>
      <w:tblPr>
        <w:tblW w:w="0" w:type="auto"/>
        <w:tblCellSpacing w:w="0" w:type="dxa"/>
        <w:tblBorders>
          <w:top w:val="none"/>
          <w:left w:val="none"/>
          <w:bottom w:val="none"/>
          <w:right w:val="none"/>
          <w:insideH w:val="none"/>
          <w:insideV w:val="none"/>
        </w:tblBorders>
      </w:tblPr>
      <w:tblGrid>
        <w:gridCol w:w="960"/>
        <w:gridCol w:w="12674"/>
      </w:tblGrid>
      <w:tr>
        <w:trPr>
          <w:trHeight w:val="21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Registration Statement has been declared effective by the SEC in the form reviewed by us; </w:t>
            </w:r>
          </w:p>
        </w:tc>
      </w:tr>
    </w:tbl>
    <w:bookmarkEnd w:id="10"/>
    <w:p>
      <w:pPr>
        <w:spacing w:before="0" w:after="0"/>
        <w:ind w:left="120"/>
        <w:jc w:val="left"/>
      </w:pPr>
      <w:r>
        <w:rPr>
          <w:rFonts w:ascii="Times New Roman" w:hAnsi="Times New Roman"/>
          <w:b w:val="false"/>
          <w:i w:val="false"/>
          <w:color w:val="000000"/>
          <w:sz w:val="20"/>
        </w:rPr>
        <w:t xml:space="preserve">   </w:t>
      </w:r>
    </w:p>
    <w:bookmarkStart w:name="z57c78bfcd57e4c708797d78f5a016ad3" w:id="11"/>
    <w:tbl>
      <w:tblPr>
        <w:tblW w:w="0" w:type="auto"/>
        <w:tblCellSpacing w:w="0" w:type="dxa"/>
        <w:tblBorders>
          <w:top w:val="none"/>
          <w:left w:val="none"/>
          <w:bottom w:val="none"/>
          <w:right w:val="none"/>
          <w:insideH w:val="none"/>
          <w:insideV w:val="none"/>
        </w:tblBorders>
      </w:tblPr>
      <w:tblGrid>
        <w:gridCol w:w="960"/>
        <w:gridCol w:w="12674"/>
      </w:tblGrid>
      <w:tr>
        <w:trPr>
          <w:trHeight w:val="1335"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at each Relevant Moment, </w:t>
            </w:r>
            <w:bookmarkStart w:name="z_Hlk138081591" w:id="12"/>
            <w:bookmarkEnd w:id="12"/>
            <w:r>
              <w:rPr>
                <w:rFonts w:ascii="Times New Roman" w:hAnsi="Times New Roman"/>
                <w:b w:val="false"/>
                <w:i w:val="false"/>
                <w:color w:val="000000"/>
                <w:sz w:val="20"/>
              </w:rPr>
              <w:t xml:space="preserve">(i) Ordinary Shares shall have been admitted for trading on a trading system outside the European Economic Area comparable to a regulated market or a multilateral trading facility as referred to in Section 2:86c(1) DCC and (ii) no financial instruments issued by the Company (or depository receipts for or otherwise representing such financial instruments) have been admitted to trading on a regulated market, multilateral trading facility or organised trading facility operating in the European Economic Area (and no request for admission of any such financial instruments to trading on any such trading venue has been made; </w:t>
            </w:r>
          </w:p>
        </w:tc>
      </w:tr>
    </w:tbl>
    <w:bookmarkEnd w:id="11"/>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3</w:t>
      </w:r>
      <w:r>
        <w:rPr>
          <w:rFonts w:ascii="Times New Roman" w:hAnsi="Times New Roman"/>
          <w:b w:val="false"/>
          <w:i w:val="false"/>
          <w:color w:val="000000"/>
          <w:sz w:val="20"/>
        </w:rPr>
        <w:t xml:space="preserve"> </w:t>
      </w:r>
    </w:p>
    <w:bookmarkStart w:name="z5d19609869c048ab928db60508931bc4" w:id="13"/>
    <w:tbl>
      <w:tblPr>
        <w:tblW w:w="0" w:type="auto"/>
        <w:tblCellSpacing w:w="0" w:type="dxa"/>
        <w:tblBorders>
          <w:top w:val="none"/>
          <w:left w:val="none"/>
          <w:bottom w:val="none"/>
          <w:right w:val="none"/>
          <w:insideH w:val="none"/>
          <w:insideV w:val="none"/>
        </w:tblBorders>
      </w:tblPr>
      <w:tblGrid>
        <w:gridCol w:w="960"/>
        <w:gridCol w:w="12674"/>
      </w:tblGrid>
      <w:tr>
        <w:trPr>
          <w:trHeight w:val="66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 no internal regulations (</w:t>
            </w:r>
            <w:r>
              <w:rPr>
                <w:rFonts w:ascii="Times New Roman" w:hAnsi="Times New Roman"/>
                <w:b w:val="false"/>
                <w:i/>
                <w:color w:val="000000"/>
                <w:sz w:val="20"/>
              </w:rPr>
              <w:t>reglementen</w:t>
            </w:r>
            <w:r>
              <w:rPr>
                <w:rFonts w:ascii="Times New Roman" w:hAnsi="Times New Roman"/>
                <w:b w:val="false"/>
                <w:i w:val="false"/>
                <w:color w:val="000000"/>
                <w:sz w:val="20"/>
              </w:rPr>
              <w:t xml:space="preserve">) have been adopted by any corporate body of the Company which would affect the validity of the resolutions recorded in the Resolutions and (ii) the Current Articles are the Articles of Association currently in force and as they will be in force at each Relevant Moment; </w:t>
            </w:r>
          </w:p>
        </w:tc>
      </w:tr>
    </w:tbl>
    <w:bookmarkEnd w:id="13"/>
    <w:p>
      <w:pPr>
        <w:spacing w:before="0" w:after="0"/>
        <w:ind w:left="120"/>
        <w:jc w:val="left"/>
      </w:pPr>
      <w:r>
        <w:rPr>
          <w:rFonts w:ascii="Times New Roman" w:hAnsi="Times New Roman"/>
          <w:b w:val="false"/>
          <w:i w:val="false"/>
          <w:color w:val="000000"/>
          <w:sz w:val="20"/>
        </w:rPr>
        <w:t xml:space="preserve">   </w:t>
      </w:r>
    </w:p>
    <w:bookmarkStart w:name="z6a0ced0097e74c5a95061cba42390ec4" w:id="14"/>
    <w:tbl>
      <w:tblPr>
        <w:tblW w:w="0" w:type="auto"/>
        <w:tblCellSpacing w:w="0" w:type="dxa"/>
        <w:tblBorders>
          <w:top w:val="none"/>
          <w:left w:val="none"/>
          <w:bottom w:val="none"/>
          <w:right w:val="none"/>
          <w:insideH w:val="none"/>
          <w:insideV w:val="none"/>
        </w:tblBorders>
      </w:tblPr>
      <w:tblGrid>
        <w:gridCol w:w="960"/>
        <w:gridCol w:w="12674"/>
      </w:tblGrid>
      <w:tr>
        <w:trPr>
          <w:trHeight w:val="660"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f.</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 at each Relevant Moment, the resolutions recorded in the Resolutions shall be in full force and effect and (ii) at each Relevant Moment, the factual statements made and the confirmations given in the Resolutions and in each Deed of Issue shall be complete and correct; </w:t>
            </w:r>
          </w:p>
        </w:tc>
      </w:tr>
    </w:tbl>
    <w:bookmarkEnd w:id="14"/>
    <w:p>
      <w:pPr>
        <w:spacing w:before="0" w:after="0"/>
        <w:ind w:left="120"/>
        <w:jc w:val="left"/>
      </w:pPr>
      <w:r>
        <w:rPr>
          <w:rFonts w:ascii="Times New Roman" w:hAnsi="Times New Roman"/>
          <w:b w:val="false"/>
          <w:i w:val="false"/>
          <w:color w:val="000000"/>
          <w:sz w:val="20"/>
        </w:rPr>
        <w:t xml:space="preserve">   </w:t>
      </w:r>
    </w:p>
    <w:bookmarkStart w:name="z4dea8865e7e742f3ab5112d0996a9ca5" w:id="15"/>
    <w:tbl>
      <w:tblPr>
        <w:tblW w:w="0" w:type="auto"/>
        <w:tblCellSpacing w:w="0" w:type="dxa"/>
        <w:tblBorders>
          <w:top w:val="none"/>
          <w:left w:val="none"/>
          <w:bottom w:val="none"/>
          <w:right w:val="none"/>
          <w:insideH w:val="none"/>
          <w:insideV w:val="none"/>
        </w:tblBorders>
      </w:tblPr>
      <w:tblGrid>
        <w:gridCol w:w="960"/>
        <w:gridCol w:w="12674"/>
      </w:tblGrid>
      <w:tr>
        <w:trPr>
          <w:trHeight w:val="435"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g.</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at each Relevant Moment, the authorised share capital (</w:t>
            </w:r>
            <w:r>
              <w:rPr>
                <w:rFonts w:ascii="Times New Roman" w:hAnsi="Times New Roman"/>
                <w:b w:val="false"/>
                <w:i/>
                <w:color w:val="000000"/>
                <w:sz w:val="20"/>
              </w:rPr>
              <w:t>maatschappelijk kapitaal</w:t>
            </w:r>
            <w:r>
              <w:rPr>
                <w:rFonts w:ascii="Times New Roman" w:hAnsi="Times New Roman"/>
                <w:b w:val="false"/>
                <w:i w:val="false"/>
                <w:color w:val="000000"/>
                <w:sz w:val="20"/>
              </w:rPr>
              <w:t xml:space="preserve">) of the Company shall allow for the </w:t>
            </w:r>
            <w:r>
              <w:rPr>
                <w:rFonts w:ascii="Times New Roman" w:hAnsi="Times New Roman"/>
                <w:b w:val="false"/>
                <w:i w:val="false"/>
                <w:color w:val="000000"/>
                <w:sz w:val="20"/>
              </w:rPr>
              <w:t xml:space="preserve">issuance of the Offer Shares; </w:t>
            </w:r>
          </w:p>
        </w:tc>
      </w:tr>
    </w:tbl>
    <w:bookmarkEnd w:id="15"/>
    <w:p>
      <w:pPr>
        <w:spacing w:before="0" w:after="0"/>
        <w:ind w:left="120"/>
        <w:jc w:val="left"/>
      </w:pPr>
      <w:r>
        <w:rPr>
          <w:rFonts w:ascii="Times New Roman" w:hAnsi="Times New Roman"/>
          <w:b w:val="false"/>
          <w:i w:val="false"/>
          <w:color w:val="000000"/>
          <w:sz w:val="20"/>
        </w:rPr>
        <w:t xml:space="preserve">   </w:t>
      </w:r>
    </w:p>
    <w:bookmarkStart w:name="ze19cca664505484a9e7625d6a751267a" w:id="16"/>
    <w:tbl>
      <w:tblPr>
        <w:tblW w:w="0" w:type="auto"/>
        <w:tblCellSpacing w:w="0" w:type="dxa"/>
        <w:tblBorders>
          <w:top w:val="none"/>
          <w:left w:val="none"/>
          <w:bottom w:val="none"/>
          <w:right w:val="none"/>
          <w:insideH w:val="none"/>
          <w:insideV w:val="none"/>
        </w:tblBorders>
      </w:tblPr>
      <w:tblGrid>
        <w:gridCol w:w="960"/>
        <w:gridCol w:w="12674"/>
      </w:tblGrid>
      <w:tr>
        <w:trPr>
          <w:trHeight w:val="435"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h.</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at a Relevant Moment, the relevant Deed of Issue shall have been validly signed and executed on behalf of the Company; and </w:t>
            </w:r>
          </w:p>
        </w:tc>
      </w:tr>
    </w:tbl>
    <w:bookmarkEnd w:id="16"/>
    <w:p>
      <w:pPr>
        <w:spacing w:before="0" w:after="0"/>
        <w:ind w:left="120"/>
        <w:jc w:val="left"/>
      </w:pPr>
      <w:r>
        <w:rPr>
          <w:rFonts w:ascii="Times New Roman" w:hAnsi="Times New Roman"/>
          <w:b w:val="false"/>
          <w:i w:val="false"/>
          <w:color w:val="000000"/>
          <w:sz w:val="20"/>
        </w:rPr>
        <w:t xml:space="preserve">   </w:t>
      </w:r>
    </w:p>
    <w:bookmarkStart w:name="z2e9e02c936d84c598445e885246c8ad3" w:id="17"/>
    <w:tbl>
      <w:tblPr>
        <w:tblW w:w="0" w:type="auto"/>
        <w:tblCellSpacing w:w="0" w:type="dxa"/>
        <w:tblBorders>
          <w:top w:val="none"/>
          <w:left w:val="none"/>
          <w:bottom w:val="none"/>
          <w:right w:val="none"/>
          <w:insideH w:val="none"/>
          <w:insideV w:val="none"/>
        </w:tblBorders>
      </w:tblPr>
      <w:tblGrid>
        <w:gridCol w:w="960"/>
        <w:gridCol w:w="12674"/>
      </w:tblGrid>
      <w:tr>
        <w:trPr>
          <w:trHeight w:val="435" w:hRule="atLeast"/>
        </w:trPr>
        <w:tc>
          <w:tcPr>
            <w:tcW w:w="96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i.</w:t>
            </w:r>
          </w:p>
        </w:tc>
        <w:tc>
          <w:tcPr>
            <w:tcW w:w="1267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Offering, to the extent made in the Netherlands, has been, is and will be made in conformity with the Prospectus Regulation and the rules promulgated thereunder. </w:t>
            </w:r>
          </w:p>
        </w:tc>
      </w:tr>
    </w:tbl>
    <w:bookmarkEnd w:id="17"/>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Based upon and subject to the foregoing and subject to the qualifications set forth in this opinion letter and to any matters, documents or events not disclosed to us, we express the following opinions: </w:t>
      </w:r>
    </w:p>
    <w:p>
      <w:pPr>
        <w:spacing w:before="0" w:after="0"/>
        <w:ind w:left="120"/>
        <w:jc w:val="left"/>
      </w:pPr>
      <w:r>
        <w:rPr>
          <w:rFonts w:ascii="Times New Roman" w:hAnsi="Times New Roman"/>
          <w:b w:val="false"/>
          <w:i w:val="false"/>
          <w:color w:val="000000"/>
          <w:sz w:val="20"/>
        </w:rPr>
        <w:t xml:space="preserve">   </w:t>
      </w:r>
    </w:p>
    <w:p>
      <w:pPr>
        <w:spacing w:before="0" w:after="0"/>
        <w:ind w:left="829"/>
        <w:jc w:val="both"/>
      </w:pPr>
      <w:r>
        <w:rPr>
          <w:rFonts w:ascii="Times New Roman" w:hAnsi="Times New Roman"/>
          <w:b/>
          <w:i w:val="false"/>
          <w:color w:val="000000"/>
          <w:sz w:val="20"/>
        </w:rPr>
        <w:t xml:space="preserve"> Corporate Status </w:t>
      </w:r>
    </w:p>
    <w:p>
      <w:pPr>
        <w:spacing w:before="0" w:after="0"/>
        <w:ind w:left="120"/>
        <w:jc w:val="left"/>
      </w:pPr>
      <w:r>
        <w:rPr>
          <w:rFonts w:ascii="Times New Roman" w:hAnsi="Times New Roman"/>
          <w:b w:val="false"/>
          <w:i w:val="false"/>
          <w:color w:val="000000"/>
          <w:sz w:val="20"/>
        </w:rPr>
        <w:t xml:space="preserve">   </w:t>
      </w:r>
    </w:p>
    <w:bookmarkStart w:name="z3b628cee053d4d16afe4df286a7a754a" w:id="18"/>
    <w:tbl>
      <w:tblPr>
        <w:tblW w:w="0" w:type="auto"/>
        <w:tblCellSpacing w:w="0" w:type="dxa"/>
        <w:tblBorders>
          <w:top w:val="none"/>
          <w:left w:val="none"/>
          <w:bottom w:val="none"/>
          <w:right w:val="none"/>
          <w:insideH w:val="none"/>
          <w:insideV w:val="none"/>
        </w:tblBorders>
      </w:tblPr>
      <w:tblGrid>
        <w:gridCol w:w="945"/>
        <w:gridCol w:w="12689"/>
      </w:tblGrid>
      <w:tr>
        <w:trPr>
          <w:trHeight w:val="435" w:hRule="atLeast"/>
        </w:trPr>
        <w:tc>
          <w:tcPr>
            <w:tcW w:w="945" w:type="dxa"/>
            <w:tcBorders/>
            <w:tcMar>
              <w:top w:w="15" w:type="dxa"/>
              <w:left w:w="15" w:type="dxa"/>
              <w:bottom w:w="15" w:type="dxa"/>
              <w:right w:w="15" w:type="dxa"/>
            </w:tcMar>
            <w:vAlign w:val="top"/>
          </w:tcPr>
          <w:bookmarkStart w:name="z_Ref456354275" w:id="19"/>
          <w:bookmarkEnd w:id="19"/>
          <w:p>
            <w:pPr>
              <w:spacing w:before="0" w:after="0"/>
              <w:ind w:left="0"/>
              <w:jc w:val="left"/>
            </w:pPr>
            <w:r>
              <w:rPr>
                <w:rFonts w:ascii="Times New Roman" w:hAnsi="Times New Roman"/>
                <w:b w:val="false"/>
                <w:i w:val="false"/>
                <w:color w:val="000000"/>
                <w:sz w:val="20"/>
              </w:rPr>
              <w:t>1.</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 has been duly incorporated as a </w:t>
            </w:r>
            <w:r>
              <w:rPr>
                <w:rFonts w:ascii="Times New Roman" w:hAnsi="Times New Roman"/>
                <w:b w:val="false"/>
                <w:i/>
                <w:color w:val="000000"/>
                <w:sz w:val="20"/>
              </w:rPr>
              <w:t>besloten vennootschap met beperkte aansprakelijkheid</w:t>
            </w:r>
            <w:r>
              <w:rPr>
                <w:rFonts w:ascii="Times New Roman" w:hAnsi="Times New Roman"/>
                <w:b w:val="false"/>
                <w:i w:val="false"/>
                <w:color w:val="000000"/>
                <w:sz w:val="20"/>
              </w:rPr>
              <w:t xml:space="preserve"> and is validly existing as a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w:t>
            </w:r>
          </w:p>
        </w:tc>
      </w:tr>
    </w:tbl>
    <w:bookmarkEnd w:id="18"/>
    <w:p>
      <w:pPr>
        <w:spacing w:before="0" w:after="0"/>
        <w:ind w:left="120"/>
        <w:jc w:val="left"/>
      </w:pPr>
      <w:r>
        <w:rPr>
          <w:rFonts w:ascii="Times New Roman" w:hAnsi="Times New Roman"/>
          <w:b w:val="false"/>
          <w:i w:val="false"/>
          <w:color w:val="000000"/>
          <w:sz w:val="20"/>
        </w:rPr>
        <w:t xml:space="preserve">   </w:t>
      </w:r>
    </w:p>
    <w:p>
      <w:pPr>
        <w:spacing w:before="0" w:after="0"/>
        <w:ind w:left="829"/>
        <w:jc w:val="both"/>
      </w:pPr>
      <w:r>
        <w:rPr>
          <w:rFonts w:ascii="Times New Roman" w:hAnsi="Times New Roman"/>
          <w:b/>
          <w:i w:val="false"/>
          <w:color w:val="000000"/>
          <w:sz w:val="20"/>
        </w:rPr>
        <w:t xml:space="preserve"> Offer Shares </w:t>
      </w:r>
    </w:p>
    <w:p>
      <w:pPr>
        <w:spacing w:before="0" w:after="0"/>
        <w:ind w:left="120"/>
        <w:jc w:val="left"/>
      </w:pPr>
      <w:r>
        <w:rPr>
          <w:rFonts w:ascii="Times New Roman" w:hAnsi="Times New Roman"/>
          <w:b w:val="false"/>
          <w:i w:val="false"/>
          <w:color w:val="000000"/>
          <w:sz w:val="20"/>
        </w:rPr>
        <w:t xml:space="preserve">   </w:t>
      </w:r>
    </w:p>
    <w:bookmarkStart w:name="z84b68f56b8bd4a5c9e638927af0c6d5f" w:id="20"/>
    <w:tbl>
      <w:tblPr>
        <w:tblW w:w="0" w:type="auto"/>
        <w:tblCellSpacing w:w="0" w:type="dxa"/>
        <w:tblBorders>
          <w:top w:val="none"/>
          <w:left w:val="none"/>
          <w:bottom w:val="none"/>
          <w:right w:val="none"/>
          <w:insideH w:val="none"/>
          <w:insideV w:val="none"/>
        </w:tblBorders>
      </w:tblPr>
      <w:tblGrid>
        <w:gridCol w:w="945"/>
        <w:gridCol w:w="12689"/>
      </w:tblGrid>
      <w:tr>
        <w:trPr>
          <w:trHeight w:val="660" w:hRule="atLeast"/>
        </w:trPr>
        <w:tc>
          <w:tcPr>
            <w:tcW w:w="945" w:type="dxa"/>
            <w:tcBorders/>
            <w:tcMar>
              <w:top w:w="15" w:type="dxa"/>
              <w:left w:w="15" w:type="dxa"/>
              <w:bottom w:w="15" w:type="dxa"/>
              <w:right w:w="15" w:type="dxa"/>
            </w:tcMar>
            <w:vAlign w:val="top"/>
          </w:tcPr>
          <w:bookmarkStart w:name="z_Ref390950859" w:id="21"/>
          <w:bookmarkEnd w:id="21"/>
          <w:p>
            <w:pPr>
              <w:spacing w:before="0" w:after="0"/>
              <w:ind w:left="0"/>
              <w:jc w:val="left"/>
            </w:pPr>
            <w:r>
              <w:rPr>
                <w:rFonts w:ascii="Times New Roman" w:hAnsi="Times New Roman"/>
                <w:b w:val="false"/>
                <w:i w:val="false"/>
                <w:color w:val="000000"/>
                <w:sz w:val="20"/>
              </w:rPr>
              <w:t>2.</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Subject to receipt by the Company of payment in full for the Offer Shares as provided for in the Reviewed Documents, and when issued and accepted in accordance with the Resolutions and the Reviewed Documents, the Offer Shares shall be validly issued, fully paid and non-assessable. </w:t>
            </w:r>
          </w:p>
        </w:tc>
      </w:tr>
    </w:tbl>
    <w:bookmarkEnd w:id="20"/>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opinions expressed above are subject to the following qualifications: </w:t>
      </w:r>
    </w:p>
    <w:p>
      <w:pPr>
        <w:spacing w:before="0" w:after="0"/>
        <w:ind w:left="120"/>
        <w:jc w:val="left"/>
      </w:pPr>
      <w:r>
        <w:rPr>
          <w:rFonts w:ascii="Times New Roman" w:hAnsi="Times New Roman"/>
          <w:b w:val="false"/>
          <w:i w:val="false"/>
          <w:color w:val="000000"/>
          <w:sz w:val="20"/>
        </w:rPr>
        <w:t xml:space="preserve">   </w:t>
      </w:r>
    </w:p>
    <w:bookmarkStart w:name="za72c8047e0a7450ca749af07b68524e0" w:id="22"/>
    <w:tbl>
      <w:tblPr>
        <w:tblW w:w="0" w:type="auto"/>
        <w:tblCellSpacing w:w="0" w:type="dxa"/>
        <w:tblBorders>
          <w:top w:val="none"/>
          <w:left w:val="none"/>
          <w:bottom w:val="none"/>
          <w:right w:val="none"/>
          <w:insideH w:val="none"/>
          <w:insideV w:val="none"/>
        </w:tblBorders>
      </w:tblPr>
      <w:tblGrid>
        <w:gridCol w:w="945"/>
        <w:gridCol w:w="12689"/>
      </w:tblGrid>
      <w:tr>
        <w:trPr>
          <w:trHeight w:val="88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Opinion 1 must not be read to imply that the Company cannot be dissolved (</w:t>
            </w:r>
            <w:r>
              <w:rPr>
                <w:rFonts w:ascii="Times New Roman" w:hAnsi="Times New Roman"/>
                <w:b w:val="false"/>
                <w:i/>
                <w:color w:val="000000"/>
                <w:sz w:val="20"/>
              </w:rPr>
              <w:t>ontbonden</w:t>
            </w:r>
            <w:r>
              <w:rPr>
                <w:rFonts w:ascii="Times New Roman" w:hAnsi="Times New Roman"/>
                <w:b w:val="false"/>
                <w:i w:val="false"/>
                <w:color w:val="000000"/>
                <w:sz w:val="20"/>
              </w:rPr>
              <w:t>). A company such as the Company may be dissolved, inter alia by the competent court at the request of the company’s board of directors, any interested party (</w:t>
            </w:r>
            <w:r>
              <w:rPr>
                <w:rFonts w:ascii="Times New Roman" w:hAnsi="Times New Roman"/>
                <w:b w:val="false"/>
                <w:i/>
                <w:color w:val="000000"/>
                <w:sz w:val="20"/>
              </w:rPr>
              <w:t>belanghebbende</w:t>
            </w:r>
            <w:r>
              <w:rPr>
                <w:rFonts w:ascii="Times New Roman" w:hAnsi="Times New Roman"/>
                <w:b w:val="false"/>
                <w:i w:val="false"/>
                <w:color w:val="000000"/>
                <w:sz w:val="20"/>
              </w:rPr>
              <w:t xml:space="preserve">) or the public prosecution office in certain circumstances, such as when there are certain defects in the incorporation of the company. Any such dissolution will not have retro-active effect. </w:t>
            </w:r>
          </w:p>
        </w:tc>
      </w:tr>
    </w:tbl>
    <w:bookmarkEnd w:id="22"/>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4</w:t>
      </w:r>
      <w:r>
        <w:rPr>
          <w:rFonts w:ascii="Times New Roman" w:hAnsi="Times New Roman"/>
          <w:b w:val="false"/>
          <w:i w:val="false"/>
          <w:color w:val="000000"/>
          <w:sz w:val="20"/>
        </w:rPr>
        <w:t xml:space="preserve"> </w:t>
      </w:r>
    </w:p>
    <w:bookmarkStart w:name="zde13030d18294d7cb367a806473f4f29" w:id="23"/>
    <w:tbl>
      <w:tblPr>
        <w:tblW w:w="0" w:type="auto"/>
        <w:tblCellSpacing w:w="0" w:type="dxa"/>
        <w:tblBorders>
          <w:top w:val="none"/>
          <w:left w:val="none"/>
          <w:bottom w:val="none"/>
          <w:right w:val="none"/>
          <w:insideH w:val="none"/>
          <w:insideV w:val="none"/>
        </w:tblBorders>
      </w:tblPr>
      <w:tblGrid>
        <w:gridCol w:w="945"/>
        <w:gridCol w:w="12689"/>
      </w:tblGrid>
      <w:tr>
        <w:trPr>
          <w:trHeight w:val="244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Pursuant to Section 2:7 DCC, any transaction entered into by a legal entity may be nullified by the legal entity itself or its liquidator in bankruptcy proceedings (</w:t>
            </w:r>
            <w:r>
              <w:rPr>
                <w:rFonts w:ascii="Times New Roman" w:hAnsi="Times New Roman"/>
                <w:b w:val="false"/>
                <w:i/>
                <w:color w:val="000000"/>
                <w:sz w:val="20"/>
              </w:rPr>
              <w:t>curator</w:t>
            </w:r>
            <w:r>
              <w:rPr>
                <w:rFonts w:ascii="Times New Roman" w:hAnsi="Times New Roman"/>
                <w:b w:val="false"/>
                <w:i w:val="false"/>
                <w:color w:val="000000"/>
                <w:sz w:val="20"/>
              </w:rPr>
              <w:t>) if the objects of that entity were transgressed by the transaction and the other party to the transaction knew or should have known this without independent investigation (</w:t>
            </w:r>
            <w:r>
              <w:rPr>
                <w:rFonts w:ascii="Times New Roman" w:hAnsi="Times New Roman"/>
                <w:b w:val="false"/>
                <w:i/>
                <w:color w:val="000000"/>
                <w:sz w:val="20"/>
              </w:rPr>
              <w:t>wist of zonder eigen onderzoek moest weten</w:t>
            </w:r>
            <w:r>
              <w:rPr>
                <w:rFonts w:ascii="Times New Roman" w:hAnsi="Times New Roman"/>
                <w:b w:val="false"/>
                <w:i w:val="false"/>
                <w:color w:val="000000"/>
                <w:sz w:val="20"/>
              </w:rPr>
              <w:t>). The Dutch Supreme Court (</w:t>
            </w:r>
            <w:r>
              <w:rPr>
                <w:rFonts w:ascii="Times New Roman" w:hAnsi="Times New Roman"/>
                <w:b w:val="false"/>
                <w:i/>
                <w:color w:val="000000"/>
                <w:sz w:val="20"/>
              </w:rPr>
              <w:t>Hoge Raad der Nederlanden</w:t>
            </w:r>
            <w:r>
              <w:rPr>
                <w:rFonts w:ascii="Times New Roman" w:hAnsi="Times New Roman"/>
                <w:b w:val="false"/>
                <w:i w:val="false"/>
                <w:color w:val="000000"/>
                <w:sz w:val="20"/>
              </w:rPr>
              <w:t>) has ruled that in determining whether the objects of a legal entity are transgressed, not only the description of the objects in that legal entity’s articles of association (</w:t>
            </w:r>
            <w:r>
              <w:rPr>
                <w:rFonts w:ascii="Times New Roman" w:hAnsi="Times New Roman"/>
                <w:b w:val="false"/>
                <w:i/>
                <w:color w:val="000000"/>
                <w:sz w:val="20"/>
              </w:rPr>
              <w:t>statuten</w:t>
            </w:r>
            <w:r>
              <w:rPr>
                <w:rFonts w:ascii="Times New Roman" w:hAnsi="Times New Roman"/>
                <w:b w:val="false"/>
                <w:i w:val="false"/>
                <w:color w:val="000000"/>
                <w:sz w:val="20"/>
              </w:rPr>
              <w:t xml:space="preserve">) is decisive, but all (relevant) circumstances must be taken into account, in particular whether the interests of the legal entity were served by the transaction. Based on the objects clause contained in the Current Articles, we have no reason to believe that, by entering into the Reviewed Documents, the Company would transgress the description of the objects contained in its Articles of Association. However, we cannot assess whether there are other relevant circumstances that must be taken into account, in particular whether the interests of the Company are served by entering into the Reviewed Documents since this is a matter of fact. </w:t>
            </w:r>
          </w:p>
        </w:tc>
      </w:tr>
    </w:tbl>
    <w:bookmarkEnd w:id="23"/>
    <w:p>
      <w:pPr>
        <w:spacing w:before="0" w:after="0"/>
        <w:ind w:left="120"/>
        <w:jc w:val="left"/>
      </w:pPr>
      <w:r>
        <w:rPr>
          <w:rFonts w:ascii="Times New Roman" w:hAnsi="Times New Roman"/>
          <w:b w:val="false"/>
          <w:i w:val="false"/>
          <w:color w:val="000000"/>
          <w:sz w:val="20"/>
        </w:rPr>
        <w:t xml:space="preserve">   </w:t>
      </w:r>
    </w:p>
    <w:bookmarkStart w:name="z3ac4f4c8fef94baab73f9c447f0ac14c" w:id="24"/>
    <w:tbl>
      <w:tblPr>
        <w:tblW w:w="0" w:type="auto"/>
        <w:tblCellSpacing w:w="0" w:type="dxa"/>
        <w:tblBorders>
          <w:top w:val="none"/>
          <w:left w:val="none"/>
          <w:bottom w:val="none"/>
          <w:right w:val="none"/>
          <w:insideH w:val="none"/>
          <w:insideV w:val="none"/>
        </w:tblBorders>
      </w:tblPr>
      <w:tblGrid>
        <w:gridCol w:w="945"/>
        <w:gridCol w:w="12689"/>
      </w:tblGrid>
      <w:tr>
        <w:trPr>
          <w:trHeight w:val="2670"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Pursuant to Section 2:98c DCC, a company such as the Company may grant loans (</w:t>
            </w:r>
            <w:r>
              <w:rPr>
                <w:rFonts w:ascii="Times New Roman" w:hAnsi="Times New Roman"/>
                <w:b w:val="false"/>
                <w:i/>
                <w:color w:val="000000"/>
                <w:sz w:val="20"/>
              </w:rPr>
              <w:t>leningen verstrekken</w:t>
            </w:r>
            <w:r>
              <w:rPr>
                <w:rFonts w:ascii="Times New Roman" w:hAnsi="Times New Roman"/>
                <w:b w:val="false"/>
                <w:i w:val="false"/>
                <w:color w:val="000000"/>
                <w:sz w:val="20"/>
              </w:rPr>
              <w:t>) only in accordance with the restrictions set out in Section 2:98c DCC, and may not provide security (</w:t>
            </w:r>
            <w:r>
              <w:rPr>
                <w:rFonts w:ascii="Times New Roman" w:hAnsi="Times New Roman"/>
                <w:b w:val="false"/>
                <w:i/>
                <w:color w:val="000000"/>
                <w:sz w:val="20"/>
              </w:rPr>
              <w:t>zekerheid stellen</w:t>
            </w:r>
            <w:r>
              <w:rPr>
                <w:rFonts w:ascii="Times New Roman" w:hAnsi="Times New Roman"/>
                <w:b w:val="false"/>
                <w:i w:val="false"/>
                <w:color w:val="000000"/>
                <w:sz w:val="20"/>
              </w:rPr>
              <w:t>), give a price guarantee (</w:t>
            </w:r>
            <w:r>
              <w:rPr>
                <w:rFonts w:ascii="Times New Roman" w:hAnsi="Times New Roman"/>
                <w:b w:val="false"/>
                <w:i/>
                <w:color w:val="000000"/>
                <w:sz w:val="20"/>
              </w:rPr>
              <w:t>koersgarantie geven</w:t>
            </w:r>
            <w:r>
              <w:rPr>
                <w:rFonts w:ascii="Times New Roman" w:hAnsi="Times New Roman"/>
                <w:b w:val="false"/>
                <w:i w:val="false"/>
                <w:color w:val="000000"/>
                <w:sz w:val="20"/>
              </w:rPr>
              <w:t>) or otherwise bind itself, whether jointly and severally or otherwise with or for third parties (</w:t>
            </w:r>
            <w:r>
              <w:rPr>
                <w:rFonts w:ascii="Times New Roman" w:hAnsi="Times New Roman"/>
                <w:b w:val="false"/>
                <w:i/>
                <w:color w:val="000000"/>
                <w:sz w:val="20"/>
              </w:rPr>
              <w:t>zich op andere wijze sterk maken of zich hoofdelijk of anderszins naast of voor anderen verbinden</w:t>
            </w:r>
            <w:r>
              <w:rPr>
                <w:rFonts w:ascii="Times New Roman" w:hAnsi="Times New Roman"/>
                <w:b w:val="false"/>
                <w:i w:val="false"/>
                <w:color w:val="000000"/>
                <w:sz w:val="20"/>
              </w:rPr>
              <w:t>) with a view to (</w:t>
            </w:r>
            <w:r>
              <w:rPr>
                <w:rFonts w:ascii="Times New Roman" w:hAnsi="Times New Roman"/>
                <w:b w:val="false"/>
                <w:i/>
                <w:color w:val="000000"/>
                <w:sz w:val="20"/>
              </w:rPr>
              <w:t>met het oog op</w:t>
            </w:r>
            <w:r>
              <w:rPr>
                <w:rFonts w:ascii="Times New Roman" w:hAnsi="Times New Roman"/>
                <w:b w:val="false"/>
                <w:i w:val="false"/>
                <w:color w:val="000000"/>
                <w:sz w:val="20"/>
              </w:rPr>
              <w:t>) the subscription or acquisition by third parties of shares in its share capital or depository receipts. This prohibition also applies to its subsidiaries (</w:t>
            </w:r>
            <w:r>
              <w:rPr>
                <w:rFonts w:ascii="Times New Roman" w:hAnsi="Times New Roman"/>
                <w:b w:val="false"/>
                <w:i/>
                <w:color w:val="000000"/>
                <w:sz w:val="20"/>
              </w:rPr>
              <w:t>dochtervennootschappen</w:t>
            </w:r>
            <w:r>
              <w:rPr>
                <w:rFonts w:ascii="Times New Roman" w:hAnsi="Times New Roman"/>
                <w:b w:val="false"/>
                <w:i w:val="false"/>
                <w:color w:val="000000"/>
                <w:sz w:val="20"/>
              </w:rPr>
              <w:t>). It is generally assumed that a transaction entered into in violation of Section 2:98c DCC is null and void (</w:t>
            </w:r>
            <w:r>
              <w:rPr>
                <w:rFonts w:ascii="Times New Roman" w:hAnsi="Times New Roman"/>
                <w:b w:val="false"/>
                <w:i/>
                <w:color w:val="000000"/>
                <w:sz w:val="20"/>
              </w:rPr>
              <w:t>nietig</w:t>
            </w: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Based on the content of the </w:t>
            </w:r>
            <w:r>
              <w:rPr>
                <w:rFonts w:ascii="Times New Roman" w:hAnsi="Times New Roman"/>
                <w:b w:val="false"/>
                <w:i w:val="false"/>
                <w:color w:val="000000"/>
                <w:sz w:val="20"/>
              </w:rPr>
              <w:t>Reviewed Documents</w:t>
            </w:r>
            <w:r>
              <w:rPr>
                <w:rFonts w:ascii="Times New Roman" w:hAnsi="Times New Roman"/>
                <w:b w:val="false"/>
                <w:i w:val="false"/>
                <w:color w:val="000000"/>
                <w:sz w:val="20"/>
              </w:rPr>
              <w:t xml:space="preserve">, we have no reason to believe that the Company or its subsidiaries will violate Section 2:98c DCC in connection with the issue of the Offer Shares. However, we cannot confirm this definitively, since the determination of whether a company (or a subsidiary) has provided security, has given a price guarantee or has otherwise bound itself, with a view to the subscription or acquisition by third parties of shares in its share capital or depository receipts, as described above, </w:t>
            </w:r>
            <w:r>
              <w:rPr>
                <w:rFonts w:ascii="Times New Roman" w:hAnsi="Times New Roman"/>
                <w:b w:val="false"/>
                <w:i w:val="false"/>
                <w:color w:val="000000"/>
                <w:sz w:val="20"/>
              </w:rPr>
              <w:t>is a matter of fact</w:t>
            </w:r>
            <w:r>
              <w:rPr>
                <w:rFonts w:ascii="Times New Roman" w:hAnsi="Times New Roman"/>
                <w:b w:val="false"/>
                <w:i w:val="false"/>
                <w:color w:val="000000"/>
                <w:sz w:val="20"/>
              </w:rPr>
              <w:t xml:space="preserve">. </w:t>
            </w:r>
          </w:p>
        </w:tc>
      </w:tr>
    </w:tbl>
    <w:bookmarkEnd w:id="24"/>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5</w:t>
      </w:r>
      <w:r>
        <w:rPr>
          <w:rFonts w:ascii="Times New Roman" w:hAnsi="Times New Roman"/>
          <w:b w:val="false"/>
          <w:i w:val="false"/>
          <w:color w:val="000000"/>
          <w:sz w:val="20"/>
        </w:rPr>
        <w:t xml:space="preserve"> </w:t>
      </w:r>
    </w:p>
    <w:bookmarkStart w:name="z4123f998262e4192b67bfa30dbb542a5" w:id="25"/>
    <w:tbl>
      <w:tblPr>
        <w:tblW w:w="0" w:type="auto"/>
        <w:tblCellSpacing w:w="0" w:type="dxa"/>
        <w:tblBorders>
          <w:top w:val="none"/>
          <w:left w:val="none"/>
          <w:bottom w:val="none"/>
          <w:right w:val="none"/>
          <w:insideH w:val="none"/>
          <w:insideV w:val="none"/>
        </w:tblBorders>
      </w:tblPr>
      <w:tblGrid>
        <w:gridCol w:w="945"/>
        <w:gridCol w:w="12689"/>
      </w:tblGrid>
      <w:tr>
        <w:trPr>
          <w:trHeight w:val="210"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opinions expressed in this opinion letter may be limited or affected by: </w:t>
            </w:r>
          </w:p>
        </w:tc>
      </w:tr>
    </w:tbl>
    <w:bookmarkEnd w:id="25"/>
    <w:p>
      <w:pPr>
        <w:spacing w:before="0" w:after="0"/>
        <w:ind w:left="120"/>
        <w:jc w:val="left"/>
      </w:pPr>
      <w:r>
        <w:rPr>
          <w:rFonts w:ascii="Times New Roman" w:hAnsi="Times New Roman"/>
          <w:b w:val="false"/>
          <w:i w:val="false"/>
          <w:color w:val="000000"/>
          <w:sz w:val="20"/>
        </w:rPr>
        <w:t xml:space="preserve">   </w:t>
      </w:r>
    </w:p>
    <w:bookmarkStart w:name="zd2765c80fadd4649a15a4a3e0bac239f" w:id="26"/>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435"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a.</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rules relating to Insolvency Proceedings or similar proceedings under a foreign law and other rules affecting creditors’ rights generally</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r>
    </w:tbl>
    <w:bookmarkEnd w:id="26"/>
    <w:p>
      <w:pPr>
        <w:spacing w:before="0" w:after="0"/>
        <w:ind w:left="120"/>
        <w:jc w:val="left"/>
      </w:pPr>
      <w:r>
        <w:rPr>
          <w:rFonts w:ascii="Times New Roman" w:hAnsi="Times New Roman"/>
          <w:b w:val="false"/>
          <w:i w:val="false"/>
          <w:color w:val="000000"/>
          <w:sz w:val="20"/>
        </w:rPr>
        <w:t xml:space="preserve">   </w:t>
      </w:r>
    </w:p>
    <w:bookmarkStart w:name="zdb5731ba5a1c4c82b029bc18f8e2f265" w:id="27"/>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660"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b.</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provisions of fraudulent preference and fraudulent conveyance (</w:t>
            </w:r>
            <w:r>
              <w:rPr>
                <w:rFonts w:ascii="Times New Roman" w:hAnsi="Times New Roman"/>
                <w:b w:val="false"/>
                <w:i/>
                <w:color w:val="000000"/>
                <w:sz w:val="20"/>
              </w:rPr>
              <w:t>Actio Pauliana</w:t>
            </w:r>
            <w:r>
              <w:rPr>
                <w:rFonts w:ascii="Times New Roman" w:hAnsi="Times New Roman"/>
                <w:b w:val="false"/>
                <w:i w:val="false"/>
                <w:color w:val="000000"/>
                <w:sz w:val="20"/>
              </w:rPr>
              <w:t>) and similar rights available in other jurisdictions to insolvency practitioners and insolvency office holders in bankruptcy proceedings or creditors</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r>
    </w:tbl>
    <w:bookmarkEnd w:id="27"/>
    <w:p>
      <w:pPr>
        <w:spacing w:before="0" w:after="0"/>
        <w:ind w:left="120"/>
        <w:jc w:val="left"/>
      </w:pPr>
      <w:r>
        <w:rPr>
          <w:rFonts w:ascii="Times New Roman" w:hAnsi="Times New Roman"/>
          <w:b w:val="false"/>
          <w:i w:val="false"/>
          <w:color w:val="000000"/>
          <w:sz w:val="20"/>
        </w:rPr>
        <w:t xml:space="preserve">   </w:t>
      </w:r>
    </w:p>
    <w:bookmarkStart w:name="z0f92945157044e4982d8e5c7fdb30921" w:id="28"/>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210"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c.</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claims based on tort (</w:t>
            </w:r>
            <w:r>
              <w:rPr>
                <w:rFonts w:ascii="Times New Roman" w:hAnsi="Times New Roman"/>
                <w:b w:val="false"/>
                <w:i/>
                <w:color w:val="000000"/>
                <w:sz w:val="20"/>
              </w:rPr>
              <w:t>onrechtmatige daad</w:t>
            </w:r>
            <w:r>
              <w:rPr>
                <w:rFonts w:ascii="Times New Roman" w:hAnsi="Times New Roman"/>
                <w:b w:val="false"/>
                <w:i w:val="false"/>
                <w:color w:val="000000"/>
                <w:sz w:val="20"/>
              </w:rPr>
              <w:t xml:space="preserve">); </w:t>
            </w:r>
          </w:p>
        </w:tc>
      </w:tr>
    </w:tbl>
    <w:bookmarkEnd w:id="28"/>
    <w:p>
      <w:pPr>
        <w:spacing w:before="0" w:after="0"/>
        <w:ind w:left="120"/>
        <w:jc w:val="left"/>
      </w:pPr>
      <w:r>
        <w:rPr>
          <w:rFonts w:ascii="Times New Roman" w:hAnsi="Times New Roman"/>
          <w:b w:val="false"/>
          <w:i w:val="false"/>
          <w:color w:val="000000"/>
          <w:sz w:val="20"/>
        </w:rPr>
        <w:t xml:space="preserve">   </w:t>
      </w:r>
    </w:p>
    <w:bookmarkStart w:name="z42860e22905a41ca9e98192ca40a7415" w:id="29"/>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435"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d.</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sanctions and measures, including but not limited to those concerning export control, pursuant to European Union regulations, under the Dutch Sanctions Act 1977 (</w:t>
            </w:r>
            <w:r>
              <w:rPr>
                <w:rFonts w:ascii="Times New Roman" w:hAnsi="Times New Roman"/>
                <w:b w:val="false"/>
                <w:i/>
                <w:color w:val="000000"/>
                <w:sz w:val="20"/>
              </w:rPr>
              <w:t>Sanctiewet 1977</w:t>
            </w:r>
            <w:r>
              <w:rPr>
                <w:rFonts w:ascii="Times New Roman" w:hAnsi="Times New Roman"/>
                <w:b w:val="false"/>
                <w:i w:val="false"/>
                <w:color w:val="000000"/>
                <w:sz w:val="20"/>
              </w:rPr>
              <w:t>) or other legislation</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r>
    </w:tbl>
    <w:bookmarkEnd w:id="29"/>
    <w:p>
      <w:pPr>
        <w:spacing w:before="0" w:after="0"/>
        <w:ind w:left="120"/>
        <w:jc w:val="left"/>
      </w:pPr>
      <w:r>
        <w:rPr>
          <w:rFonts w:ascii="Times New Roman" w:hAnsi="Times New Roman"/>
          <w:b w:val="false"/>
          <w:i w:val="false"/>
          <w:color w:val="000000"/>
          <w:sz w:val="20"/>
        </w:rPr>
        <w:t xml:space="preserve">   </w:t>
      </w:r>
    </w:p>
    <w:bookmarkStart w:name="zebe0c915bb1d42e19a4a50c6262762d4" w:id="30"/>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210"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e.</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the Anti-Boycott Regulation, </w:t>
            </w:r>
            <w:r>
              <w:rPr>
                <w:rFonts w:ascii="Times New Roman" w:hAnsi="Times New Roman"/>
                <w:b w:val="false"/>
                <w:i w:val="false"/>
                <w:color w:val="000000"/>
                <w:sz w:val="20"/>
              </w:rPr>
              <w:t>Anti Money Laundering Laws</w:t>
            </w:r>
            <w:r>
              <w:rPr>
                <w:rFonts w:ascii="Times New Roman" w:hAnsi="Times New Roman"/>
                <w:b w:val="false"/>
                <w:i w:val="false"/>
                <w:color w:val="000000"/>
                <w:sz w:val="20"/>
              </w:rPr>
              <w:t xml:space="preserve"> and related legislation;</w:t>
            </w:r>
            <w:r>
              <w:rPr>
                <w:rFonts w:ascii="Times New Roman" w:hAnsi="Times New Roman"/>
                <w:b w:val="false"/>
                <w:i w:val="false"/>
                <w:color w:val="000000"/>
                <w:sz w:val="20"/>
              </w:rPr>
              <w:t xml:space="preserve"> </w:t>
            </w:r>
          </w:p>
        </w:tc>
      </w:tr>
    </w:tbl>
    <w:bookmarkEnd w:id="30"/>
    <w:p>
      <w:pPr>
        <w:spacing w:before="0" w:after="0"/>
        <w:ind w:left="120"/>
        <w:jc w:val="left"/>
      </w:pPr>
      <w:r>
        <w:rPr>
          <w:rFonts w:ascii="Times New Roman" w:hAnsi="Times New Roman"/>
          <w:b w:val="false"/>
          <w:i w:val="false"/>
          <w:color w:val="000000"/>
          <w:sz w:val="20"/>
        </w:rPr>
        <w:t xml:space="preserve">   </w:t>
      </w:r>
    </w:p>
    <w:bookmarkStart w:name="zd194b7df15294486be783ccd36c21d7c" w:id="31"/>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435"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f.</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any intervention, recovery or resolution measure by any regulatory or other authority or governmental body in relation to financial enterprises or their affiliated entities; and </w:t>
            </w:r>
          </w:p>
        </w:tc>
      </w:tr>
    </w:tbl>
    <w:bookmarkEnd w:id="31"/>
    <w:p>
      <w:pPr>
        <w:spacing w:before="0" w:after="0"/>
        <w:ind w:left="120"/>
        <w:jc w:val="left"/>
      </w:pPr>
      <w:r>
        <w:rPr>
          <w:rFonts w:ascii="Times New Roman" w:hAnsi="Times New Roman"/>
          <w:b w:val="false"/>
          <w:i w:val="false"/>
          <w:color w:val="000000"/>
          <w:sz w:val="20"/>
        </w:rPr>
        <w:t xml:space="preserve">   </w:t>
      </w:r>
    </w:p>
    <w:bookmarkStart w:name="z6067d5462dc44be099f7253e1b08a829" w:id="32"/>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1110"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g.</w:t>
            </w:r>
          </w:p>
        </w:tc>
        <w:tc>
          <w:tcPr>
            <w:tcW w:w="1174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rules of force majeure (</w:t>
            </w:r>
            <w:r>
              <w:rPr>
                <w:rFonts w:ascii="Times New Roman" w:hAnsi="Times New Roman"/>
                <w:b w:val="false"/>
                <w:i/>
                <w:color w:val="000000"/>
                <w:sz w:val="20"/>
              </w:rPr>
              <w:t>niet toerekenbare tekortkoming</w:t>
            </w:r>
            <w:r>
              <w:rPr>
                <w:rFonts w:ascii="Times New Roman" w:hAnsi="Times New Roman"/>
                <w:b w:val="false"/>
                <w:i w:val="false"/>
                <w:color w:val="000000"/>
                <w:sz w:val="20"/>
              </w:rPr>
              <w:t>), reasonableness and fairness (</w:t>
            </w:r>
            <w:r>
              <w:rPr>
                <w:rFonts w:ascii="Times New Roman" w:hAnsi="Times New Roman"/>
                <w:b w:val="false"/>
                <w:i/>
                <w:color w:val="000000"/>
                <w:sz w:val="20"/>
              </w:rPr>
              <w:t>redelijkheid en billijkheid</w:t>
            </w:r>
            <w:r>
              <w:rPr>
                <w:rFonts w:ascii="Times New Roman" w:hAnsi="Times New Roman"/>
                <w:b w:val="false"/>
                <w:i w:val="false"/>
                <w:color w:val="000000"/>
                <w:sz w:val="20"/>
              </w:rPr>
              <w:t>), suspension (</w:t>
            </w:r>
            <w:r>
              <w:rPr>
                <w:rFonts w:ascii="Times New Roman" w:hAnsi="Times New Roman"/>
                <w:b w:val="false"/>
                <w:i/>
                <w:color w:val="000000"/>
                <w:sz w:val="20"/>
              </w:rPr>
              <w:t>opschorting</w:t>
            </w:r>
            <w:r>
              <w:rPr>
                <w:rFonts w:ascii="Times New Roman" w:hAnsi="Times New Roman"/>
                <w:b w:val="false"/>
                <w:i w:val="false"/>
                <w:color w:val="000000"/>
                <w:sz w:val="20"/>
              </w:rPr>
              <w:t>), dissolution (</w:t>
            </w:r>
            <w:r>
              <w:rPr>
                <w:rFonts w:ascii="Times New Roman" w:hAnsi="Times New Roman"/>
                <w:b w:val="false"/>
                <w:i/>
                <w:color w:val="000000"/>
                <w:sz w:val="20"/>
              </w:rPr>
              <w:t>ontbinding</w:t>
            </w:r>
            <w:r>
              <w:rPr>
                <w:rFonts w:ascii="Times New Roman" w:hAnsi="Times New Roman"/>
                <w:b w:val="false"/>
                <w:i w:val="false"/>
                <w:color w:val="000000"/>
                <w:sz w:val="20"/>
              </w:rPr>
              <w:t>), unforeseen circumstances (</w:t>
            </w:r>
            <w:r>
              <w:rPr>
                <w:rFonts w:ascii="Times New Roman" w:hAnsi="Times New Roman"/>
                <w:b w:val="false"/>
                <w:i/>
                <w:color w:val="000000"/>
                <w:sz w:val="20"/>
              </w:rPr>
              <w:t>onvoorziene omstandigheden</w:t>
            </w:r>
            <w:r>
              <w:rPr>
                <w:rFonts w:ascii="Times New Roman" w:hAnsi="Times New Roman"/>
                <w:b w:val="false"/>
                <w:i w:val="false"/>
                <w:color w:val="000000"/>
                <w:sz w:val="20"/>
              </w:rPr>
              <w:t>) and vitiated consent (i.e., duress (</w:t>
            </w:r>
            <w:r>
              <w:rPr>
                <w:rFonts w:ascii="Times New Roman" w:hAnsi="Times New Roman"/>
                <w:b w:val="false"/>
                <w:i/>
                <w:color w:val="000000"/>
                <w:sz w:val="20"/>
              </w:rPr>
              <w:t>bedreiging</w:t>
            </w:r>
            <w:r>
              <w:rPr>
                <w:rFonts w:ascii="Times New Roman" w:hAnsi="Times New Roman"/>
                <w:b w:val="false"/>
                <w:i w:val="false"/>
                <w:color w:val="000000"/>
                <w:sz w:val="20"/>
              </w:rPr>
              <w:t>), fraud (</w:t>
            </w:r>
            <w:r>
              <w:rPr>
                <w:rFonts w:ascii="Times New Roman" w:hAnsi="Times New Roman"/>
                <w:b w:val="false"/>
                <w:i/>
                <w:color w:val="000000"/>
                <w:sz w:val="20"/>
              </w:rPr>
              <w:t>bedrog</w:t>
            </w:r>
            <w:r>
              <w:rPr>
                <w:rFonts w:ascii="Times New Roman" w:hAnsi="Times New Roman"/>
                <w:b w:val="false"/>
                <w:i w:val="false"/>
                <w:color w:val="000000"/>
                <w:sz w:val="20"/>
              </w:rPr>
              <w:t>), abuse of circumstances (</w:t>
            </w:r>
            <w:r>
              <w:rPr>
                <w:rFonts w:ascii="Times New Roman" w:hAnsi="Times New Roman"/>
                <w:b w:val="false"/>
                <w:i/>
                <w:color w:val="000000"/>
                <w:sz w:val="20"/>
              </w:rPr>
              <w:t>misbruik van omstandigheden</w:t>
            </w:r>
            <w:r>
              <w:rPr>
                <w:rFonts w:ascii="Times New Roman" w:hAnsi="Times New Roman"/>
                <w:b w:val="false"/>
                <w:i w:val="false"/>
                <w:color w:val="000000"/>
                <w:sz w:val="20"/>
              </w:rPr>
              <w:t>) and error (</w:t>
            </w:r>
            <w:r>
              <w:rPr>
                <w:rFonts w:ascii="Times New Roman" w:hAnsi="Times New Roman"/>
                <w:b w:val="false"/>
                <w:i/>
                <w:color w:val="000000"/>
                <w:sz w:val="20"/>
              </w:rPr>
              <w:t>dwaling</w:t>
            </w:r>
            <w:r>
              <w:rPr>
                <w:rFonts w:ascii="Times New Roman" w:hAnsi="Times New Roman"/>
                <w:b w:val="false"/>
                <w:i w:val="false"/>
                <w:color w:val="000000"/>
                <w:sz w:val="20"/>
              </w:rPr>
              <w:t>)) or a difference of intention (</w:t>
            </w:r>
            <w:r>
              <w:rPr>
                <w:rFonts w:ascii="Times New Roman" w:hAnsi="Times New Roman"/>
                <w:b w:val="false"/>
                <w:i/>
                <w:color w:val="000000"/>
                <w:sz w:val="20"/>
              </w:rPr>
              <w:t>wil</w:t>
            </w:r>
            <w:r>
              <w:rPr>
                <w:rFonts w:ascii="Times New Roman" w:hAnsi="Times New Roman"/>
                <w:b w:val="false"/>
                <w:i w:val="false"/>
                <w:color w:val="000000"/>
                <w:sz w:val="20"/>
              </w:rPr>
              <w:t>) and declaration (</w:t>
            </w:r>
            <w:r>
              <w:rPr>
                <w:rFonts w:ascii="Times New Roman" w:hAnsi="Times New Roman"/>
                <w:b w:val="false"/>
                <w:i/>
                <w:color w:val="000000"/>
                <w:sz w:val="20"/>
              </w:rPr>
              <w:t>verklaring</w:t>
            </w:r>
            <w:r>
              <w:rPr>
                <w:rFonts w:ascii="Times New Roman" w:hAnsi="Times New Roman"/>
                <w:b w:val="false"/>
                <w:i w:val="false"/>
                <w:color w:val="000000"/>
                <w:sz w:val="20"/>
              </w:rPr>
              <w:t xml:space="preserve">). </w:t>
            </w:r>
          </w:p>
        </w:tc>
      </w:tr>
    </w:tbl>
    <w:bookmarkEnd w:id="32"/>
    <w:p>
      <w:pPr>
        <w:spacing w:before="0" w:after="0"/>
        <w:ind w:left="120"/>
        <w:jc w:val="left"/>
      </w:pPr>
      <w:r>
        <w:rPr>
          <w:rFonts w:ascii="Times New Roman" w:hAnsi="Times New Roman"/>
          <w:b w:val="false"/>
          <w:i w:val="false"/>
          <w:color w:val="000000"/>
          <w:sz w:val="20"/>
        </w:rPr>
        <w:t xml:space="preserve">   </w:t>
      </w:r>
    </w:p>
    <w:bookmarkStart w:name="z343d019c4dc540779c2822e71d1aaa1a" w:id="33"/>
    <w:tbl>
      <w:tblPr>
        <w:tblW w:w="0" w:type="auto"/>
        <w:tblCellSpacing w:w="0" w:type="dxa"/>
        <w:tblBorders>
          <w:top w:val="none"/>
          <w:left w:val="none"/>
          <w:bottom w:val="none"/>
          <w:right w:val="none"/>
          <w:insideH w:val="none"/>
          <w:insideV w:val="none"/>
        </w:tblBorders>
      </w:tblPr>
      <w:tblGrid>
        <w:gridCol w:w="945"/>
        <w:gridCol w:w="12689"/>
      </w:tblGrid>
      <w:tr>
        <w:trPr>
          <w:trHeight w:val="660" w:hRule="atLeast"/>
        </w:trPr>
        <w:tc>
          <w:tcPr>
            <w:tcW w:w="945" w:type="dxa"/>
            <w:tcBorders/>
            <w:tcMar>
              <w:top w:w="15" w:type="dxa"/>
              <w:left w:w="15" w:type="dxa"/>
              <w:bottom w:w="15" w:type="dxa"/>
              <w:right w:w="15" w:type="dxa"/>
            </w:tcMar>
            <w:vAlign w:val="top"/>
          </w:tcPr>
          <w:bookmarkStart w:name="bmkSignoff" w:id="34"/>
          <w:bookmarkEnd w:id="34"/>
          <w:bookmarkStart w:name="bmkSignoffLINE" w:id="35"/>
          <w:bookmarkEnd w:id="35"/>
          <w:p>
            <w:pPr>
              <w:spacing w:before="0" w:after="0"/>
              <w:ind w:left="0"/>
              <w:jc w:val="left"/>
            </w:pPr>
            <w:r>
              <w:rPr>
                <w:rFonts w:ascii="Times New Roman" w:hAnsi="Times New Roman"/>
                <w:b w:val="false"/>
                <w:i w:val="false"/>
                <w:color w:val="000000"/>
                <w:sz w:val="20"/>
              </w:rPr>
              <w:t>E.</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term “non-assessable” has no equivalent in the Dutch language and for purposes of this opinion letter such term should be interpreted to mean that a holder of an Ordinary Share shall not by reason of merely being such a holder be subject to assessment or calls by the Company or its creditors for further payment on such Ordinary Share. </w:t>
            </w:r>
          </w:p>
        </w:tc>
      </w:tr>
    </w:tbl>
    <w:bookmarkEnd w:id="33"/>
    <w:p>
      <w:pPr>
        <w:spacing w:before="0" w:after="0"/>
        <w:ind w:left="120"/>
        <w:jc w:val="left"/>
      </w:pPr>
      <w:r>
        <w:rPr>
          <w:rFonts w:ascii="Times New Roman" w:hAnsi="Times New Roman"/>
          <w:b w:val="false"/>
          <w:i w:val="false"/>
          <w:color w:val="000000"/>
          <w:sz w:val="20"/>
        </w:rPr>
        <w:t xml:space="preserve">   </w:t>
      </w:r>
    </w:p>
    <w:bookmarkStart w:name="za1c4c1ead19f4f9cb11781c3bce63d61" w:id="36"/>
    <w:tbl>
      <w:tblPr>
        <w:tblW w:w="0" w:type="auto"/>
        <w:tblCellSpacing w:w="0" w:type="dxa"/>
        <w:tblBorders>
          <w:top w:val="none"/>
          <w:left w:val="none"/>
          <w:bottom w:val="none"/>
          <w:right w:val="none"/>
          <w:insideH w:val="none"/>
          <w:insideV w:val="none"/>
        </w:tblBorders>
      </w:tblPr>
      <w:tblGrid>
        <w:gridCol w:w="945"/>
        <w:gridCol w:w="12689"/>
      </w:tblGrid>
      <w:tr>
        <w:trPr>
          <w:trHeight w:val="43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F.</w:t>
            </w:r>
          </w:p>
        </w:tc>
        <w:tc>
          <w:tcPr>
            <w:tcW w:w="1268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This opinion letter does not purport to express any opinion or view on the operational rules and procedures of any clearing or settlement system or agency. </w:t>
            </w:r>
          </w:p>
        </w:tc>
      </w:tr>
    </w:tbl>
    <w:bookmarkEnd w:id="36"/>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8"/>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6</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We consent to the filing of this opinion letter as an exhibit to the Registration Statement and also consent to the reference to NautaDutilh in the Registration Statement under the caption “Legal Matters”</w:t>
      </w:r>
      <w:r>
        <w:rPr>
          <w:rFonts w:ascii="Times New Roman" w:hAnsi="Times New Roman"/>
          <w:b w:val="false"/>
          <w:i w:val="false"/>
          <w:color w:val="000000"/>
          <w:sz w:val="20"/>
        </w:rPr>
        <w:t>.</w:t>
      </w:r>
      <w:r>
        <w:rPr>
          <w:rFonts w:ascii="Times New Roman" w:hAnsi="Times New Roman"/>
          <w:b w:val="false"/>
          <w:i w:val="false"/>
          <w:color w:val="000000"/>
          <w:sz w:val="20"/>
        </w:rPr>
        <w:t xml:space="preserve"> In giving this consent we do not admit or imply that we are a person whose consent is required under Section 7 of the United States Securities Act of 1933, as amended, or any rules and regulations promulgated thereunder.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Sincerely yours,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/s/NautaDutilh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bookmarkStart w:name="bmkSignature" w:id="37"/>
      <w:bookmarkEnd w:id="37"/>
      <w:r>
        <w:rPr>
          <w:rFonts w:ascii="Times New Roman" w:hAnsi="Times New Roman"/>
          <w:b w:val="false"/>
          <w:i w:val="false"/>
          <w:color w:val="000000"/>
          <w:sz w:val="20"/>
        </w:rPr>
        <w:t xml:space="preserve">NautaDutilh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9"/>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7</w:t>
      </w:r>
      <w:r>
        <w:rPr>
          <w:rFonts w:ascii="Times New Roman" w:hAnsi="Times New Roman"/>
          <w:b w:val="false"/>
          <w:i w:val="false"/>
          <w:color w:val="000000"/>
          <w:sz w:val="20"/>
        </w:rPr>
        <w:t xml:space="preserve"> </w:t>
      </w:r>
    </w:p>
    <w:p>
      <w:pPr>
        <w:spacing w:before="0" w:after="0"/>
        <w:ind w:left="829"/>
        <w:jc w:val="left"/>
      </w:pPr>
      <w:r>
        <w:rPr>
          <w:rFonts w:ascii="Times New Roman" w:hAnsi="Times New Roman"/>
          <w:b/>
          <w:i w:val="false"/>
          <w:color w:val="000000"/>
          <w:sz w:val="20"/>
        </w:rPr>
        <w:t xml:space="preserve"> EXHIBIT A </w:t>
      </w:r>
    </w:p>
    <w:p>
      <w:pPr>
        <w:spacing w:before="0" w:after="0"/>
        <w:ind w:left="120"/>
        <w:jc w:val="left"/>
      </w:pPr>
      <w:r>
        <w:rPr>
          <w:rFonts w:ascii="Times New Roman" w:hAnsi="Times New Roman"/>
          <w:b w:val="false"/>
          <w:i w:val="false"/>
          <w:color w:val="000000"/>
          <w:sz w:val="20"/>
        </w:rPr>
        <w:t xml:space="preserve">   </w:t>
      </w:r>
    </w:p>
    <w:p>
      <w:pPr>
        <w:spacing w:before="0" w:after="0"/>
        <w:ind w:left="829"/>
        <w:jc w:val="left"/>
      </w:pPr>
      <w:r>
        <w:rPr>
          <w:rFonts w:ascii="Times New Roman" w:hAnsi="Times New Roman"/>
          <w:b/>
          <w:i w:val="false"/>
          <w:color w:val="000000"/>
          <w:sz w:val="20"/>
        </w:rPr>
        <w:t xml:space="preserve"> LIST OF DEFINITIONS </w:t>
      </w:r>
    </w:p>
    <w:p>
      <w:pPr>
        <w:spacing w:before="0" w:after="0"/>
        <w:ind w:left="120"/>
        <w:jc w:val="left"/>
      </w:pPr>
      <w:r>
        <w:rPr>
          <w:rFonts w:ascii="Times New Roman" w:hAnsi="Times New Roman"/>
          <w:b w:val="false"/>
          <w:i w:val="false"/>
          <w:color w:val="000000"/>
          <w:sz w:val="20"/>
        </w:rPr>
        <w:t xml:space="preserve">   </w:t>
      </w:r>
    </w:p>
    <w:bookmarkStart w:name="z43f82b71719c4799b33ed616ae7cc1d3" w:id="38"/>
    <w:tbl>
      <w:tblPr>
        <w:tblW w:w="0" w:type="auto"/>
        <w:tblCellSpacing w:w="0" w:type="auto"/>
        <w:tblBorders>
          <w:top w:val="none"/>
          <w:left w:val="none"/>
          <w:bottom w:val="none"/>
          <w:right w:val="none"/>
          <w:insideH w:val="none"/>
          <w:insideV w:val="none"/>
        </w:tblBorders>
      </w:tblPr>
      <w:tblGrid>
        <w:gridCol w:w="4772"/>
        <w:gridCol w:w="8862"/>
      </w:tblGrid>
      <w:tr>
        <w:trPr>
          <w:trHeight w:val="88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Anti Money Laundering Laws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w:t>
            </w:r>
            <w:r>
              <w:rPr>
                <w:rFonts w:ascii="Times New Roman" w:hAnsi="Times New Roman"/>
                <w:b w:val="false"/>
                <w:i w:val="false"/>
                <w:color w:val="000000"/>
                <w:sz w:val="20"/>
              </w:rPr>
              <w:t>European</w:t>
            </w:r>
            <w:r>
              <w:rPr>
                <w:rFonts w:ascii="Times New Roman" w:hAnsi="Times New Roman"/>
                <w:b w:val="false"/>
                <w:i w:val="false"/>
                <w:color w:val="000000"/>
                <w:sz w:val="20"/>
              </w:rPr>
              <w:t xml:space="preserve"> Anti-Money Laundering Directives, as implemented in the Netherlands in the Money Laundering and Terrorist Financing Prevention Act (</w:t>
            </w:r>
            <w:r>
              <w:rPr>
                <w:rFonts w:ascii="Times New Roman" w:hAnsi="Times New Roman"/>
                <w:b w:val="false"/>
                <w:i/>
                <w:color w:val="000000"/>
                <w:sz w:val="20"/>
              </w:rPr>
              <w:t>Wet ter voorkoming van witwassen en financieren van terrorisme</w:t>
            </w:r>
            <w:r>
              <w:rPr>
                <w:rFonts w:ascii="Times New Roman" w:hAnsi="Times New Roman"/>
                <w:b w:val="false"/>
                <w:i w:val="false"/>
                <w:color w:val="000000"/>
                <w:sz w:val="20"/>
              </w:rPr>
              <w:t>)</w:t>
            </w:r>
            <w:r>
              <w:rPr>
                <w:rFonts w:ascii="Times New Roman" w:hAnsi="Times New Roman"/>
                <w:b w:val="false"/>
                <w:i/>
                <w:color w:val="000000"/>
                <w:sz w:val="20"/>
              </w:rPr>
              <w:t> </w:t>
            </w:r>
            <w:r>
              <w:rPr>
                <w:rFonts w:ascii="Times New Roman" w:hAnsi="Times New Roman"/>
                <w:b w:val="false"/>
                <w:i w:val="false"/>
                <w:color w:val="000000"/>
                <w:sz w:val="20"/>
              </w:rPr>
              <w:t>and the Dutch Criminal Code (</w:t>
            </w:r>
            <w:r>
              <w:rPr>
                <w:rFonts w:ascii="Times New Roman" w:hAnsi="Times New Roman"/>
                <w:b w:val="false"/>
                <w:i/>
                <w:color w:val="000000"/>
                <w:sz w:val="20"/>
              </w:rPr>
              <w:t>Wetboek van Strafrecht</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660"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Anti-Boycott Regulation</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Council Regulation (EC) No 2271/96 of 22 November 1996 on protecting against the effects of the extra-territorial application of legislation adopted by a third country, and actions based thereon or resulting therefrom.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Articles of Association</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Company’s articles of association (</w:t>
            </w:r>
            <w:r>
              <w:rPr>
                <w:rFonts w:ascii="Times New Roman" w:hAnsi="Times New Roman"/>
                <w:b w:val="false"/>
                <w:i/>
                <w:color w:val="000000"/>
                <w:sz w:val="20"/>
              </w:rPr>
              <w:t>statuten</w:t>
            </w:r>
            <w:r>
              <w:rPr>
                <w:rFonts w:ascii="Times New Roman" w:hAnsi="Times New Roman"/>
                <w:b w:val="false"/>
                <w:i w:val="false"/>
                <w:color w:val="000000"/>
                <w:sz w:val="20"/>
              </w:rPr>
              <w:t xml:space="preserve">) as they read from time to time.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Bankruptcy Code</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Dutch Bankruptcy Code (</w:t>
            </w:r>
            <w:r>
              <w:rPr>
                <w:rFonts w:ascii="Times New Roman" w:hAnsi="Times New Roman"/>
                <w:b w:val="false"/>
                <w:i/>
                <w:color w:val="000000"/>
                <w:sz w:val="20"/>
              </w:rPr>
              <w:t>Faillissementswet</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Board</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Company’s board of directors (</w:t>
            </w:r>
            <w:r>
              <w:rPr>
                <w:rFonts w:ascii="Times New Roman" w:hAnsi="Times New Roman"/>
                <w:b w:val="false"/>
                <w:i/>
                <w:color w:val="000000"/>
                <w:sz w:val="20"/>
              </w:rPr>
              <w:t>bestuur</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Commercial Register</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Dutch Commercial Register (</w:t>
            </w:r>
            <w:r>
              <w:rPr>
                <w:rFonts w:ascii="Times New Roman" w:hAnsi="Times New Roman"/>
                <w:b w:val="false"/>
                <w:i/>
                <w:color w:val="000000"/>
                <w:sz w:val="20"/>
              </w:rPr>
              <w:t>handelsregister</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Company</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InflaRx N.V.</w:t>
            </w:r>
            <w:r>
              <w:rPr>
                <w:rFonts w:ascii="Times New Roman" w:hAnsi="Times New Roman"/>
                <w:b w:val="false"/>
                <w:i w:val="false"/>
                <w:color w:val="000000"/>
                <w:sz w:val="20"/>
              </w:rPr>
              <w:t>, a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registered with the Commercial Register under number 68904312.</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Corporate Documents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Deed of Incorporation, the Deed of Conversion, the Current Articles, the Resolutions, the Registration Statement and the Prospectus Supplement.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Current Articles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Articles of Association as they read immediately after the execution of a deed of amendment dated April 23, 2026.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DCC</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Dutch Civil Code (</w:t>
            </w:r>
            <w:r>
              <w:rPr>
                <w:rFonts w:ascii="Times New Roman" w:hAnsi="Times New Roman"/>
                <w:b w:val="false"/>
                <w:i/>
                <w:color w:val="000000"/>
                <w:sz w:val="20"/>
              </w:rPr>
              <w:t>Burgerlijk Wetboek</w:t>
            </w:r>
            <w:r>
              <w:rPr>
                <w:rFonts w:ascii="Times New Roman" w:hAnsi="Times New Roman"/>
                <w:b w:val="false"/>
                <w:i w:val="false"/>
                <w:color w:val="000000"/>
                <w:sz w:val="20"/>
              </w:rPr>
              <w:t xml:space="preserve">). </w:t>
            </w:r>
          </w:p>
        </w:tc>
      </w:tr>
    </w:tbl>
    <w:bookmarkEnd w:id="38"/>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0"/>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8</w:t>
      </w:r>
      <w:r>
        <w:rPr>
          <w:rFonts w:ascii="Times New Roman" w:hAnsi="Times New Roman"/>
          <w:b w:val="false"/>
          <w:i w:val="false"/>
          <w:color w:val="000000"/>
          <w:sz w:val="20"/>
        </w:rPr>
        <w:t xml:space="preserve"> </w:t>
      </w:r>
    </w:p>
    <w:tbl>
      <w:tblPr>
        <w:tblW w:w="0" w:type="auto"/>
        <w:tblCellSpacing w:w="0" w:type="auto"/>
        <w:tblBorders>
          <w:top w:val="none"/>
          <w:left w:val="none"/>
          <w:bottom w:val="none"/>
          <w:right w:val="none"/>
          <w:insideH w:val="none"/>
          <w:insideV w:val="none"/>
        </w:tblBorders>
      </w:tblPr>
      <w:tblGrid>
        <w:gridCol w:w="4772"/>
        <w:gridCol w:w="8862"/>
      </w:tblGrid>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Deed of Conversion</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deed of conversion and amendment to the Articles of Association dated November 8, 2017.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Deed of Incorporation</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Company’s deed of incorporation (</w:t>
            </w:r>
            <w:r>
              <w:rPr>
                <w:rFonts w:ascii="Times New Roman" w:hAnsi="Times New Roman"/>
                <w:b w:val="false"/>
                <w:i/>
                <w:color w:val="000000"/>
                <w:sz w:val="20"/>
              </w:rPr>
              <w:t>akte van oprichting</w:t>
            </w:r>
            <w:r>
              <w:rPr>
                <w:rFonts w:ascii="Times New Roman" w:hAnsi="Times New Roman"/>
                <w:b w:val="false"/>
                <w:i w:val="false"/>
                <w:color w:val="000000"/>
                <w:sz w:val="20"/>
              </w:rPr>
              <w:t xml:space="preserve">) dated June 6, 2017.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Deed</w:t>
            </w:r>
            <w:r>
              <w:rPr>
                <w:rFonts w:ascii="Times New Roman" w:hAnsi="Times New Roman"/>
                <w:b w:val="false"/>
                <w:i w:val="false"/>
                <w:color w:val="000000"/>
                <w:sz w:val="20"/>
              </w:rPr>
              <w:t> </w:t>
            </w:r>
            <w:r>
              <w:rPr>
                <w:rFonts w:ascii="Times New Roman" w:hAnsi="Times New Roman"/>
                <w:b/>
                <w:i w:val="false"/>
                <w:color w:val="000000"/>
                <w:sz w:val="20"/>
              </w:rPr>
              <w:t>of Issue</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draft deed of issue of the Offer Shares, prepared by us with reference 59.624.818.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660"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eIDAS Regulation</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Regulation (EU) No 910/2014 of the European Parliament and of the Council of 23 July 2014 on electronic identification and trust services for electronic transactions in the internal market and repealing Directive 1999/93/EC.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General Meeting</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Company’s general meeting (</w:t>
            </w:r>
            <w:r>
              <w:rPr>
                <w:rFonts w:ascii="Times New Roman" w:hAnsi="Times New Roman"/>
                <w:b w:val="false"/>
                <w:i/>
                <w:color w:val="000000"/>
                <w:sz w:val="20"/>
              </w:rPr>
              <w:t>algemene vergadering</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13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Insolvency Proceedings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Any insolvency proceedings within the meaning of Regulation (EU) 2015/848 of the European Parliament and of the Council of 20 May 2015 on insolvency proceedings (recast), as amended by Regulation (EU) 2021/2260 of the European Parliament and of the Counsel of 15 December 2021, listed in Annex A thereto and any statutory proceedings for the restructuring of debts (</w:t>
            </w:r>
            <w:r>
              <w:rPr>
                <w:rFonts w:ascii="Times New Roman" w:hAnsi="Times New Roman"/>
                <w:b w:val="false"/>
                <w:i/>
                <w:color w:val="000000"/>
                <w:sz w:val="20"/>
              </w:rPr>
              <w:t>akkoordprocedure</w:t>
            </w:r>
            <w:r>
              <w:rPr>
                <w:rFonts w:ascii="Times New Roman" w:hAnsi="Times New Roman"/>
                <w:b w:val="false"/>
                <w:i w:val="false"/>
                <w:color w:val="000000"/>
                <w:sz w:val="20"/>
              </w:rPr>
              <w:t xml:space="preserve">) pursuant to the Bankruptcy Code.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NautaDutilh</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NautaDutilh N.V.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50"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the Netherlands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European territory of the Kingdom of the Netherlands and “</w:t>
            </w:r>
            <w:r>
              <w:rPr>
                <w:rFonts w:ascii="Times New Roman" w:hAnsi="Times New Roman"/>
                <w:b/>
                <w:i w:val="false"/>
                <w:color w:val="000000"/>
                <w:sz w:val="20"/>
              </w:rPr>
              <w:t>Dutch</w:t>
            </w:r>
            <w:r>
              <w:rPr>
                <w:rFonts w:ascii="Times New Roman" w:hAnsi="Times New Roman"/>
                <w:b w:val="false"/>
                <w:i w:val="false"/>
                <w:color w:val="000000"/>
                <w:sz w:val="20"/>
              </w:rPr>
              <w:t xml:space="preserve">” is in or from the Netherlands.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Offer Shares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75,000,000</w:t>
            </w:r>
            <w:r>
              <w:rPr>
                <w:rFonts w:ascii="Times New Roman" w:hAnsi="Times New Roman"/>
                <w:b w:val="false"/>
                <w:i w:val="false"/>
                <w:color w:val="000000"/>
                <w:sz w:val="20"/>
              </w:rPr>
              <w:t> </w:t>
            </w:r>
            <w:r>
              <w:rPr>
                <w:rFonts w:ascii="Times New Roman" w:hAnsi="Times New Roman"/>
                <w:b w:val="false"/>
                <w:i w:val="false"/>
                <w:color w:val="000000"/>
                <w:sz w:val="20"/>
              </w:rPr>
              <w:t>Ordinary Shares</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Offering</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The offering </w:t>
            </w:r>
            <w:r>
              <w:rPr>
                <w:rFonts w:ascii="Times New Roman" w:hAnsi="Times New Roman"/>
                <w:b w:val="false"/>
                <w:i w:val="false"/>
                <w:color w:val="000000"/>
                <w:sz w:val="20"/>
              </w:rPr>
              <w:t xml:space="preserve">of Ordinary Shares </w:t>
            </w:r>
            <w:r>
              <w:rPr>
                <w:rFonts w:ascii="Times New Roman" w:hAnsi="Times New Roman"/>
                <w:b w:val="false"/>
                <w:i w:val="false"/>
                <w:color w:val="000000"/>
                <w:sz w:val="20"/>
              </w:rPr>
              <w:t>as contemplated by the Prospectus Supplement.</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Ordinary Shares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Ordinary shares in the Company’s capital, with a nominal value of EUR </w:t>
            </w:r>
            <w:r>
              <w:rPr>
                <w:rFonts w:ascii="Times New Roman" w:hAnsi="Times New Roman"/>
                <w:b w:val="false"/>
                <w:i w:val="false"/>
                <w:color w:val="000000"/>
                <w:sz w:val="20"/>
              </w:rPr>
              <w:t>0.12</w:t>
            </w:r>
            <w:r>
              <w:rPr>
                <w:rFonts w:ascii="Times New Roman" w:hAnsi="Times New Roman"/>
                <w:b w:val="false"/>
                <w:i w:val="false"/>
                <w:color w:val="000000"/>
                <w:sz w:val="20"/>
              </w:rPr>
              <w:t xml:space="preserve"> each.</w:t>
            </w:r>
            <w:r>
              <w:rPr>
                <w:rFonts w:ascii="Times New Roman" w:hAnsi="Times New Roman"/>
                <w:b w:val="false"/>
                <w:i w:val="false"/>
                <w:color w:val="000000"/>
                <w:sz w:val="20"/>
              </w:rPr>
              <w:t xml:space="preserve">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1266825" cy="152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1"/>
                    <a:stretch>
                      <a:fillRect/>
                    </a:stretch>
                  </pic:blipFill>
                  <pic:spPr>
                    <a:xfrm>
                      <a:off x="0" y="0"/>
                      <a:ext cx="1266825" cy="152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20"/>
        </w:rPr>
        <w:t>9</w:t>
      </w:r>
      <w:r>
        <w:rPr>
          <w:rFonts w:ascii="Times New Roman" w:hAnsi="Times New Roman"/>
          <w:b w:val="false"/>
          <w:i w:val="false"/>
          <w:color w:val="000000"/>
          <w:sz w:val="20"/>
        </w:rPr>
        <w:t xml:space="preserve"> </w:t>
      </w:r>
    </w:p>
    <w:tbl>
      <w:tblPr>
        <w:tblW w:w="0" w:type="auto"/>
        <w:tblCellSpacing w:w="0" w:type="auto"/>
        <w:tblBorders>
          <w:top w:val="none"/>
          <w:left w:val="none"/>
          <w:bottom w:val="none"/>
          <w:right w:val="none"/>
          <w:insideH w:val="none"/>
          <w:insideV w:val="none"/>
        </w:tblBorders>
      </w:tblPr>
      <w:tblGrid>
        <w:gridCol w:w="4772"/>
        <w:gridCol w:w="8862"/>
      </w:tblGrid>
      <w:tr>
        <w:trPr>
          <w:trHeight w:val="88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Prospectus Regulation</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Regulation (EU) 2017/1129 of the European Parliament and of the Council of 14 June 2017 on the prospectus to be published when securities are offered to the public or admitted to trading on a regulated market, and repealing Directive 2003/71/EC.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Prospectus Supplement</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prospectus supplement to the Registration Statement filed with the SEC, in connection with the Offering in the form reviewed by us.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Registration Statement</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The Company’s registration statement on Form F-3 (No. 333-273058)</w:t>
            </w:r>
            <w:r>
              <w:rPr>
                <w:rFonts w:ascii="Times New Roman" w:hAnsi="Times New Roman"/>
                <w:b w:val="false"/>
                <w:i w:val="false"/>
                <w:color w:val="000000"/>
                <w:sz w:val="20"/>
              </w:rPr>
              <w:t> </w:t>
            </w:r>
            <w:r>
              <w:rPr>
                <w:rFonts w:ascii="Times New Roman" w:hAnsi="Times New Roman"/>
                <w:b w:val="false"/>
                <w:i w:val="false"/>
                <w:color w:val="000000"/>
                <w:sz w:val="20"/>
              </w:rPr>
              <w:t>filed with the SEC.</w:t>
            </w:r>
            <w:r>
              <w:rPr>
                <w:rFonts w:ascii="Times New Roman" w:hAnsi="Times New Roman"/>
                <w:b w:val="false"/>
                <w:i w:val="false"/>
                <w:color w:val="000000"/>
                <w:sz w:val="20"/>
              </w:rPr>
              <w:t xml:space="preserv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43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Relevant Moment</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moment when Offer Shares are issued pursuant to the execution of a Deed of Issue.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Resolutions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Each of the following: </w:t>
            </w:r>
          </w:p>
          <w:p>
            <w:pPr>
              <w:spacing w:before="0" w:after="0"/>
              <w:ind w:left="840"/>
              <w:jc w:val="both"/>
            </w:pPr>
          </w:p>
          <w:p>
            <w:pPr>
              <w:spacing w:before="0" w:after="0"/>
              <w:ind w:left="840"/>
              <w:jc w:val="both"/>
            </w:pPr>
          </w:p>
          <w:p>
            <w:pPr>
              <w:spacing w:before="0" w:after="0"/>
              <w:ind w:left="840"/>
              <w:jc w:val="both"/>
            </w:pP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840"/>
              <w:jc w:val="both"/>
            </w:pPr>
            <w:r>
              <w:rPr>
                <w:rFonts w:ascii="Times New Roman" w:hAnsi="Times New Roman"/>
                <w:b w:val="false"/>
                <w:i w:val="false"/>
                <w:color w:val="000000"/>
                <w:sz w:val="20"/>
              </w:rPr>
              <w:t xml:space="preserve"> </w:t>
            </w:r>
            <w:r>
              <w:rPr>
                <w:rFonts w:ascii="Times New Roman" w:hAnsi="Times New Roman"/>
                <w:b/>
                <w:i w:val="false"/>
                <w:color w:val="000000"/>
                <w:sz w:val="20"/>
              </w:rPr>
              <w:t>a.</w:t>
            </w:r>
            <w:r>
              <w:rPr>
                <w:rFonts w:ascii="Times New Roman" w:hAnsi="Times New Roman"/>
                <w:b w:val="false"/>
                <w:i w:val="false"/>
                <w:color w:val="000000"/>
                <w:sz w:val="20"/>
              </w:rPr>
              <w:t xml:space="preserve">         The written resolutions of the Board, dated May 6, 2026; and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90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840"/>
              <w:jc w:val="both"/>
            </w:pPr>
            <w:r>
              <w:rPr>
                <w:rFonts w:ascii="Times New Roman" w:hAnsi="Times New Roman"/>
                <w:b w:val="false"/>
                <w:i w:val="false"/>
                <w:color w:val="000000"/>
                <w:sz w:val="20"/>
              </w:rPr>
              <w:t xml:space="preserve"> </w:t>
            </w:r>
            <w:r>
              <w:rPr>
                <w:rFonts w:ascii="Times New Roman" w:hAnsi="Times New Roman"/>
                <w:b/>
                <w:i w:val="false"/>
                <w:color w:val="000000"/>
                <w:sz w:val="20"/>
              </w:rPr>
              <w:t>b.</w:t>
            </w:r>
            <w:r>
              <w:rPr>
                <w:rFonts w:ascii="Times New Roman" w:hAnsi="Times New Roman"/>
                <w:b w:val="false"/>
                <w:i w:val="false"/>
                <w:color w:val="000000"/>
                <w:sz w:val="20"/>
              </w:rPr>
              <w:t xml:space="preserve">         the resolutions of the General Meeting adopted in the meeting held on April 23, 2026, as reflected in the convening notice and explanatory notes for that General Meeting that are published on the Company’s website on the date of this opinion letter; and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840"/>
              <w:jc w:val="both"/>
            </w:pPr>
            <w:r>
              <w:rPr>
                <w:rFonts w:ascii="Times New Roman" w:hAnsi="Times New Roman"/>
                <w:b w:val="false"/>
                <w:i w:val="false"/>
                <w:color w:val="000000"/>
                <w:sz w:val="20"/>
              </w:rPr>
              <w:t xml:space="preserve"> </w:t>
            </w:r>
            <w:r>
              <w:rPr>
                <w:rFonts w:ascii="Times New Roman" w:hAnsi="Times New Roman"/>
                <w:b/>
                <w:i w:val="false"/>
                <w:color w:val="000000"/>
                <w:sz w:val="20"/>
              </w:rPr>
              <w:t>c.</w:t>
            </w:r>
            <w:r>
              <w:rPr>
                <w:rFonts w:ascii="Times New Roman" w:hAnsi="Times New Roman"/>
                <w:b w:val="false"/>
                <w:i w:val="false"/>
                <w:color w:val="000000"/>
                <w:sz w:val="20"/>
              </w:rPr>
              <w:t xml:space="preserve">          the written resolutions of the pricing committee dated May 6, 2026.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Reviewed Documents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Each Deed of Issue and the Underwriting Agreement.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SEC</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United States Securities and Exchange Commission.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Underwriters</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Underwriters, as defined in the Underwriting Agreement.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86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660" w:hRule="atLeast"/>
        </w:trPr>
        <w:tc>
          <w:tcPr>
            <w:tcW w:w="477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Underwriting Agreement</w:t>
            </w:r>
            <w:r>
              <w:rPr>
                <w:rFonts w:ascii="Times New Roman" w:hAnsi="Times New Roman"/>
                <w:b w:val="false"/>
                <w:i w:val="false"/>
                <w:color w:val="000000"/>
                <w:sz w:val="20"/>
              </w:rPr>
              <w:t xml:space="preserve">” </w:t>
            </w:r>
          </w:p>
        </w:tc>
        <w:tc>
          <w:tcPr>
            <w:tcW w:w="886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underwriting agreement entered into between the Company and Guggenheim Securities, LLC, as representative of the Underwriters in connection with the Offering, dated May 6, 2026. </w:t>
            </w:r>
          </w:p>
        </w:tc>
      </w:tr>
    </w:tbl>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r>
        <w:pict>
          <v:rect style="width:0;height:1.5pt" id="_x0000_i1025" o:hr="t" o:hrstd="t" o:hralign="center" stroked="f" fillcolor="#a0a0a0"/>
        </w:pict>
      </w:r>
    </w:p>
    <w:p>
      <w:pPr>
        <w:spacing w:before="0" w:after="0"/>
        <w:ind w:left="120"/>
        <w:jc w:val="left"/>
      </w:pPr>
    </w:p>
    <w:p>
      <w:pPr>
        <w:spacing w:before="0" w:after="0"/>
        <w:ind w:left="120"/>
        <w:jc w:val="left"/>
      </w:pP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222.jpeg" Type="http://schemas.openxmlformats.org/officeDocument/2006/relationships/image" Id="rId6"/>
    <Relationship Target="media/document_image_rId42222.jpeg" Type="http://schemas.openxmlformats.org/officeDocument/2006/relationships/image" Id="rId7"/>
    <Relationship Target="media/document_image_rId422222.jpeg" Type="http://schemas.openxmlformats.org/officeDocument/2006/relationships/image" Id="rId8"/>
    <Relationship Target="media/document_image_rId4222222.jpeg" Type="http://schemas.openxmlformats.org/officeDocument/2006/relationships/image" Id="rId9"/>
    <Relationship Target="media/document_image_rId42222222.jpeg" Type="http://schemas.openxmlformats.org/officeDocument/2006/relationships/image" Id="rId10"/>
    <Relationship Target="media/document_image_rId422222222.jpeg" Type="http://schemas.openxmlformats.org/officeDocument/2006/relationships/image" Id="rId11"/>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