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ef20072108_6k.htm </w:t>
      </w:r>
      <w:r>
        <w:rPr>
          <w:rFonts w:ascii="Times New Roman" w:hAnsi="Times New Roman"/>
          <w:b w:val="false"/>
          <w:i w:val="false"/>
          <w:color w:val="000000"/>
          <w:sz w:val="20"/>
        </w:rPr>
        <w:t xml:space="preserve">6-K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f774ea84abd34c7c88f729e01e8ec1f8" w:id="0"/>
      <w:bookmarkEnd w:id="0"/>
      <w:r>
        <w:rPr>
          <w:rFonts w:ascii="Times New Roman" w:hAnsi="Times New Roman"/>
          <w:b/>
          <w:i w:val="false"/>
          <w:color w:val="000000"/>
          <w:sz w:val="28"/>
        </w:rPr>
        <w:t>UNITED STATES</w:t>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p>
    <w:bookmarkStart w:name="z4c6a493d296b43e6be7331c60671cb49" w:id="1"/>
    <w:tbl>
      <w:tblPr>
        <w:tblW w:w="0" w:type="auto"/>
        <w:tblCellSpacing w:w="0" w:type="auto"/>
        <w:tblInd w:w="4772" w:type="dxa"/>
        <w:tblBorders>
          <w:top w:val="none"/>
          <w:left w:val="none"/>
          <w:bottom w:val="none"/>
          <w:right w:val="none"/>
          <w:insideH w:val="none"/>
          <w:insideV w:val="none"/>
        </w:tblBorders>
      </w:tblPr>
      <w:tblGrid>
        <w:gridCol w:w="4090"/>
      </w:tblGrid>
      <w:tr>
        <w:trPr>
          <w:trHeight w:val="435" w:hRule="atLeast"/>
        </w:trPr>
        <w:tc>
          <w:tcPr>
            <w:tcW w:w="4090" w:type="dxa"/>
            <w:tcBorders>
              <w:top w:val="single" w:color="000000" w:sz="16"/>
              <w:bottom w:val="single" w:color="000000" w:sz="16"/>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36"/>
              </w:rPr>
              <w:t xml:space="preserve"> FORM 6-K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ISSUER </w:t>
      </w:r>
    </w:p>
    <w:p>
      <w:pPr>
        <w:spacing w:before="0" w:after="0"/>
        <w:ind w:left="120"/>
        <w:jc w:val="center"/>
      </w:pPr>
      <w:r>
        <w:rPr>
          <w:rFonts w:ascii="Times New Roman" w:hAnsi="Times New Roman"/>
          <w:b/>
          <w:i w:val="false"/>
          <w:color w:val="000000"/>
          <w:sz w:val="20"/>
        </w:rPr>
        <w:t xml:space="preserve"> PURSUANT TO RULE 13A-16 OR 15D-16 UNDER </w:t>
      </w:r>
    </w:p>
    <w:p>
      <w:pPr>
        <w:spacing w:before="0" w:after="0"/>
        <w:ind w:left="120"/>
        <w:jc w:val="center"/>
      </w:pPr>
      <w:r>
        <w:rPr>
          <w:rFonts w:ascii="Times New Roman" w:hAnsi="Times New Roman"/>
          <w:b/>
          <w:i w:val="false"/>
          <w:color w:val="000000"/>
          <w:sz w:val="20"/>
        </w:rPr>
        <w:t xml:space="preserve"> THE SECURITIES EXCHANGE ACT OF 1934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For the month of May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Commission File Number: 001-38283 </w:t>
      </w:r>
    </w:p>
    <w:p>
      <w:pPr>
        <w:spacing w:before="0" w:after="0"/>
        <w:ind w:left="120"/>
        <w:jc w:val="left"/>
      </w:pPr>
      <w:r>
        <w:rPr>
          <w:rFonts w:ascii="Times New Roman" w:hAnsi="Times New Roman"/>
          <w:b w:val="false"/>
          <w:i w:val="false"/>
          <w:color w:val="000000"/>
          <w:sz w:val="20"/>
        </w:rPr>
        <w:t xml:space="preserve">   </w:t>
      </w:r>
    </w:p>
    <w:bookmarkStart w:name="zad620e5ec921443290ba3711d3e75e04" w:id="2"/>
    <w:tbl>
      <w:tblPr>
        <w:tblW w:w="0" w:type="auto"/>
        <w:tblCellSpacing w:w="0" w:type="auto"/>
        <w:tblInd w:w="4772" w:type="dxa"/>
        <w:tblBorders>
          <w:top w:val="none"/>
          <w:left w:val="none"/>
          <w:bottom w:val="none"/>
          <w:right w:val="none"/>
          <w:insideH w:val="none"/>
          <w:insideV w:val="none"/>
        </w:tblBorders>
      </w:tblPr>
      <w:tblGrid>
        <w:gridCol w:w="4090"/>
      </w:tblGrid>
      <w:tr>
        <w:trPr>
          <w:trHeight w:val="225" w:hRule="atLeast"/>
        </w:trPr>
        <w:tc>
          <w:tcPr>
            <w:tcW w:w="4090" w:type="dxa"/>
            <w:tcBorders>
              <w:top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990" w:hRule="atLeast"/>
        </w:trPr>
        <w:tc>
          <w:tcPr>
            <w:tcW w:w="409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48"/>
              </w:rPr>
              <w:t xml:space="preserve"> InflaRx N.V. </w:t>
            </w:r>
          </w:p>
          <w:p>
            <w:pPr>
              <w:spacing w:before="0" w:after="0"/>
              <w:ind w:left="120"/>
              <w:jc w:val="center"/>
            </w:pPr>
            <w:r>
              <w:rPr>
                <w:rFonts w:ascii="Times New Roman" w:hAnsi="Times New Roman"/>
                <w:b w:val="false"/>
                <w:i w:val="false"/>
                <w:color w:val="000000"/>
                <w:sz w:val="20"/>
              </w:rPr>
              <w:t xml:space="preserve"> (Translation of registrant's name into English) </w:t>
            </w:r>
          </w:p>
        </w:tc>
      </w:tr>
      <w:tr>
        <w:trPr>
          <w:trHeight w:val="225" w:hRule="atLeast"/>
        </w:trPr>
        <w:tc>
          <w:tcPr>
            <w:tcW w:w="409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1380" w:hRule="atLeast"/>
        </w:trPr>
        <w:tc>
          <w:tcPr>
            <w:tcW w:w="4090" w:type="dxa"/>
            <w:tcBorders>
              <w:top w:val="single" w:color="000000" w:sz="16"/>
              <w:bottom w:val="single" w:color="000000" w:sz="16"/>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Germany </w:t>
            </w:r>
          </w:p>
          <w:p>
            <w:pPr>
              <w:spacing w:before="0" w:after="0"/>
              <w:ind w:left="120"/>
              <w:jc w:val="center"/>
            </w:pPr>
            <w:r>
              <w:rPr>
                <w:rFonts w:ascii="Times New Roman" w:hAnsi="Times New Roman"/>
                <w:b w:val="false"/>
                <w:i w:val="false"/>
                <w:color w:val="000000"/>
                <w:sz w:val="20"/>
              </w:rPr>
              <w:t xml:space="preserve"> (Address of principal executive office)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r>
    </w:tbl>
    <w:bookmarkEnd w:id="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b192d2f2771b4567875929e01e8ec206" w:id="3"/>
      <w:bookmarkEnd w:id="3"/>
      <w:r>
        <w:rPr>
          <w:rFonts w:ascii="Times New Roman" w:hAnsi="Times New Roman"/>
          <w:b/>
          <w:i w:val="false"/>
          <w:color w:val="000000"/>
          <w:sz w:val="20"/>
        </w:rPr>
        <w:t xml:space="preserve">EXPLANATORY NOTE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Exhibits 99.1 and 99.2 to this report on Form 6-K (this “Report”) shall be deemed to be incorporated by reference into (i) the registration statements on Form S-8 (File No. </w:t>
      </w:r>
      <w:r>
        <w:rPr>
          <w:rFonts w:ascii="Times New Roman" w:hAnsi="Times New Roman"/>
          <w:b/>
          <w:i w:val="false"/>
          <w:color w:val="000000"/>
          <w:sz w:val="20"/>
        </w:rPr>
        <w:t>333-221656</w:t>
      </w:r>
      <w:r>
        <w:rPr>
          <w:rFonts w:ascii="Times New Roman" w:hAnsi="Times New Roman"/>
          <w:b w:val="false"/>
          <w:i w:val="false"/>
          <w:color w:val="000000"/>
          <w:sz w:val="20"/>
        </w:rPr>
        <w:t xml:space="preserve"> and </w:t>
      </w:r>
      <w:r>
        <w:rPr>
          <w:rFonts w:ascii="Times New Roman" w:hAnsi="Times New Roman"/>
          <w:b/>
          <w:i w:val="false"/>
          <w:color w:val="000000"/>
          <w:sz w:val="20"/>
        </w:rPr>
        <w:t>333-240185</w:t>
      </w:r>
      <w:r>
        <w:rPr>
          <w:rFonts w:ascii="Times New Roman" w:hAnsi="Times New Roman"/>
          <w:b w:val="false"/>
          <w:i w:val="false"/>
          <w:color w:val="000000"/>
          <w:sz w:val="20"/>
        </w:rPr>
        <w:t xml:space="preserve">) and (ii) the registration statement on </w:t>
      </w:r>
      <w:r>
        <w:rPr>
          <w:rFonts w:ascii="Times New Roman" w:hAnsi="Times New Roman"/>
          <w:b/>
          <w:i w:val="false"/>
          <w:color w:val="000000"/>
          <w:sz w:val="20"/>
        </w:rPr>
        <w:t>Form F-3</w:t>
      </w:r>
      <w:r>
        <w:rPr>
          <w:rFonts w:ascii="Times New Roman" w:hAnsi="Times New Roman"/>
          <w:b w:val="false"/>
          <w:i w:val="false"/>
          <w:color w:val="000000"/>
          <w:sz w:val="20"/>
        </w:rPr>
        <w:t xml:space="preserve"> (File No. 333-273058) of InflaRx N.V. and to be a part thereof from the date on which this Report is submitted, to the extent not superseded by documents or reports subsequently filed or furnished.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d9bdc099388c4b1fbc1429e01e8ec204" w:id="4"/>
      <w:bookmarkEnd w:id="4"/>
      <w:r>
        <w:rPr>
          <w:rFonts w:ascii="Times New Roman" w:hAnsi="Times New Roman"/>
          <w:b/>
          <w:i w:val="false"/>
          <w:color w:val="000000"/>
          <w:sz w:val="20"/>
        </w:rPr>
        <w:t xml:space="preserve">EXHIBIT INDEX </w:t>
      </w:r>
    </w:p>
    <w:p>
      <w:pPr>
        <w:spacing w:before="0" w:after="0"/>
        <w:ind w:left="120"/>
        <w:jc w:val="left"/>
      </w:pPr>
      <w:r>
        <w:rPr>
          <w:rFonts w:ascii="Times New Roman" w:hAnsi="Times New Roman"/>
          <w:b w:val="false"/>
          <w:i w:val="false"/>
          <w:color w:val="000000"/>
          <w:sz w:val="20"/>
        </w:rPr>
        <w:t xml:space="preserve">   </w:t>
      </w:r>
    </w:p>
    <w:bookmarkStart w:name="z66580a1daa654b26ae193e00f56d7a4c" w:id="5"/>
    <w:tbl>
      <w:tblPr>
        <w:tblW w:w="0" w:type="auto"/>
        <w:tblCellSpacing w:w="0" w:type="auto"/>
        <w:tblBorders>
          <w:top w:val="none"/>
          <w:left w:val="none"/>
          <w:bottom w:val="none"/>
          <w:right w:val="none"/>
          <w:insideH w:val="none"/>
          <w:insideV w:val="none"/>
        </w:tblBorders>
      </w:tblPr>
      <w:tblGrid>
        <w:gridCol w:w="1637"/>
        <w:gridCol w:w="11997"/>
      </w:tblGrid>
      <w:tr>
        <w:trPr>
          <w:trHeight w:val="210" w:hRule="atLeast"/>
        </w:trPr>
        <w:tc>
          <w:tcPr>
            <w:tcW w:w="16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Exhibit No.</w:t>
            </w:r>
            <w:r>
              <w:rPr>
                <w:rFonts w:ascii="Times New Roman" w:hAnsi="Times New Roman"/>
                <w:b w:val="false"/>
                <w:i w:val="false"/>
                <w:color w:val="000000"/>
                <w:sz w:val="20"/>
              </w:rPr>
              <w:t xml:space="preserve"> </w:t>
            </w:r>
          </w:p>
        </w:tc>
        <w:tc>
          <w:tcPr>
            <w:tcW w:w="1199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Description</w:t>
            </w:r>
            <w:r>
              <w:rPr>
                <w:rFonts w:ascii="Times New Roman" w:hAnsi="Times New Roman"/>
                <w:b w:val="false"/>
                <w:i w:val="false"/>
                <w:color w:val="000000"/>
                <w:sz w:val="20"/>
              </w:rPr>
              <w:t xml:space="preserve"> </w:t>
            </w:r>
          </w:p>
        </w:tc>
      </w:tr>
      <w:tr>
        <w:trPr>
          <w:trHeight w:val="210" w:hRule="atLeast"/>
        </w:trPr>
        <w:tc>
          <w:tcPr>
            <w:tcW w:w="163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99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16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rPr>
              <w:t>99.1</w:t>
            </w:r>
            <w:r>
              <w:rPr>
                <w:rFonts w:ascii="Times New Roman" w:hAnsi="Times New Roman"/>
                <w:b/>
                <w:i w:val="false"/>
                <w:color w:val="000000"/>
                <w:sz w:val="20"/>
              </w:rPr>
              <w:t xml:space="preserve"> </w:t>
            </w:r>
          </w:p>
        </w:tc>
        <w:tc>
          <w:tcPr>
            <w:tcW w:w="1199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N.V. Unaudited Condensed Consolidated Financial Statements as of and for the Three Months Ended March 31, 2026 </w:t>
            </w:r>
          </w:p>
        </w:tc>
      </w:tr>
      <w:tr>
        <w:trPr>
          <w:trHeight w:val="225" w:hRule="atLeast"/>
        </w:trPr>
        <w:tc>
          <w:tcPr>
            <w:tcW w:w="163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rPr>
              <w:t>99.2</w:t>
            </w:r>
            <w:r>
              <w:rPr>
                <w:rFonts w:ascii="Times New Roman" w:hAnsi="Times New Roman"/>
                <w:b/>
                <w:i w:val="false"/>
                <w:color w:val="000000"/>
                <w:sz w:val="20"/>
              </w:rPr>
              <w:t xml:space="preserve"> </w:t>
            </w:r>
          </w:p>
        </w:tc>
        <w:tc>
          <w:tcPr>
            <w:tcW w:w="1199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N.V. Management’s Discussion and Analysis of Financial Condition and Results of Operations </w:t>
            </w:r>
          </w:p>
        </w:tc>
      </w:tr>
    </w:tbl>
    <w:bookmarkEnd w:id="5"/>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7bd177290ee84e5daa6329e01e8ec207" w:id="6"/>
      <w:bookmarkEnd w:id="6"/>
      <w:r>
        <w:rPr>
          <w:rFonts w:ascii="Times New Roman" w:hAnsi="Times New Roman"/>
          <w:b/>
          <w:i w:val="false"/>
          <w:color w:val="000000"/>
          <w:sz w:val="20"/>
        </w:rPr>
        <w:t xml:space="preserve">SIGNATURES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p>
    <w:bookmarkStart w:name="z65a349af6c4e46d997db0cfbd3532a49" w:id="7"/>
    <w:tbl>
      <w:tblPr>
        <w:tblW w:w="0" w:type="auto"/>
        <w:tblCellSpacing w:w="0" w:type="auto"/>
        <w:tblBorders>
          <w:top w:val="none"/>
          <w:left w:val="none"/>
          <w:bottom w:val="none"/>
          <w:right w:val="none"/>
          <w:insideH w:val="none"/>
          <w:insideV w:val="none"/>
        </w:tblBorders>
      </w:tblPr>
      <w:tblGrid>
        <w:gridCol w:w="6136"/>
        <w:gridCol w:w="1091"/>
        <w:gridCol w:w="4362"/>
        <w:gridCol w:w="2045"/>
      </w:tblGrid>
      <w:tr>
        <w:trPr>
          <w:trHeight w:val="225" w:hRule="atLeast"/>
        </w:trPr>
        <w:tc>
          <w:tcPr>
            <w:tcW w:w="6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c>
          <w:tcPr>
            <w:tcW w:w="20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3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0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40" w:hRule="atLeast"/>
        </w:trPr>
        <w:tc>
          <w:tcPr>
            <w:tcW w:w="6136"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Date: May 6, 2026 </w:t>
            </w:r>
          </w:p>
        </w:tc>
        <w:tc>
          <w:tcPr>
            <w:tcW w:w="1091"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4362"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c>
          <w:tcPr>
            <w:tcW w:w="204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6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Name: </w:t>
            </w:r>
          </w:p>
        </w:tc>
        <w:tc>
          <w:tcPr>
            <w:tcW w:w="4362"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Niels Riedemann </w:t>
            </w:r>
          </w:p>
        </w:tc>
        <w:tc>
          <w:tcPr>
            <w:tcW w:w="204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Title: </w:t>
            </w:r>
          </w:p>
        </w:tc>
        <w:tc>
          <w:tcPr>
            <w:tcW w:w="4362"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Chief Executive Officer </w:t>
            </w:r>
          </w:p>
        </w:tc>
        <w:tc>
          <w:tcPr>
            <w:tcW w:w="204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7"/>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ef20072108_ex99-1.htm </w:t>
      </w:r>
      <w:r>
        <w:rPr>
          <w:rFonts w:ascii="Times New Roman" w:hAnsi="Times New Roman"/>
          <w:b w:val="false"/>
          <w:i w:val="false"/>
          <w:color w:val="000000"/>
          <w:sz w:val="20"/>
        </w:rPr>
        <w:t xml:space="preserve">EXHIBIT 99.1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UNAUDITED CONDENSED CONSOLIDATED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FINANCIAL STATEMENTS – March 31,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These unaudited condensed financial statements are consolidated financial statements for the group consisting of InflaRx N.V. and its wholly-owned subsidiaries InflaRx GmbH, Jena, Germany, and InflaRx Pharmaceuticals Inc., Ann Arbor, Michigan, United States (together, the “Group”). The financial statements are presented in euros (€).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InflaRx N.V. is a company limited by shares, incorporated and domiciled in Amsterdam, The Netherlands. </w:t>
      </w:r>
    </w:p>
    <w:p>
      <w:pPr>
        <w:spacing w:before="0" w:after="0"/>
        <w:ind w:left="120"/>
        <w:jc w:val="center"/>
      </w:pPr>
      <w:r>
        <w:rPr>
          <w:rFonts w:ascii="Times New Roman" w:hAnsi="Times New Roman"/>
          <w:b w:val="false"/>
          <w:i w:val="false"/>
          <w:color w:val="000000"/>
          <w:sz w:val="20"/>
        </w:rPr>
        <w:t xml:space="preserve"> Its registered office and principal place of business is in Germany, 07745 Jena, Winzerlaer Str. 2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w:t>
      </w:r>
      <w:bookmarkStart w:name="SNWID_a6dffb54acd44114919d29e01e8ec205" w:id="0"/>
      <w:bookmarkEnd w:id="0"/>
      <w:r>
        <w:rPr>
          <w:rFonts w:ascii="Times New Roman" w:hAnsi="Times New Roman"/>
          <w:b/>
          <w:i w:val="false"/>
          <w:color w:val="000000"/>
          <w:sz w:val="20"/>
        </w:rPr>
        <w:t xml:space="preserve">Index to unaudited condensed consolidated financial statements </w:t>
      </w:r>
    </w:p>
    <w:p>
      <w:pPr>
        <w:spacing w:before="0" w:after="0"/>
        <w:ind w:left="120"/>
        <w:jc w:val="left"/>
      </w:pPr>
      <w:r>
        <w:rPr>
          <w:rFonts w:ascii="Times New Roman" w:hAnsi="Times New Roman"/>
          <w:b/>
          <w:i w:val="false"/>
          <w:color w:val="000000"/>
          <w:sz w:val="20"/>
        </w:rPr>
        <w:t xml:space="preserve"> for the three months ended March 31, 2026 </w:t>
      </w:r>
    </w:p>
    <w:p>
      <w:pPr>
        <w:spacing w:before="0" w:after="0"/>
        <w:ind w:left="120"/>
        <w:jc w:val="left"/>
      </w:pPr>
      <w:r>
        <w:rPr>
          <w:rFonts w:ascii="Times New Roman" w:hAnsi="Times New Roman"/>
          <w:b w:val="false"/>
          <w:i w:val="false"/>
          <w:color w:val="000000"/>
          <w:sz w:val="20"/>
        </w:rPr>
        <w:t xml:space="preserve">   </w:t>
      </w:r>
    </w:p>
    <w:bookmarkStart w:name="z87905cc665394a208a559fab91e0318a" w:id="1"/>
    <w:tbl>
      <w:tblPr>
        <w:tblW w:w="0" w:type="auto"/>
        <w:tblCellSpacing w:w="0" w:type="auto"/>
        <w:tblBorders>
          <w:top w:val="none"/>
          <w:left w:val="none"/>
          <w:bottom w:val="none"/>
          <w:right w:val="none"/>
          <w:insideH w:val="none"/>
          <w:insideV w:val="none"/>
        </w:tblBorders>
      </w:tblPr>
      <w:tblGrid>
        <w:gridCol w:w="273"/>
        <w:gridCol w:w="410"/>
        <w:gridCol w:w="409"/>
        <w:gridCol w:w="11179"/>
        <w:gridCol w:w="1363"/>
      </w:tblGrid>
      <w:tr>
        <w:trPr>
          <w:trHeight w:val="435" w:hRule="atLeast"/>
        </w:trPr>
        <w:tc>
          <w:tcPr>
            <w:tcW w:w="0" w:type="auto"/>
            <w:gridSpan w:val="4"/>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operations and comprehensive loss for the three months ended March 31, 2026 and 2025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F-3</w:t>
            </w:r>
          </w:p>
        </w:tc>
      </w:tr>
      <w:tr>
        <w:trPr>
          <w:trHeight w:val="210" w:hRule="atLeast"/>
        </w:trPr>
        <w:tc>
          <w:tcPr>
            <w:tcW w:w="0" w:type="auto"/>
            <w:gridSpan w:val="4"/>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financial position as of March 31, 2026 and December 31, 2025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F-4</w:t>
            </w:r>
            <w:r>
              <w:br/>
            </w:r>
          </w:p>
        </w:tc>
      </w:tr>
      <w:tr>
        <w:trPr>
          <w:trHeight w:val="435" w:hRule="atLeast"/>
        </w:trPr>
        <w:tc>
          <w:tcPr>
            <w:tcW w:w="0" w:type="auto"/>
            <w:gridSpan w:val="4"/>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changes in shareholders’ equity for the three months ended March 31, 2026 and 2025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F-5</w:t>
            </w:r>
            <w:r>
              <w:br/>
            </w:r>
          </w:p>
        </w:tc>
      </w:tr>
      <w:tr>
        <w:trPr>
          <w:trHeight w:val="210" w:hRule="atLeast"/>
        </w:trPr>
        <w:tc>
          <w:tcPr>
            <w:tcW w:w="0" w:type="auto"/>
            <w:gridSpan w:val="4"/>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cash flows for the three months ended March 31, 2026 and 2025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F-6</w:t>
            </w:r>
            <w:r>
              <w:br/>
            </w:r>
          </w:p>
        </w:tc>
      </w:tr>
      <w:tr>
        <w:trPr>
          <w:trHeight w:val="210" w:hRule="atLeast"/>
        </w:trPr>
        <w:tc>
          <w:tcPr>
            <w:tcW w:w="0" w:type="auto"/>
            <w:gridSpan w:val="4"/>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Notes to the unaudited condensed consolidated financial statements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r>
              <w:rPr>
                <w:rFonts w:ascii="Times New Roman" w:hAnsi="Times New Roman"/>
                <w:b w:val="false"/>
                <w:i w:val="false"/>
                <w:color w:val="000000"/>
                <w:sz w:val="20"/>
              </w:rPr>
              <w:t xml:space="preserve"> </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Summary of significant accounting policies and other disclosures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color w:val="000000"/>
                <w:sz w:val="20"/>
              </w:rPr>
              <w:t>a)</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Reporting entity and the Group’s structure</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color w:val="000000"/>
                <w:sz w:val="20"/>
              </w:rPr>
              <w:t>b)</w:t>
            </w:r>
            <w:r>
              <w:rPr>
                <w:rFonts w:ascii="Times New Roman" w:hAnsi="Times New Roman"/>
                <w:b w:val="false"/>
                <w:i w:val="false"/>
                <w:color w:val="000000"/>
                <w:sz w:val="20"/>
              </w:rPr>
              <w:t xml:space="preserve"> </w:t>
            </w:r>
            <w:r>
              <w:br/>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Basis of preparation</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Revenues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3.</w:t>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Cost of sales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4.</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Sales and marketing expenses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5.</w:t>
            </w:r>
            <w:r>
              <w:rPr>
                <w:rFonts w:ascii="Times New Roman" w:hAnsi="Times New Roman"/>
                <w:b w:val="false"/>
                <w:i w:val="false"/>
                <w:color w:val="000000"/>
                <w:sz w:val="20"/>
              </w:rPr>
              <w:t xml:space="preserve"> </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Research and development expenses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6.</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General and administrative expenses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7.</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Other income</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8.</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Net financial result</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9.</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Inventory</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10.</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Other assets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11.</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Tax receivables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F-10</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12.</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Financial assets and financial liabilities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F-10</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13.</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Trade payables and other accrued liabilities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F-11</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14.</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Cash and cash equivalents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F-11</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15.</w:t>
            </w:r>
            <w:r>
              <w:br/>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Equity</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F-11</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16.</w:t>
            </w:r>
            <w:r>
              <w:br/>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Share-based payments</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F-12</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Equity settled share-based payment arrangements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F-12</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0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Share-based payment expense recognized</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Share options exercised</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r>
              <w:br/>
            </w:r>
          </w:p>
        </w:tc>
      </w:tr>
      <w:tr>
        <w:trPr>
          <w:trHeight w:val="210" w:hRule="atLeast"/>
        </w:trPr>
        <w:tc>
          <w:tcPr>
            <w:tcW w:w="273"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17.</w:t>
            </w:r>
          </w:p>
        </w:tc>
        <w:tc>
          <w:tcPr>
            <w:tcW w:w="409" w:type="dxa"/>
            <w:tcBorders/>
            <w:shd w:fill="cceeff"/>
            <w:tcMar>
              <w:top w:w="15" w:type="dxa"/>
              <w:left w:w="15" w:type="dxa"/>
              <w:bottom w:w="15" w:type="dxa"/>
              <w:right w:w="15" w:type="dxa"/>
            </w:tcMar>
            <w:vAlign w:val="top"/>
          </w:tcPr>
          <w:p>
            <w:pPr>
              <w:spacing w:before="0" w:after="0"/>
              <w:ind w:left="0"/>
              <w:jc w:val="left"/>
            </w:pPr>
            <w:r>
              <w:br/>
            </w:r>
          </w:p>
        </w:tc>
        <w:tc>
          <w:tcPr>
            <w:tcW w:w="1117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Protective foundation</w:t>
            </w:r>
            <w:r>
              <w:rPr>
                <w:rFonts w:ascii="Times New Roman" w:hAnsi="Times New Roman"/>
                <w:b w:val="false"/>
                <w:i w:val="false"/>
                <w:color w:val="000000"/>
                <w:sz w:val="20"/>
              </w:rPr>
              <w:t xml:space="preserve"> </w:t>
            </w:r>
          </w:p>
        </w:tc>
        <w:tc>
          <w:tcPr>
            <w:tcW w:w="1363"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r>
              <w:br/>
            </w:r>
          </w:p>
        </w:tc>
      </w:tr>
      <w:tr>
        <w:trPr>
          <w:trHeight w:val="210" w:hRule="atLeast"/>
        </w:trPr>
        <w:tc>
          <w:tcPr>
            <w:tcW w:w="27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18.</w:t>
            </w:r>
          </w:p>
        </w:tc>
        <w:tc>
          <w:tcPr>
            <w:tcW w:w="409" w:type="dxa"/>
            <w:tcBorders/>
            <w:tcMar>
              <w:top w:w="15" w:type="dxa"/>
              <w:left w:w="15" w:type="dxa"/>
              <w:bottom w:w="15" w:type="dxa"/>
              <w:right w:w="15" w:type="dxa"/>
            </w:tcMar>
            <w:vAlign w:val="top"/>
          </w:tcPr>
          <w:p>
            <w:pPr>
              <w:spacing w:before="0" w:after="0"/>
              <w:ind w:left="0"/>
              <w:jc w:val="left"/>
            </w:pPr>
            <w:r>
              <w:br/>
            </w:r>
          </w:p>
        </w:tc>
        <w:tc>
          <w:tcPr>
            <w:tcW w:w="111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Subsequent events</w:t>
            </w:r>
            <w:r>
              <w:rPr>
                <w:rFonts w:ascii="Times New Roman" w:hAnsi="Times New Roman"/>
                <w:b w:val="false"/>
                <w:i w:val="false"/>
                <w:color w:val="000000"/>
                <w:sz w:val="20"/>
              </w:rPr>
              <w:t xml:space="preserve"> </w:t>
            </w:r>
          </w:p>
        </w:tc>
        <w:tc>
          <w:tcPr>
            <w:tcW w:w="1363"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r>
              <w:br/>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0d888187d7cf4a9cb9e929e01e8ec1fc" w:id="2"/>
      <w:bookmarkEnd w:id="2"/>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consolidated_statements_of_operation" w:id="3"/>
      <w:bookmarkEnd w:id="3"/>
      <w:r>
        <w:rPr>
          <w:rFonts w:ascii="Times New Roman" w:hAnsi="Times New Roman"/>
          <w:b/>
          <w:i w:val="false"/>
          <w:color w:val="000000"/>
          <w:sz w:val="20"/>
        </w:rPr>
        <w:t>Unaudited condensed consolidated statements of operations and comprehensive loss for the three months ended March 31, 2026 and 2025</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331447e4e2f84e09b813c79ac4ec9b7e" w:id="4"/>
    <w:tbl>
      <w:tblPr>
        <w:tblW w:w="0" w:type="auto"/>
        <w:tblCellSpacing w:w="0" w:type="dxa"/>
        <w:tblBorders>
          <w:top w:val="none"/>
          <w:left w:val="none"/>
          <w:bottom w:val="none"/>
          <w:right w:val="none"/>
          <w:insideH w:val="none"/>
          <w:insideV w:val="none"/>
        </w:tblBorders>
      </w:tblPr>
      <w:tblGrid>
        <w:gridCol w:w="8540"/>
        <w:gridCol w:w="135"/>
        <w:gridCol w:w="135"/>
        <w:gridCol w:w="1209"/>
        <w:gridCol w:w="135"/>
        <w:gridCol w:w="135"/>
        <w:gridCol w:w="136"/>
        <w:gridCol w:w="1269"/>
        <w:gridCol w:w="156"/>
        <w:gridCol w:w="135"/>
        <w:gridCol w:w="135"/>
        <w:gridCol w:w="1358"/>
        <w:gridCol w:w="156"/>
      </w:tblGrid>
      <w:tr>
        <w:trPr>
          <w:trHeight w:val="480" w:hRule="atLeast"/>
        </w:trPr>
        <w:tc>
          <w:tcPr>
            <w:tcW w:w="854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three months </w:t>
            </w:r>
          </w:p>
          <w:p>
            <w:pPr>
              <w:spacing w:before="0" w:after="0"/>
              <w:ind w:left="120"/>
              <w:jc w:val="center"/>
            </w:pPr>
            <w:r>
              <w:rPr>
                <w:rFonts w:ascii="Times New Roman" w:hAnsi="Times New Roman"/>
                <w:b/>
                <w:i w:val="false"/>
                <w:color w:val="000000"/>
                <w:sz w:val="20"/>
              </w:rPr>
              <w:t xml:space="preserve">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854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50" w:hRule="atLeast"/>
        </w:trPr>
        <w:tc>
          <w:tcPr>
            <w:tcW w:w="854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except for share data)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Revenues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(9,291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540"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Gross profit (loss)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(9,291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Sales and marketing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(108,072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(1,457,978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Research and development expenses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(4,170,546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(7,016,336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General and administrative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(3,177,444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(5,062,605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income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247,978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541,098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540"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Operating result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(7,208,150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(13,005,139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Finance income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334,768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493,764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Finance expenses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(14,809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(4,086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result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492,382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(1,908,829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financial result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803,160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6,110,264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4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Income taxes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540"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Income (loss) for the period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(5,592,649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(8,314,027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435"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comprehensive income (loss) that may be reclassified to profit or loss in subsequent periods: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0"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Exchange differences on translation of foreign currency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(15,026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(150,667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540"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comprehensive income (loss)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(5,607,675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(8,464,694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4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Share information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Weighted average number of shares outstanding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72,292,859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63,312,911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Income (loss) per share (basic/diluted)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(0.08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(0.13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bl>
    <w:bookmarkEnd w:id="4"/>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6533edf74b404d83bfee29e01e8ec212" w:id="5"/>
      <w:bookmarkEnd w:id="5"/>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Unaudited condensed consolidated statements of financial position as of March 31, 2026 and December 31, 2025</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e3d19c92f0bb4239ac2e32d3f5cf5e8f" w:id="6"/>
    <w:tbl>
      <w:tblPr>
        <w:tblW w:w="0" w:type="auto"/>
        <w:tblCellSpacing w:w="0" w:type="dxa"/>
        <w:tblBorders>
          <w:top w:val="none"/>
          <w:left w:val="none"/>
          <w:bottom w:val="none"/>
          <w:right w:val="none"/>
          <w:insideH w:val="none"/>
          <w:insideV w:val="none"/>
        </w:tblBorders>
      </w:tblPr>
      <w:tblGrid>
        <w:gridCol w:w="8237"/>
        <w:gridCol w:w="132"/>
        <w:gridCol w:w="132"/>
        <w:gridCol w:w="1179"/>
        <w:gridCol w:w="132"/>
        <w:gridCol w:w="132"/>
        <w:gridCol w:w="132"/>
        <w:gridCol w:w="1491"/>
        <w:gridCol w:w="156"/>
        <w:gridCol w:w="132"/>
        <w:gridCol w:w="132"/>
        <w:gridCol w:w="1491"/>
        <w:gridCol w:w="156"/>
      </w:tblGrid>
      <w:tr>
        <w:trPr>
          <w:trHeight w:val="720" w:hRule="atLeast"/>
        </w:trPr>
        <w:tc>
          <w:tcPr>
            <w:tcW w:w="82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March 31, 2026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December 31,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Non-current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Property and equipment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278,775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289,317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Right-of-use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791,173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861,667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Intangible assets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45,597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42,255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assets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139,192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151,198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Financial assets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237,459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237,373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non-current assets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1,492,196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1,581,810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Current assets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Current other assets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3,213,773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3,261,038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assets from government grants and research allowance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2,732,817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2,487,763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Tax receivables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1,650,338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1,428,428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Financial assets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24,806,894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30,435,088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and cash equivalents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14,993,792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16,022,171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current assets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47,397,615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53,634,487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ASSETS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48,889,811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55,216,297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EQUITY AND LIABILITIES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Equity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Issued capital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8,675,143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8,675,143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Share premium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354,975,760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354,975,760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capital reserves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49,501,597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48,560,500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Accumulated deficit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(383,418,650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(377,826,001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components of equity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7,156,353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7,171,379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equity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36,890,203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41,556,781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Non-current liabilities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Lease liabilities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571,737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640,973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237"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 liabilities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36,877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36,877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237"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non-current liabilities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608,614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677,850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2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Current liabilities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Trade and other payables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4,845,138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5,399,383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Lease liabilities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251,291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256,943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 benefits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655,974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1,164,259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Liabilities to warrant holders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5,250,652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5,802,128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23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liabilities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387,938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358,954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current liabilities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11,390,994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12,981,666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237"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Liabilities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11,999,608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13,659,516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237"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EQUITY AND LIABILITIES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79"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48,889,811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55,216,297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69435c2ce8f248ee90bf29e01e8ec1fb" w:id="7"/>
      <w:bookmarkEnd w:id="7"/>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statements_of_changes_in_shareholder" w:id="8"/>
      <w:bookmarkEnd w:id="8"/>
      <w:r>
        <w:rPr>
          <w:rFonts w:ascii="Times New Roman" w:hAnsi="Times New Roman"/>
          <w:b/>
          <w:i w:val="false"/>
          <w:color w:val="000000"/>
          <w:sz w:val="20"/>
        </w:rPr>
        <w:t>Unaudited condensed consolidated statements of changes in shareholders’ equity for the three months ended March 31, 2026 and 2025</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c9f3905374904e609769e9efc2e983da" w:id="9"/>
    <w:tbl>
      <w:tblPr>
        <w:tblW w:w="0" w:type="auto"/>
        <w:tblCellSpacing w:w="0" w:type="dxa"/>
        <w:tblBorders>
          <w:top w:val="none"/>
          <w:left w:val="none"/>
          <w:bottom w:val="none"/>
          <w:right w:val="none"/>
          <w:insideH w:val="none"/>
          <w:insideV w:val="none"/>
        </w:tblBorders>
      </w:tblPr>
      <w:tblGrid>
        <w:gridCol w:w="1870"/>
        <w:gridCol w:w="75"/>
        <w:gridCol w:w="82"/>
        <w:gridCol w:w="570"/>
        <w:gridCol w:w="75"/>
        <w:gridCol w:w="75"/>
        <w:gridCol w:w="148"/>
        <w:gridCol w:w="1269"/>
        <w:gridCol w:w="75"/>
        <w:gridCol w:w="75"/>
        <w:gridCol w:w="75"/>
        <w:gridCol w:w="1135"/>
        <w:gridCol w:w="75"/>
        <w:gridCol w:w="75"/>
        <w:gridCol w:w="75"/>
        <w:gridCol w:w="1402"/>
        <w:gridCol w:w="156"/>
        <w:gridCol w:w="75"/>
        <w:gridCol w:w="75"/>
        <w:gridCol w:w="1269"/>
        <w:gridCol w:w="75"/>
        <w:gridCol w:w="75"/>
        <w:gridCol w:w="95"/>
        <w:gridCol w:w="1491"/>
        <w:gridCol w:w="156"/>
        <w:gridCol w:w="75"/>
        <w:gridCol w:w="75"/>
        <w:gridCol w:w="1135"/>
        <w:gridCol w:w="156"/>
        <w:gridCol w:w="75"/>
        <w:gridCol w:w="75"/>
        <w:gridCol w:w="1269"/>
        <w:gridCol w:w="156"/>
      </w:tblGrid>
      <w:tr>
        <w:trPr>
          <w:trHeight w:val="945" w:hRule="atLeast"/>
        </w:trPr>
        <w:tc>
          <w:tcPr>
            <w:tcW w:w="1870"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w:t>
            </w:r>
            <w:bookmarkStart w:name="SNEID_70686643f5e24ebe93f5adcaaa35ffda" w:id="10"/>
            <w:bookmarkEnd w:id="10"/>
            <w:bookmarkStart w:name="SNAMD_4deb164210f1476eb444062b90d087e9" w:id="11"/>
            <w:bookmarkEnd w:id="11"/>
            <w:r>
              <w:rPr>
                <w:rFonts w:ascii="Times New Roman" w:hAnsi="Times New Roman"/>
                <w:b/>
                <w:i w:val="false"/>
                <w:color w:val="000000"/>
                <w:sz w:val="20"/>
              </w:rPr>
              <w:t xml:space="preserve">(in €, except for share data)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Shares </w:t>
            </w:r>
          </w:p>
          <w:p>
            <w:pPr>
              <w:spacing w:before="0" w:after="0"/>
              <w:ind w:left="120"/>
              <w:jc w:val="center"/>
            </w:pPr>
            <w:r>
              <w:rPr>
                <w:rFonts w:ascii="Times New Roman" w:hAnsi="Times New Roman"/>
                <w:b/>
                <w:i w:val="false"/>
                <w:color w:val="000000"/>
                <w:sz w:val="20"/>
              </w:rPr>
              <w:t xml:space="preserve"> outstanding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Issued </w:t>
            </w:r>
          </w:p>
          <w:p>
            <w:pPr>
              <w:spacing w:before="0" w:after="0"/>
              <w:ind w:left="120"/>
              <w:jc w:val="center"/>
            </w:pPr>
            <w:r>
              <w:rPr>
                <w:rFonts w:ascii="Times New Roman" w:hAnsi="Times New Roman"/>
                <w:b/>
                <w:i w:val="false"/>
                <w:color w:val="000000"/>
                <w:sz w:val="20"/>
              </w:rPr>
              <w:t xml:space="preserve"> capital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 </w:t>
            </w:r>
          </w:p>
          <w:p>
            <w:pPr>
              <w:spacing w:before="0" w:after="0"/>
              <w:ind w:left="120"/>
              <w:jc w:val="center"/>
            </w:pPr>
            <w:r>
              <w:rPr>
                <w:rFonts w:ascii="Times New Roman" w:hAnsi="Times New Roman"/>
                <w:b/>
                <w:i w:val="false"/>
                <w:color w:val="000000"/>
                <w:sz w:val="20"/>
              </w:rPr>
              <w:t xml:space="preserve"> premium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Other capital </w:t>
            </w:r>
          </w:p>
          <w:p>
            <w:pPr>
              <w:spacing w:before="0" w:after="0"/>
              <w:ind w:left="120"/>
              <w:jc w:val="center"/>
            </w:pPr>
            <w:r>
              <w:rPr>
                <w:rFonts w:ascii="Times New Roman" w:hAnsi="Times New Roman"/>
                <w:b/>
                <w:i w:val="false"/>
                <w:color w:val="000000"/>
                <w:sz w:val="20"/>
              </w:rPr>
              <w:t xml:space="preserve"> reserves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Accumulated </w:t>
            </w:r>
          </w:p>
          <w:p>
            <w:pPr>
              <w:spacing w:before="0" w:after="0"/>
              <w:ind w:left="120"/>
              <w:jc w:val="center"/>
            </w:pPr>
            <w:r>
              <w:rPr>
                <w:rFonts w:ascii="Times New Roman" w:hAnsi="Times New Roman"/>
                <w:b/>
                <w:i w:val="false"/>
                <w:color w:val="000000"/>
                <w:sz w:val="20"/>
              </w:rPr>
              <w:t xml:space="preserve"> deficit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Other compo- </w:t>
            </w:r>
          </w:p>
          <w:p>
            <w:pPr>
              <w:spacing w:before="0" w:after="0"/>
              <w:ind w:left="120"/>
              <w:jc w:val="center"/>
            </w:pPr>
            <w:r>
              <w:rPr>
                <w:rFonts w:ascii="Times New Roman" w:hAnsi="Times New Roman"/>
                <w:b/>
                <w:i w:val="false"/>
                <w:color w:val="000000"/>
                <w:sz w:val="20"/>
              </w:rPr>
              <w:t xml:space="preserve"> nents of equity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Total equity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87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70" w:type="dxa"/>
            <w:tcBorders/>
            <w:shd w:fill="cceeff"/>
            <w:tcMar>
              <w:top w:w="15" w:type="dxa"/>
              <w:left w:w="15" w:type="dxa"/>
              <w:bottom w:w="30" w:type="dxa"/>
              <w:right w:w="15" w:type="dxa"/>
            </w:tcMar>
            <w:vAlign w:val="bottom"/>
          </w:tcPr>
          <w:p>
            <w:pPr>
              <w:spacing w:before="0" w:after="0"/>
              <w:ind w:left="300"/>
              <w:jc w:val="left"/>
            </w:pPr>
            <w:r>
              <w:rPr>
                <w:rFonts w:ascii="Times New Roman" w:hAnsi="Times New Roman"/>
                <w:b/>
                <w:i w:val="false"/>
                <w:color w:val="000000"/>
                <w:sz w:val="20"/>
              </w:rPr>
              <w:t xml:space="preserve"> Balance as of January 1, 2026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72,292,859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8,675,143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354,975,760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48,560,500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(377,826,001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7,171,379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41,556,781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7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Loss for the period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(5,592,649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(5,592,649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1140" w:hRule="atLeast"/>
        </w:trPr>
        <w:tc>
          <w:tcPr>
            <w:tcW w:w="1870" w:type="dxa"/>
            <w:tcBorders/>
            <w:shd w:fill="cceeff"/>
            <w:tcMar>
              <w:top w:w="15" w:type="dxa"/>
              <w:left w:w="15" w:type="dxa"/>
              <w:bottom w:w="30" w:type="dxa"/>
              <w:right w:w="15" w:type="dxa"/>
            </w:tcMar>
            <w:vAlign w:val="top"/>
          </w:tcPr>
          <w:p>
            <w:pPr>
              <w:spacing w:before="0" w:after="0"/>
              <w:ind w:left="300"/>
              <w:jc w:val="left"/>
            </w:pPr>
            <w:r>
              <w:rPr>
                <w:rFonts w:ascii="Times New Roman" w:hAnsi="Times New Roman"/>
                <w:b w:val="false"/>
                <w:i w:val="false"/>
                <w:color w:val="000000"/>
                <w:sz w:val="20"/>
              </w:rPr>
              <w:t xml:space="preserve"> Exchange differences on </w:t>
            </w:r>
          </w:p>
          <w:p>
            <w:pPr>
              <w:spacing w:before="0" w:after="0"/>
              <w:ind w:left="480"/>
              <w:jc w:val="left"/>
            </w:pPr>
            <w:r>
              <w:rPr>
                <w:rFonts w:ascii="Times New Roman" w:hAnsi="Times New Roman"/>
                <w:b w:val="false"/>
                <w:i w:val="false"/>
                <w:color w:val="000000"/>
                <w:sz w:val="20"/>
              </w:rPr>
              <w:t xml:space="preserve"> translation of foreign currency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(15,026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(15,026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690" w:hRule="atLeast"/>
        </w:trPr>
        <w:tc>
          <w:tcPr>
            <w:tcW w:w="1870" w:type="dxa"/>
            <w:tcBorders/>
            <w:tcMar>
              <w:top w:w="15" w:type="dxa"/>
              <w:left w:w="15" w:type="dxa"/>
              <w:bottom w:w="15" w:type="dxa"/>
              <w:right w:w="15" w:type="dxa"/>
            </w:tcMar>
            <w:vAlign w:val="bottom"/>
          </w:tcPr>
          <w:p>
            <w:pPr>
              <w:spacing w:before="0" w:after="0"/>
              <w:ind w:left="300"/>
              <w:jc w:val="left"/>
            </w:pPr>
            <w:r>
              <w:rPr>
                <w:rFonts w:ascii="Times New Roman" w:hAnsi="Times New Roman"/>
                <w:b/>
                <w:i w:val="false"/>
                <w:color w:val="000000"/>
                <w:sz w:val="20"/>
              </w:rPr>
              <w:t xml:space="preserve"> Total comprehensive loss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(5,592,649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(15,026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(5,607,675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660" w:hRule="atLeast"/>
        </w:trPr>
        <w:tc>
          <w:tcPr>
            <w:tcW w:w="1870"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Equity-settled share-based payments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941,097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941,097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70" w:type="dxa"/>
            <w:tcBorders/>
            <w:tcMar>
              <w:top w:w="15" w:type="dxa"/>
              <w:left w:w="15" w:type="dxa"/>
              <w:bottom w:w="30" w:type="dxa"/>
              <w:right w:w="15" w:type="dxa"/>
            </w:tcMar>
            <w:vAlign w:val="bottom"/>
          </w:tcPr>
          <w:p>
            <w:pPr>
              <w:spacing w:before="0" w:after="0"/>
              <w:ind w:left="300"/>
              <w:jc w:val="left"/>
            </w:pPr>
            <w:r>
              <w:rPr>
                <w:rFonts w:ascii="Times New Roman" w:hAnsi="Times New Roman"/>
                <w:b/>
                <w:i w:val="false"/>
                <w:color w:val="000000"/>
                <w:sz w:val="20"/>
              </w:rPr>
              <w:t xml:space="preserve"> Balance as of March 31, 2026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72,292,859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8,675,143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354,975,760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49,501,597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(383,418,650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7,156,353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36,890,203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870"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70" w:type="dxa"/>
            <w:tcBorders/>
            <w:tcMar>
              <w:top w:w="15" w:type="dxa"/>
              <w:left w:w="15" w:type="dxa"/>
              <w:bottom w:w="30" w:type="dxa"/>
              <w:right w:w="15" w:type="dxa"/>
            </w:tcMar>
            <w:vAlign w:val="bottom"/>
          </w:tcPr>
          <w:p>
            <w:pPr>
              <w:spacing w:before="0" w:after="0"/>
              <w:ind w:left="300"/>
              <w:jc w:val="left"/>
            </w:pPr>
            <w:r>
              <w:rPr>
                <w:rFonts w:ascii="Times New Roman" w:hAnsi="Times New Roman"/>
                <w:b/>
                <w:i w:val="false"/>
                <w:color w:val="000000"/>
                <w:sz w:val="20"/>
              </w:rPr>
              <w:t xml:space="preserve"> Balance as of January 1, 2025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59,351,710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7,122,205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334,929,685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44,115,861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(332,192,221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7,440,510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61,416,039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70"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Loss for the period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(8,314,027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(8,314,027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1110" w:hRule="atLeast"/>
        </w:trPr>
        <w:tc>
          <w:tcPr>
            <w:tcW w:w="187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Exchange differences on </w:t>
            </w:r>
          </w:p>
          <w:p>
            <w:pPr>
              <w:spacing w:before="0" w:after="0"/>
              <w:ind w:left="480"/>
              <w:jc w:val="left"/>
            </w:pPr>
            <w:r>
              <w:rPr>
                <w:rFonts w:ascii="Times New Roman" w:hAnsi="Times New Roman"/>
                <w:b w:val="false"/>
                <w:i w:val="false"/>
                <w:color w:val="000000"/>
                <w:sz w:val="20"/>
              </w:rPr>
              <w:t xml:space="preserve"> translation of foreign currency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(150,667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(150,667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720" w:hRule="atLeast"/>
        </w:trPr>
        <w:tc>
          <w:tcPr>
            <w:tcW w:w="1870" w:type="dxa"/>
            <w:tcBorders/>
            <w:shd w:fill="cceeff"/>
            <w:tcMar>
              <w:top w:w="15" w:type="dxa"/>
              <w:left w:w="15" w:type="dxa"/>
              <w:bottom w:w="30" w:type="dxa"/>
              <w:right w:w="15" w:type="dxa"/>
            </w:tcMar>
            <w:vAlign w:val="bottom"/>
          </w:tcPr>
          <w:p>
            <w:pPr>
              <w:spacing w:before="0" w:after="0"/>
              <w:ind w:left="300"/>
              <w:jc w:val="left"/>
            </w:pPr>
            <w:r>
              <w:rPr>
                <w:rFonts w:ascii="Times New Roman" w:hAnsi="Times New Roman"/>
                <w:b/>
                <w:i w:val="false"/>
                <w:color w:val="000000"/>
                <w:sz w:val="20"/>
              </w:rPr>
              <w:t xml:space="preserve"> Total comprehensive loss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(8,314,027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(150,667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(8,464,694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660" w:hRule="atLeast"/>
        </w:trPr>
        <w:tc>
          <w:tcPr>
            <w:tcW w:w="187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Issuance of common shares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8,395,420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1,007,450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15,136,235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16,143,687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70"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Transaction costs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(1,109,330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(1,109,330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690" w:hRule="atLeast"/>
        </w:trPr>
        <w:tc>
          <w:tcPr>
            <w:tcW w:w="1870" w:type="dxa"/>
            <w:tcBorders/>
            <w:tcMar>
              <w:top w:w="15" w:type="dxa"/>
              <w:left w:w="15" w:type="dxa"/>
              <w:bottom w:w="30" w:type="dxa"/>
              <w:right w:w="15" w:type="dxa"/>
            </w:tcMar>
            <w:vAlign w:val="top"/>
          </w:tcPr>
          <w:p>
            <w:pPr>
              <w:spacing w:before="0" w:after="0"/>
              <w:ind w:left="300"/>
              <w:jc w:val="left"/>
            </w:pPr>
            <w:r>
              <w:rPr>
                <w:rFonts w:ascii="Times New Roman" w:hAnsi="Times New Roman"/>
                <w:b w:val="false"/>
                <w:i w:val="false"/>
                <w:color w:val="000000"/>
                <w:sz w:val="20"/>
              </w:rPr>
              <w:t xml:space="preserve"> Equity-settled share-based payments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2,480,006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2,480,006 </w:t>
            </w:r>
          </w:p>
        </w:tc>
        <w:tc>
          <w:tcPr>
            <w:tcW w:w="15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50" w:hRule="atLeast"/>
        </w:trPr>
        <w:tc>
          <w:tcPr>
            <w:tcW w:w="1870" w:type="dxa"/>
            <w:tcBorders/>
            <w:shd w:fill="cceeff"/>
            <w:tcMar>
              <w:top w:w="15" w:type="dxa"/>
              <w:left w:w="15" w:type="dxa"/>
              <w:bottom w:w="60" w:type="dxa"/>
              <w:right w:w="15" w:type="dxa"/>
            </w:tcMar>
            <w:vAlign w:val="bottom"/>
          </w:tcPr>
          <w:p>
            <w:pPr>
              <w:spacing w:before="0" w:after="0"/>
              <w:ind w:left="300"/>
              <w:jc w:val="left"/>
            </w:pPr>
            <w:r>
              <w:rPr>
                <w:rFonts w:ascii="Times New Roman" w:hAnsi="Times New Roman"/>
                <w:b/>
                <w:i w:val="false"/>
                <w:color w:val="000000"/>
                <w:sz w:val="20"/>
              </w:rPr>
              <w:t xml:space="preserve"> Balance as of March 31, 2025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8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570"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67,747,130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8,129,656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348,956,590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46,595,867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(340,506,248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7,289,843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70,465,708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9"/>
    <w:p>
      <w:pPr>
        <w:spacing w:before="0" w:after="0"/>
        <w:ind w:left="120"/>
        <w:jc w:val="left"/>
      </w:pPr>
      <w:r>
        <w:rPr>
          <w:rFonts w:ascii="Times New Roman" w:hAnsi="Times New Roman"/>
          <w:b w:val="false"/>
          <w:i w:val="false"/>
          <w:color w:val="000000"/>
          <w:sz w:val="20"/>
        </w:rPr>
        <w:t xml:space="preserve"> *unaudited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975c0dfeba2c407898e329e01e8ec211" w:id="12"/>
      <w:bookmarkEnd w:id="12"/>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consolidated_statements_of_cash_flow" w:id="13"/>
      <w:bookmarkEnd w:id="13"/>
      <w:r>
        <w:rPr>
          <w:rFonts w:ascii="Times New Roman" w:hAnsi="Times New Roman"/>
          <w:b/>
          <w:i w:val="false"/>
          <w:color w:val="000000"/>
          <w:sz w:val="20"/>
        </w:rPr>
        <w:t>Unaudited condensed consolidated statements of cash flows for the three months ended March 31, 2026 and 2025</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ff914f2d95034cc5903f47b348d4b769" w:id="14"/>
    <w:tbl>
      <w:tblPr>
        <w:tblW w:w="0" w:type="auto"/>
        <w:tblCellSpacing w:w="0" w:type="dxa"/>
        <w:tblBorders>
          <w:top w:val="none"/>
          <w:left w:val="none"/>
          <w:bottom w:val="none"/>
          <w:right w:val="none"/>
          <w:insideH w:val="none"/>
          <w:insideV w:val="none"/>
        </w:tblBorders>
      </w:tblPr>
      <w:tblGrid>
        <w:gridCol w:w="8539"/>
        <w:gridCol w:w="135"/>
        <w:gridCol w:w="135"/>
        <w:gridCol w:w="1210"/>
        <w:gridCol w:w="135"/>
        <w:gridCol w:w="135"/>
        <w:gridCol w:w="136"/>
        <w:gridCol w:w="1269"/>
        <w:gridCol w:w="156"/>
        <w:gridCol w:w="135"/>
        <w:gridCol w:w="135"/>
        <w:gridCol w:w="1358"/>
        <w:gridCol w:w="156"/>
      </w:tblGrid>
      <w:tr>
        <w:trPr>
          <w:trHeight w:val="480" w:hRule="atLeast"/>
        </w:trPr>
        <w:tc>
          <w:tcPr>
            <w:tcW w:w="853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three months </w:t>
            </w:r>
          </w:p>
          <w:p>
            <w:pPr>
              <w:spacing w:before="0" w:after="0"/>
              <w:ind w:left="120"/>
              <w:jc w:val="center"/>
            </w:pPr>
            <w:r>
              <w:rPr>
                <w:rFonts w:ascii="Times New Roman" w:hAnsi="Times New Roman"/>
                <w:b/>
                <w:i w:val="false"/>
                <w:color w:val="000000"/>
                <w:sz w:val="20"/>
              </w:rPr>
              <w:t xml:space="preserve">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853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3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39"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Operating activities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Loss for the period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(5,592,649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(8,314,027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Adjustments for: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Depreciation &amp; amortization of property and equipment, right-of-use assets and intangible assets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87,182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113,801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finance income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(1,615,501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(4,691,112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Share-based payment expense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941,097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2,480,006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foreign exchange differences and other adjustments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(74,236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972,608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Changes in: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assets from government grants and research allowances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(245,055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(532,860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assets and trade receivables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(162,639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(389,188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 benefits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(508,285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(1,350,189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liabilities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28,984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46,295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Trade and other payables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(554,245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(3,027,828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Inventories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2,295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received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318,130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678,717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paid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(4,191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539"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Net cash used in operating activities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(7,392,345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(14,015,672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25" w:hRule="atLeast"/>
        </w:trPr>
        <w:tc>
          <w:tcPr>
            <w:tcW w:w="8539"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Investing activities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Purchase of intangible assets, property and equipment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(9,467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(10,446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Purchase of current and non-current financial assets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(2,115,712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Proceeds from sale of current financial assets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8,263,658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17,666,078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539"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Net cash from / (used in) investing activities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6,138,480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17,655,632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39"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Financing activities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Proceeds from issuance of ordinary shares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16,143,686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Proceeds from pre-funded warrants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12,915,909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Transaction costs from issuance of ordinary shares and pre-funded warrants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(1,949,998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Repayment of lease liabilities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(74,690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(100,097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539"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Net cash from / (used in) financing activities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(74,690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27,009,500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increase/decrease in cash and cash equivalents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(1,328,555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30,649,459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3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Effect of exchange rate changes on cash and cash equivalents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300,176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(1,738,808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3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and cash equivalents at beginning of period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16,022,171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18,375,979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315" w:hRule="atLeast"/>
        </w:trPr>
        <w:tc>
          <w:tcPr>
            <w:tcW w:w="8539"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Cash and cash equivalents at end of period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10" w:type="dxa"/>
            <w:tcBorders/>
            <w:shd w:fill="cceeff"/>
            <w:tcMar>
              <w:top w:w="15" w:type="dxa"/>
              <w:left w:w="15" w:type="dxa"/>
              <w:bottom w:w="60" w:type="dxa"/>
              <w:right w:w="15" w:type="dxa"/>
            </w:tcMar>
            <w:vAlign w:val="bottom"/>
          </w:tcPr>
          <w:p>
            <w:pPr>
              <w:spacing w:before="0" w:after="0"/>
              <w:ind w:left="120"/>
              <w:jc w:val="right"/>
            </w:pPr>
            <w:r>
              <w:rPr>
                <w:rFonts w:ascii="Times New Roman" w:hAnsi="Times New Roman"/>
                <w:b/>
                <w:i w:val="false"/>
                <w:color w:val="000000"/>
                <w:sz w:val="20"/>
              </w:rPr>
              <w:t xml:space="preserve"> 14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14,993,792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47,286,630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14"/>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10dffc6244b1421f9db229e01e8ec1fd" w:id="15"/>
      <w:bookmarkEnd w:id="15"/>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Notes" w:id="16"/>
      <w:bookmarkEnd w:id="16"/>
      <w:r>
        <w:rPr>
          <w:rFonts w:ascii="Times New Roman" w:hAnsi="Times New Roman"/>
          <w:b/>
          <w:i w:val="false"/>
          <w:color w:val="000000"/>
          <w:sz w:val="20"/>
        </w:rPr>
        <w:t>Notes to the unaudited condensed consolidated financial statements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d2acf1c10bd945168f59abc62809b13e" w:id="17"/>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Summary_of_significant_accounting" w:id="18"/>
          <w:bookmarkEnd w:id="18"/>
          <w:bookmarkStart w:name="SNWID_fe0ef70e5bd84560803c29e01e8ec20c" w:id="19"/>
          <w:bookmarkEnd w:id="19"/>
          <w:p>
            <w:pPr>
              <w:spacing w:before="0" w:after="0"/>
              <w:ind w:left="0"/>
              <w:jc w:val="left"/>
            </w:pPr>
            <w:r>
              <w:rPr>
                <w:rFonts w:ascii="Times New Roman" w:hAnsi="Times New Roman"/>
                <w:b/>
                <w:i/>
                <w:color w:val="000000"/>
                <w:sz w:val="20"/>
              </w:rPr>
              <w:t>1.</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Summary of significant accounting policies and other disclosures </w:t>
            </w:r>
          </w:p>
        </w:tc>
      </w:tr>
    </w:tbl>
    <w:bookmarkEnd w:id="17"/>
    <w:p>
      <w:pPr>
        <w:spacing w:before="0" w:after="0"/>
        <w:ind w:left="120"/>
        <w:jc w:val="left"/>
      </w:pPr>
      <w:r>
        <w:rPr>
          <w:rFonts w:ascii="Times New Roman" w:hAnsi="Times New Roman"/>
          <w:b w:val="false"/>
          <w:i w:val="false"/>
          <w:color w:val="000000"/>
          <w:sz w:val="20"/>
        </w:rPr>
        <w:t xml:space="preserve">   </w:t>
      </w:r>
    </w:p>
    <w:bookmarkStart w:name="z407838c29ea64813ae748c54de7af91a" w:id="20"/>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reporting_entity" w:id="21"/>
          <w:bookmarkEnd w:id="21"/>
          <w:p>
            <w:pPr>
              <w:spacing w:before="0" w:after="0"/>
              <w:ind w:left="0"/>
              <w:jc w:val="left"/>
            </w:pPr>
            <w:r>
              <w:rPr>
                <w:rFonts w:ascii="Times New Roman" w:hAnsi="Times New Roman"/>
                <w:b/>
                <w:i/>
                <w:color w:val="000000"/>
                <w:sz w:val="20"/>
              </w:rPr>
              <w:t>a)</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Reporting entity and the Group’s structure </w:t>
            </w:r>
          </w:p>
        </w:tc>
      </w:tr>
    </w:tbl>
    <w:bookmarkEnd w:id="20"/>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N.V. (the “Company” or “InflaRx”) is a Dutch public company with limited liability (naamloze vennootschap) with its corporate seat in Amsterdam, the Netherlands, and is registered in the Commercial Register of the Netherlands Chamber of Commerce Business Register under CCI number 68904312. The Company’s registered office is at Winzerlaer Straße 2 in 07745 Jena, Germany. Since November 10, 2017, InflaRx N.V.’s ordinary shares have been listed on the Nasdaq Global Select Market under the symbol IFRX.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is a biopharmaceutical company pioneering anti-inflammatory therapeutics targeting the complement system by focusing on applying its proprietary anti-C5a and C5aR technologies to discover, develop and commercialize first-in-class, potent and specific inhibitors of the complement activation factor known as C5a and its receptor C5aR. These consolidated financial statements of InflaRx comprise the Group. </w:t>
      </w:r>
    </w:p>
    <w:p>
      <w:pPr>
        <w:spacing w:before="0" w:after="0"/>
        <w:ind w:left="120"/>
        <w:jc w:val="left"/>
      </w:pPr>
      <w:r>
        <w:rPr>
          <w:rFonts w:ascii="Times New Roman" w:hAnsi="Times New Roman"/>
          <w:b w:val="false"/>
          <w:i w:val="false"/>
          <w:color w:val="000000"/>
          <w:sz w:val="20"/>
        </w:rPr>
        <w:t xml:space="preserve">   </w:t>
      </w:r>
    </w:p>
    <w:bookmarkStart w:name="z668f2b22b77e4dc78735eacac4fa9c07" w:id="22"/>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Basis_of_preparation" w:id="23"/>
          <w:bookmarkEnd w:id="23"/>
          <w:p>
            <w:pPr>
              <w:spacing w:before="0" w:after="0"/>
              <w:ind w:left="0"/>
              <w:jc w:val="left"/>
            </w:pPr>
            <w:r>
              <w:rPr>
                <w:rFonts w:ascii="Times New Roman" w:hAnsi="Times New Roman"/>
                <w:b/>
                <w:i/>
                <w:color w:val="000000"/>
                <w:sz w:val="20"/>
              </w:rPr>
              <w:t>b)</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Basis of preparation </w:t>
            </w:r>
          </w:p>
        </w:tc>
      </w:tr>
    </w:tbl>
    <w:bookmarkEnd w:id="2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interim condensed consolidated financial statements for the three-month periods ended March 31, 2026, and 2025 have been prepared in accordance with IAS 34 Interim Financial Reporting. These condensed consolidated financial statements do not include all the information and disclosures required in the annual financial statements. The condensed consolidated financial statements require management to make judgments, estimates and assumptions which are the same as at year end. Estimates and underlying assumptions are reviewed on an ongoing basis. Accordingly, this report is to be read in conjunction with the financial statements in the Company’s annual report for the year ended December 31, 2025 on Form 20–F.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consolidated financial statements have been prepared on the basis that the group will continue as a going concern, which contemplates the realization of assets and the satisfaction of liabilities and commitments in the normal course of the business. The Group expects to incur operating losses for the foreseeable future due to, among other things, costs related to the continued advancement of its clinical programs and the operation of its administrative organization. As a result, a material uncertainty exists that may cast significant doubt on the Group’s ability to continue as a going concern and, therefore, the Group may be unable to realize its assets and discharge its liabilities in the normal course of business. Accordingly, these condensed consolidated financial statements should be read in conjunction with the financial statements in the Company’s annual report for the year ended December 31, 2025 on Form 20–F.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Group’s primary sources of funds are proceeds from the sale of its shares including the initial public offering, following offerings and government grants.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interim condensed consolidated financial statements were authorized for issue by the board of directors of the Company (the “Board of Directors”) on May 6,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financial statements are presented in euros (€). The euro is the functional currency of InflaRx N.V. and InflaRx GmbH. The functional currency of InflaRx Pharmaceuticals Inc. is the U.S. dollar.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All financial information presented in euros have been rounded to the nearest euro. Accordingly, numerical figures shown as totals in some tables may not be an arithmetic aggregation of the figures that precede them or may deviate from other tables.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accounting policies adopted are consistent with those followed in the preparation of the Group’s annual consolidated financial statements for the year ended December 31, 2025, except for the adoption of new standards effective as of January 1, 2026, as set out below. The Group has not adopted any other standard, interpretation or amendment that has been issued but is not yet effective early.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amendments were adopted effective January 1, 2026, and do not have a material impact on the consolidated financial statements of the Group: </w:t>
      </w:r>
    </w:p>
    <w:p>
      <w:pPr>
        <w:spacing w:before="0" w:after="0"/>
        <w:ind w:left="120"/>
        <w:jc w:val="left"/>
      </w:pPr>
      <w:r>
        <w:rPr>
          <w:rFonts w:ascii="Times New Roman" w:hAnsi="Times New Roman"/>
          <w:b w:val="false"/>
          <w:i w:val="false"/>
          <w:color w:val="000000"/>
          <w:sz w:val="20"/>
        </w:rPr>
        <w:t xml:space="preserve">   </w:t>
      </w:r>
    </w:p>
    <w:bookmarkStart w:name="za469e52823fb409cad1d92a35de3fc1a" w:id="24"/>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IAS 21 Effects of Changes in Foreign Exchange Rates: Lack of exchangeability </w:t>
            </w:r>
          </w:p>
        </w:tc>
      </w:tr>
    </w:tbl>
    <w:bookmarkEnd w:id="24"/>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The following standards issued will be adopted in a future period, and the potential impact, if any, they will have on the Group’s consolidated financial statements is being assessed: </w:t>
      </w:r>
    </w:p>
    <w:p>
      <w:pPr>
        <w:spacing w:before="0" w:after="0"/>
        <w:ind w:left="120"/>
        <w:jc w:val="left"/>
      </w:pPr>
      <w:r>
        <w:rPr>
          <w:rFonts w:ascii="Times New Roman" w:hAnsi="Times New Roman"/>
          <w:b w:val="false"/>
          <w:i w:val="false"/>
          <w:color w:val="000000"/>
          <w:sz w:val="20"/>
        </w:rPr>
        <w:t xml:space="preserve">   </w:t>
      </w:r>
    </w:p>
    <w:bookmarkStart w:name="z50abe86b28d848ff835bd7d06a69f1c4" w:id="25"/>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IFRS 9 Financial Instruments and IFRS 7 Financial Instruments: Disclosures, Classification and Measurement of Financial Instruments </w:t>
            </w:r>
          </w:p>
        </w:tc>
      </w:tr>
    </w:tbl>
    <w:bookmarkEnd w:id="25"/>
    <w:p>
      <w:pPr>
        <w:spacing w:before="0" w:after="0"/>
        <w:ind w:left="120"/>
        <w:jc w:val="left"/>
      </w:pPr>
      <w:r>
        <w:rPr>
          <w:rFonts w:ascii="Times New Roman" w:hAnsi="Times New Roman"/>
          <w:b w:val="false"/>
          <w:i w:val="false"/>
          <w:color w:val="000000"/>
          <w:sz w:val="20"/>
        </w:rPr>
        <w:t xml:space="preserve">   </w:t>
      </w:r>
    </w:p>
    <w:bookmarkStart w:name="z20283ed4d0fc48e7bd3869962ab83153" w:id="26"/>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IFRS 9 Financial Instruments and IFRS 7 Financial Instruments: Disclosures, Contracts Referencing Nature-dependent Electricity </w:t>
            </w:r>
          </w:p>
        </w:tc>
      </w:tr>
    </w:tbl>
    <w:bookmarkEnd w:id="26"/>
    <w:p>
      <w:pPr>
        <w:spacing w:before="0" w:after="0"/>
        <w:ind w:left="120"/>
        <w:jc w:val="left"/>
      </w:pPr>
      <w:r>
        <w:rPr>
          <w:rFonts w:ascii="Times New Roman" w:hAnsi="Times New Roman"/>
          <w:b w:val="false"/>
          <w:i w:val="false"/>
          <w:color w:val="000000"/>
          <w:sz w:val="20"/>
        </w:rPr>
        <w:t xml:space="preserve">   </w:t>
      </w:r>
    </w:p>
    <w:bookmarkStart w:name="zc0bd1814b5624c5a876fcb9b82784f9e" w:id="27"/>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IFRS 18 Presentation and Disclosure in Financial Statements </w:t>
            </w:r>
          </w:p>
        </w:tc>
      </w:tr>
    </w:tbl>
    <w:bookmarkEnd w:id="27"/>
    <w:p>
      <w:pPr>
        <w:spacing w:before="0" w:after="0"/>
        <w:ind w:left="120"/>
        <w:jc w:val="left"/>
      </w:pPr>
      <w:r>
        <w:rPr>
          <w:rFonts w:ascii="Times New Roman" w:hAnsi="Times New Roman"/>
          <w:b w:val="false"/>
          <w:i w:val="false"/>
          <w:color w:val="000000"/>
          <w:sz w:val="20"/>
        </w:rPr>
        <w:t xml:space="preserve">   </w:t>
      </w:r>
    </w:p>
    <w:bookmarkStart w:name="z836b9b77c8cb4e5b8c600eace1f08c30" w:id="28"/>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Annual Improvements Volume 11 </w:t>
            </w:r>
          </w:p>
        </w:tc>
      </w:tr>
    </w:tbl>
    <w:bookmarkEnd w:id="28"/>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Revenues" w:id="29"/>
      <w:bookmarkEnd w:id="29"/>
      <w:bookmarkStart w:name="SNWID_90f2bcca04154b7da30a29e01e8ec208" w:id="30"/>
      <w:bookmarkEnd w:id="30"/>
      <w:r>
        <w:rPr>
          <w:rFonts w:ascii="Times New Roman" w:hAnsi="Times New Roman"/>
          <w:b w:val="false"/>
          <w:i w:val="false"/>
          <w:color w:val="000000"/>
          <w:sz w:val="20"/>
        </w:rPr>
        <w:t xml:space="preserve">On January 8, 2026, InflaRx announced a restructuring and a change in strategy, focusing future resource allocation predominantly towards further clinical development of izicopan. As part of this strategy, a significant reduction of its workforce was announced, predominantly in areas which were supporting commercialization and late-stage development of vilobelimab. These measures, including write-down of product inventory and one-time restructuring cost already reflected in the 2025 financial statements and additional one-time restructuring costs of €0.6 million in the three months ended March 31, 2026, once successfully implemented, are expected to reduce the future cost structure of the Company. </w:t>
      </w:r>
    </w:p>
    <w:p>
      <w:pPr>
        <w:spacing w:before="0" w:after="0"/>
        <w:ind w:left="120"/>
        <w:jc w:val="left"/>
      </w:pPr>
      <w:r>
        <w:rPr>
          <w:rFonts w:ascii="Times New Roman" w:hAnsi="Times New Roman"/>
          <w:b w:val="false"/>
          <w:i w:val="false"/>
          <w:color w:val="000000"/>
          <w:sz w:val="20"/>
        </w:rPr>
        <w:t xml:space="preserve">   </w:t>
      </w:r>
    </w:p>
    <w:bookmarkStart w:name="z35acc2e849c640b8964747693f819cb5" w:id="31"/>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2.</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Revenues </w:t>
            </w:r>
          </w:p>
        </w:tc>
      </w:tr>
    </w:tbl>
    <w:bookmarkEnd w:id="31"/>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both the three months ended March 31, 2026 and the three months ended March 31, 2025, the Company did not generate any revenue. For 2026, this is attributable to the Company’s discontinuation of GOHIBIC (vilobelimab) sales activities in the United States in December 2025. </w:t>
      </w:r>
    </w:p>
    <w:p>
      <w:pPr>
        <w:spacing w:before="0" w:after="0"/>
        <w:ind w:left="120"/>
        <w:jc w:val="left"/>
      </w:pPr>
      <w:r>
        <w:rPr>
          <w:rFonts w:ascii="Times New Roman" w:hAnsi="Times New Roman"/>
          <w:b w:val="false"/>
          <w:i w:val="false"/>
          <w:color w:val="000000"/>
          <w:sz w:val="20"/>
        </w:rPr>
        <w:t xml:space="preserve">   </w:t>
      </w:r>
    </w:p>
    <w:bookmarkStart w:name="z47ac0efa8a8249eb8363864ec40b69cd" w:id="32"/>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Cost_of_sales" w:id="33"/>
          <w:bookmarkEnd w:id="33"/>
          <w:p>
            <w:pPr>
              <w:spacing w:before="0" w:after="0"/>
              <w:ind w:left="0"/>
              <w:jc w:val="left"/>
            </w:pPr>
            <w:r>
              <w:rPr>
                <w:rFonts w:ascii="Times New Roman" w:hAnsi="Times New Roman"/>
                <w:b/>
                <w:i/>
                <w:color w:val="000000"/>
                <w:sz w:val="20"/>
              </w:rPr>
              <w:t>3.</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Cost of sales </w:t>
            </w:r>
          </w:p>
        </w:tc>
      </w:tr>
    </w:tbl>
    <w:bookmarkEnd w:id="3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March 31, 2026, the Group incurred €0.0 thousand (2025: €9.3 thousand) of cost of sales. The fact that no cost of sales were incurred in the three months ended March 31, 2026 is attributable to the discontinuation of our sales activities in December 2025. </w:t>
      </w:r>
    </w:p>
    <w:p>
      <w:pPr>
        <w:spacing w:before="0" w:after="0"/>
        <w:ind w:left="120"/>
        <w:jc w:val="left"/>
      </w:pPr>
      <w:r>
        <w:rPr>
          <w:rFonts w:ascii="Times New Roman" w:hAnsi="Times New Roman"/>
          <w:b w:val="false"/>
          <w:i w:val="false"/>
          <w:color w:val="000000"/>
          <w:sz w:val="20"/>
        </w:rPr>
        <w:t xml:space="preserve">   </w:t>
      </w:r>
    </w:p>
    <w:bookmarkStart w:name="zff2f0379b31d46b098c27ea9f99745ee" w:id="34"/>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Sales_and_marketing_expenses" w:id="35"/>
          <w:bookmarkEnd w:id="35"/>
          <w:p>
            <w:pPr>
              <w:spacing w:before="0" w:after="0"/>
              <w:ind w:left="0"/>
              <w:jc w:val="left"/>
            </w:pPr>
            <w:r>
              <w:rPr>
                <w:rFonts w:ascii="Times New Roman" w:hAnsi="Times New Roman"/>
                <w:b/>
                <w:i/>
                <w:color w:val="000000"/>
                <w:sz w:val="20"/>
              </w:rPr>
              <w:t>4.</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Sales and marketing expenses </w:t>
            </w:r>
          </w:p>
        </w:tc>
      </w:tr>
    </w:tbl>
    <w:bookmarkEnd w:id="34"/>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R_and_D" w:id="36"/>
      <w:bookmarkEnd w:id="36"/>
      <w:r>
        <w:rPr>
          <w:rFonts w:ascii="Times New Roman" w:hAnsi="Times New Roman"/>
          <w:b w:val="false"/>
          <w:i w:val="false"/>
          <w:color w:val="000000"/>
          <w:sz w:val="20"/>
        </w:rPr>
        <w:t xml:space="preserve">During the three months ended March 31, 2026, the Group incurred €0.1 million (2025: €1.5 million) of sales and marketing expenses in the United States. This decrease of €1.4 million is attributable to the discontinuation of sales activities at the end of 2025. The expenses of €0.1 million during the three months ended March 31, 2026 relate to processing costs associated with closing down sales operations. </w:t>
      </w:r>
    </w:p>
    <w:p>
      <w:pPr>
        <w:spacing w:before="0" w:after="0"/>
        <w:ind w:left="120"/>
        <w:jc w:val="left"/>
      </w:pPr>
      <w:r>
        <w:rPr>
          <w:rFonts w:ascii="Times New Roman" w:hAnsi="Times New Roman"/>
          <w:b w:val="false"/>
          <w:i w:val="false"/>
          <w:color w:val="000000"/>
          <w:sz w:val="20"/>
        </w:rPr>
        <w:t xml:space="preserve">   </w:t>
      </w:r>
    </w:p>
    <w:bookmarkStart w:name="zdff02ac22fd544f1be7360da55acc387" w:id="37"/>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RuD" w:id="38"/>
          <w:bookmarkEnd w:id="38"/>
          <w:p>
            <w:pPr>
              <w:spacing w:before="0" w:after="0"/>
              <w:ind w:left="0"/>
              <w:jc w:val="left"/>
            </w:pPr>
            <w:r>
              <w:rPr>
                <w:rFonts w:ascii="Times New Roman" w:hAnsi="Times New Roman"/>
                <w:b/>
                <w:i/>
                <w:color w:val="000000"/>
                <w:sz w:val="20"/>
              </w:rPr>
              <w:t>5.</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Research and development expenses </w:t>
            </w:r>
          </w:p>
        </w:tc>
      </w:tr>
    </w:tbl>
    <w:bookmarkEnd w:id="37"/>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G_and_A" w:id="39"/>
      <w:bookmarkEnd w:id="39"/>
      <w:r>
        <w:rPr>
          <w:rFonts w:ascii="Times New Roman" w:hAnsi="Times New Roman"/>
          <w:b w:val="false"/>
          <w:i w:val="false"/>
          <w:color w:val="000000"/>
          <w:sz w:val="20"/>
        </w:rPr>
        <w:t xml:space="preserve">During the three months ended March 31, 2026, the Group incurred €4.2 million (2025: €7.0 million) of research and development expenses. These expenses are mainly composed of €2.0 million (2025: €2.7 million) in personnel costs due to lower share-based payment expense and €1.9 million (2025: €4.0 million) in external services for the Group’s research and development projects. Restructuring expenses in the amount of €0.4 million incurred during the three months ended March 31, 2026 for employee-related expenses. </w:t>
      </w:r>
    </w:p>
    <w:p>
      <w:pPr>
        <w:spacing w:before="0" w:after="0"/>
        <w:ind w:left="120"/>
        <w:jc w:val="left"/>
      </w:pPr>
      <w:r>
        <w:rPr>
          <w:rFonts w:ascii="Times New Roman" w:hAnsi="Times New Roman"/>
          <w:b w:val="false"/>
          <w:i w:val="false"/>
          <w:color w:val="000000"/>
          <w:sz w:val="20"/>
        </w:rPr>
        <w:t xml:space="preserve">   </w:t>
      </w:r>
    </w:p>
    <w:bookmarkStart w:name="ze661843617484fab862752f067a784c8" w:id="40"/>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GuA" w:id="41"/>
          <w:bookmarkEnd w:id="41"/>
          <w:p>
            <w:pPr>
              <w:spacing w:before="0" w:after="0"/>
              <w:ind w:left="0"/>
              <w:jc w:val="left"/>
            </w:pPr>
            <w:r>
              <w:rPr>
                <w:rFonts w:ascii="Times New Roman" w:hAnsi="Times New Roman"/>
                <w:b/>
                <w:i/>
                <w:color w:val="000000"/>
                <w:sz w:val="20"/>
              </w:rPr>
              <w:t>6.</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General and administrative expenses </w:t>
            </w:r>
          </w:p>
        </w:tc>
      </w:tr>
    </w:tbl>
    <w:bookmarkEnd w:id="40"/>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March 31, 2026, the Group incurred €3.2 million (2025: €5.1 million) of general and administrative expenses. These expenses are mainly composed of €1.8 million (2025: €2.6 million) in personnel costs due to lower share-based payment expense, €0.6 million (2025: €1.0 million) in legal, consulting and audit fees, €0.8 million (2025: €1.5 million) in other general and administrative expenses. Restructuring expenses in the amount of €0.2 million were incurred during the three months ended March 31, 2026 for employee-related expenses. </w:t>
      </w:r>
    </w:p>
    <w:p>
      <w:pPr>
        <w:spacing w:before="0" w:after="0"/>
        <w:ind w:left="120"/>
        <w:jc w:val="left"/>
      </w:pPr>
      <w:r>
        <w:rPr>
          <w:rFonts w:ascii="Times New Roman" w:hAnsi="Times New Roman"/>
          <w:b w:val="false"/>
          <w:i w:val="false"/>
          <w:color w:val="000000"/>
          <w:sz w:val="20"/>
        </w:rPr>
        <w:t xml:space="preserve">   </w:t>
      </w:r>
    </w:p>
    <w:bookmarkStart w:name="z1109ac705c624cd68e8b302c1e5717f9" w:id="42"/>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other_income" w:id="43"/>
          <w:bookmarkEnd w:id="43"/>
          <w:p>
            <w:pPr>
              <w:spacing w:before="0" w:after="0"/>
              <w:ind w:left="0"/>
              <w:jc w:val="left"/>
            </w:pPr>
            <w:r>
              <w:rPr>
                <w:rFonts w:ascii="Times New Roman" w:hAnsi="Times New Roman"/>
                <w:b/>
                <w:i/>
                <w:color w:val="000000"/>
                <w:sz w:val="20"/>
              </w:rPr>
              <w:t>7.</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Other income </w:t>
            </w:r>
          </w:p>
        </w:tc>
      </w:tr>
    </w:tbl>
    <w:bookmarkEnd w:id="4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Other income for the three months ended March 31, 2026 amounted to €0.2 million (2025: €0.5 million) and primarily relates to research allowances recognized in connection with eligible research and development expenditures incurred during the period.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bookmarkStart w:name="z7c9c7de8c26a4d69bc8657b80e5ecdc9" w:id="44"/>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Net_financial_result" w:id="45"/>
          <w:bookmarkEnd w:id="45"/>
          <w:bookmarkStart w:name="SNWID_037302f7236e49a99f3529e01e8ec20d" w:id="46"/>
          <w:bookmarkEnd w:id="46"/>
          <w:p>
            <w:pPr>
              <w:spacing w:before="0" w:after="0"/>
              <w:ind w:left="0"/>
              <w:jc w:val="left"/>
            </w:pPr>
            <w:r>
              <w:rPr>
                <w:rFonts w:ascii="Times New Roman" w:hAnsi="Times New Roman"/>
                <w:b/>
                <w:i/>
                <w:color w:val="000000"/>
                <w:sz w:val="20"/>
              </w:rPr>
              <w:t>8.</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Net financial result </w:t>
            </w:r>
          </w:p>
        </w:tc>
      </w:tr>
    </w:tbl>
    <w:bookmarkEnd w:id="44"/>
    <w:p>
      <w:pPr>
        <w:spacing w:before="0" w:after="0"/>
        <w:ind w:left="120"/>
        <w:jc w:val="left"/>
      </w:pPr>
      <w:r>
        <w:rPr>
          <w:rFonts w:ascii="Times New Roman" w:hAnsi="Times New Roman"/>
          <w:b w:val="false"/>
          <w:i w:val="false"/>
          <w:color w:val="000000"/>
          <w:sz w:val="20"/>
        </w:rPr>
        <w:t xml:space="preserve">   </w:t>
      </w:r>
    </w:p>
    <w:bookmarkStart w:name="z84a126c7904c4d8c867714c6ca581c36" w:id="47"/>
    <w:tbl>
      <w:tblPr>
        <w:tblW w:w="0" w:type="auto"/>
        <w:tblCellSpacing w:w="0" w:type="dxa"/>
        <w:tblBorders>
          <w:top w:val="none"/>
          <w:left w:val="none"/>
          <w:bottom w:val="none"/>
          <w:right w:val="none"/>
          <w:insideH w:val="none"/>
          <w:insideV w:val="none"/>
        </w:tblBorders>
      </w:tblPr>
      <w:tblGrid>
        <w:gridCol w:w="10246"/>
        <w:gridCol w:w="136"/>
        <w:gridCol w:w="140"/>
        <w:gridCol w:w="1262"/>
        <w:gridCol w:w="156"/>
        <w:gridCol w:w="136"/>
        <w:gridCol w:w="140"/>
        <w:gridCol w:w="1262"/>
        <w:gridCol w:w="156"/>
      </w:tblGrid>
      <w:tr>
        <w:trPr>
          <w:trHeight w:val="480" w:hRule="atLeast"/>
        </w:trPr>
        <w:tc>
          <w:tcPr>
            <w:tcW w:w="1024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For the three months </w:t>
            </w:r>
          </w:p>
          <w:p>
            <w:pPr>
              <w:spacing w:before="0" w:after="0"/>
              <w:ind w:left="120"/>
              <w:jc w:val="right"/>
            </w:pPr>
            <w:r>
              <w:rPr>
                <w:rFonts w:ascii="Times New Roman" w:hAnsi="Times New Roman"/>
                <w:b/>
                <w:i w:val="false"/>
                <w:color w:val="000000"/>
                <w:sz w:val="20"/>
              </w:rPr>
              <w:t xml:space="preserve">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1024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2026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2025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income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334,768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493,764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expenses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on lease liabilities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(14,809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(3,643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1024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Financial result </w:t>
            </w:r>
          </w:p>
        </w:tc>
        <w:tc>
          <w:tcPr>
            <w:tcW w:w="13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319,959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489,678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income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764,782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1,229,009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expense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(272,400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(3,137,838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25" w:hRule="atLeast"/>
        </w:trPr>
        <w:tc>
          <w:tcPr>
            <w:tcW w:w="1024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Foreign exchange result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492,382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(1,908,829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Result of expected credit loss adjustment on marketable securities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Result from the revaluation of pre-funded warrants at fair value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803,160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6,110,264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4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Other financial result </w:t>
            </w:r>
          </w:p>
        </w:tc>
        <w:tc>
          <w:tcPr>
            <w:tcW w:w="13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803,160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6,110,264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4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Net financial result </w:t>
            </w:r>
          </w:p>
        </w:tc>
        <w:tc>
          <w:tcPr>
            <w:tcW w:w="13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1,615,501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4,691,112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47"/>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z_Hlk204097622" w:id="48"/>
      <w:bookmarkEnd w:id="48"/>
      <w:r>
        <w:rPr>
          <w:rFonts w:ascii="Times New Roman" w:hAnsi="Times New Roman"/>
          <w:b w:val="false"/>
          <w:i w:val="false"/>
          <w:color w:val="000000"/>
          <w:sz w:val="20"/>
        </w:rPr>
        <w:t xml:space="preserve">For the three months ended March 31, 2026, the net financial result decreased by €3.1 million to a gain of €1.6 million, compared with a gain of €4.7 million for the three months ended March 31, 2025. The decrease is mainly attributable to a €5.3 million lower fair value adjustment of pre-funded warrants issued in February 2025, partially offset by a €2.4 million improvement in foreign exchange results due to a short-term weakening of the U.S. dollar. </w:t>
      </w:r>
    </w:p>
    <w:p>
      <w:pPr>
        <w:spacing w:before="0" w:after="0"/>
        <w:ind w:left="120"/>
        <w:jc w:val="left"/>
      </w:pPr>
      <w:r>
        <w:rPr>
          <w:rFonts w:ascii="Times New Roman" w:hAnsi="Times New Roman"/>
          <w:b w:val="false"/>
          <w:i w:val="false"/>
          <w:color w:val="000000"/>
          <w:sz w:val="20"/>
        </w:rPr>
        <w:t xml:space="preserve">   </w:t>
      </w:r>
    </w:p>
    <w:bookmarkStart w:name="z0a470e8291254c5084e13dbc75c38d33" w:id="49"/>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Inventory" w:id="50"/>
          <w:bookmarkEnd w:id="50"/>
          <w:bookmarkStart w:name="SNWID_e731762e93914b5a916129e01e8ec1fe" w:id="51"/>
          <w:bookmarkEnd w:id="51"/>
          <w:p>
            <w:pPr>
              <w:spacing w:before="0" w:after="0"/>
              <w:ind w:left="0"/>
              <w:jc w:val="left"/>
            </w:pPr>
            <w:r>
              <w:rPr>
                <w:rFonts w:ascii="Times New Roman" w:hAnsi="Times New Roman"/>
                <w:b/>
                <w:i/>
                <w:color w:val="000000"/>
                <w:sz w:val="20"/>
              </w:rPr>
              <w:t>9.</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Inventory </w:t>
            </w:r>
          </w:p>
        </w:tc>
      </w:tr>
    </w:tbl>
    <w:bookmarkEnd w:id="49"/>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and December 31, 2025, inventory amounted to €0.0 million. As part of its strategic refocusing, the Group discontinued GOHIBIC (vilobelimab) commercial activities and related functions in the United States. Due to this discontinuation, inventory has been fully written down. </w:t>
      </w:r>
    </w:p>
    <w:p>
      <w:pPr>
        <w:spacing w:before="0" w:after="0"/>
        <w:ind w:left="120"/>
        <w:jc w:val="left"/>
      </w:pPr>
      <w:r>
        <w:rPr>
          <w:rFonts w:ascii="Times New Roman" w:hAnsi="Times New Roman"/>
          <w:b w:val="false"/>
          <w:i w:val="false"/>
          <w:color w:val="000000"/>
          <w:sz w:val="20"/>
        </w:rPr>
        <w:t xml:space="preserve">   </w:t>
      </w:r>
    </w:p>
    <w:bookmarkStart w:name="z0c51e10e4c5e48639085f9946881cdd5" w:id="52"/>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Other_assets" w:id="53"/>
          <w:bookmarkEnd w:id="53"/>
          <w:bookmarkStart w:name="SNWID_06fb5d28ed674112a78429e01e8ec1ff" w:id="54"/>
          <w:bookmarkEnd w:id="54"/>
          <w:p>
            <w:pPr>
              <w:spacing w:before="0" w:after="0"/>
              <w:ind w:left="0"/>
              <w:jc w:val="left"/>
            </w:pPr>
            <w:r>
              <w:rPr>
                <w:rFonts w:ascii="Times New Roman" w:hAnsi="Times New Roman"/>
                <w:b/>
                <w:i/>
                <w:color w:val="000000"/>
                <w:sz w:val="20"/>
              </w:rPr>
              <w:t>10.</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Other assets </w:t>
            </w:r>
          </w:p>
        </w:tc>
      </w:tr>
    </w:tbl>
    <w:bookmarkEnd w:id="52"/>
    <w:p>
      <w:pPr>
        <w:spacing w:before="0" w:after="0"/>
        <w:ind w:left="120"/>
        <w:jc w:val="left"/>
      </w:pPr>
      <w:r>
        <w:rPr>
          <w:rFonts w:ascii="Times New Roman" w:hAnsi="Times New Roman"/>
          <w:b w:val="false"/>
          <w:i w:val="false"/>
          <w:color w:val="000000"/>
          <w:sz w:val="20"/>
        </w:rPr>
        <w:t xml:space="preserve">   </w:t>
      </w:r>
    </w:p>
    <w:bookmarkStart w:name="za12cd394936d47e2875e96f909078dcb" w:id="55"/>
    <w:tbl>
      <w:tblPr>
        <w:tblW w:w="0" w:type="auto"/>
        <w:tblCellSpacing w:w="0" w:type="dxa"/>
        <w:tblBorders>
          <w:top w:val="none"/>
          <w:left w:val="none"/>
          <w:bottom w:val="none"/>
          <w:right w:val="none"/>
          <w:insideH w:val="none"/>
          <w:insideV w:val="none"/>
        </w:tblBorders>
      </w:tblPr>
      <w:tblGrid>
        <w:gridCol w:w="10325"/>
        <w:gridCol w:w="136"/>
        <w:gridCol w:w="140"/>
        <w:gridCol w:w="1262"/>
        <w:gridCol w:w="136"/>
        <w:gridCol w:w="136"/>
        <w:gridCol w:w="136"/>
        <w:gridCol w:w="1227"/>
        <w:gridCol w:w="136"/>
      </w:tblGrid>
      <w:tr>
        <w:trPr>
          <w:trHeight w:val="945" w:hRule="atLeast"/>
        </w:trPr>
        <w:tc>
          <w:tcPr>
            <w:tcW w:w="103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March 31, 2026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Non-current other assets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Prepaid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139,192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151,198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325"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non-current other assets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139,192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151,198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Current other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Prepayments on research &amp; development projects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2,252,867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2,222,380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Prepaid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788,585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923,832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172,321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114,826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325"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 current other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op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3,213,773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3,261,038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Other assets from research allowances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Current other assets from research allowances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2,732,817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2,487,763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325"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other assets from research allowances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2,732,817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2,487,763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325"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other assets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6,085,783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5,899,999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55"/>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As of March 31, 2026, prepayments on research and development projects amounted to €2.3 million compared to €2.2 million as of December 31, 2025, and consist of prepayments on CRO contracts.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Prepaid expenses consist mainly of prepaid D&amp;O insurance expense for the year 2026, which will be recognized into general and administrative expenses pro rata over the year.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other assets from research allowances were €2.7 million compared to  €2.5 million as of December 31, 2025, which represent reimbursements the Company qualifies for under the German Research Allowance Act (government grant). The increase is due to additional receivables recognized for eligible expenses incurred in the three months ended March 31, 2026 in the amount of €0.2 million. </w:t>
      </w:r>
    </w:p>
    <w:p>
      <w:pPr>
        <w:spacing w:before="0" w:after="0"/>
        <w:ind w:left="120"/>
        <w:jc w:val="left"/>
      </w:pPr>
      <w:r>
        <w:rPr>
          <w:rFonts w:ascii="Times New Roman" w:hAnsi="Times New Roman"/>
          <w:b w:val="false"/>
          <w:i w:val="false"/>
          <w:color w:val="000000"/>
          <w:sz w:val="20"/>
        </w:rPr>
        <w:t xml:space="preserve">   </w:t>
      </w:r>
    </w:p>
    <w:bookmarkStart w:name="z0b0c905776434bdaa031c058c32a6512" w:id="56"/>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Tax_receivables" w:id="57"/>
          <w:bookmarkEnd w:id="57"/>
          <w:p>
            <w:pPr>
              <w:spacing w:before="0" w:after="0"/>
              <w:ind w:left="0"/>
              <w:jc w:val="left"/>
            </w:pPr>
            <w:r>
              <w:rPr>
                <w:rFonts w:ascii="Times New Roman" w:hAnsi="Times New Roman"/>
                <w:b/>
                <w:i/>
                <w:color w:val="000000"/>
                <w:sz w:val="20"/>
              </w:rPr>
              <w:t>11.</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Tax receivables </w:t>
            </w:r>
          </w:p>
        </w:tc>
      </w:tr>
    </w:tbl>
    <w:bookmarkEnd w:id="56"/>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tax receivables amounted to €1.7 million (VAT: €0.5 million, income tax receivables: €1.2 million) compared to €1.4 million (VAT: €0.3 million, income tax receivables: €1.1 million) as of December 31, 2025. </w:t>
      </w:r>
    </w:p>
    <w:p>
      <w:pPr>
        <w:spacing w:before="0" w:after="0"/>
        <w:ind w:left="120"/>
        <w:jc w:val="left"/>
      </w:pPr>
      <w:r>
        <w:rPr>
          <w:rFonts w:ascii="Times New Roman" w:hAnsi="Times New Roman"/>
          <w:b w:val="false"/>
          <w:i w:val="false"/>
          <w:color w:val="000000"/>
          <w:sz w:val="20"/>
        </w:rPr>
        <w:t xml:space="preserve">   </w:t>
      </w:r>
    </w:p>
    <w:bookmarkStart w:name="z44eebcd145e440dd87ddc9aa60ac7005" w:id="58"/>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Financial_assets" w:id="59"/>
          <w:bookmarkEnd w:id="59"/>
          <w:bookmarkStart w:name="TOC_Financial_assets_and_financial" w:id="60"/>
          <w:bookmarkEnd w:id="60"/>
          <w:bookmarkStart w:name="SNWID_09143d26ff384988841429e01e8ec213" w:id="61"/>
          <w:bookmarkEnd w:id="61"/>
          <w:p>
            <w:pPr>
              <w:spacing w:before="0" w:after="0"/>
              <w:ind w:left="0"/>
              <w:jc w:val="left"/>
            </w:pPr>
            <w:r>
              <w:rPr>
                <w:rFonts w:ascii="Times New Roman" w:hAnsi="Times New Roman"/>
                <w:b/>
                <w:i/>
                <w:color w:val="000000"/>
                <w:sz w:val="20"/>
              </w:rPr>
              <w:t>12.</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Financial assets and financial liabilities </w:t>
            </w:r>
          </w:p>
        </w:tc>
      </w:tr>
    </w:tbl>
    <w:bookmarkEnd w:id="58"/>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Set out below is an overview of financial assets and liabilities, other than cash and cash equivalents, held by the Group as of March 31, 2026 and December 31, 2025: </w:t>
      </w:r>
    </w:p>
    <w:p>
      <w:pPr>
        <w:spacing w:before="0" w:after="0"/>
        <w:ind w:left="120"/>
        <w:jc w:val="left"/>
      </w:pPr>
      <w:r>
        <w:rPr>
          <w:rFonts w:ascii="Times New Roman" w:hAnsi="Times New Roman"/>
          <w:b w:val="false"/>
          <w:i w:val="false"/>
          <w:color w:val="000000"/>
          <w:sz w:val="20"/>
        </w:rPr>
        <w:t xml:space="preserve">   </w:t>
      </w:r>
    </w:p>
    <w:bookmarkStart w:name="zbf63e1226507487ebee4daccd98ed615" w:id="62"/>
    <w:tbl>
      <w:tblPr>
        <w:tblW w:w="0" w:type="auto"/>
        <w:tblCellSpacing w:w="0" w:type="dxa"/>
        <w:tblBorders>
          <w:top w:val="none"/>
          <w:left w:val="none"/>
          <w:bottom w:val="none"/>
          <w:right w:val="none"/>
          <w:insideH w:val="none"/>
          <w:insideV w:val="none"/>
        </w:tblBorders>
      </w:tblPr>
      <w:tblGrid>
        <w:gridCol w:w="10280"/>
        <w:gridCol w:w="136"/>
        <w:gridCol w:w="136"/>
        <w:gridCol w:w="1269"/>
        <w:gridCol w:w="136"/>
        <w:gridCol w:w="136"/>
        <w:gridCol w:w="136"/>
        <w:gridCol w:w="1269"/>
        <w:gridCol w:w="136"/>
      </w:tblGrid>
      <w:tr>
        <w:trPr>
          <w:trHeight w:val="945" w:hRule="atLeast"/>
        </w:trPr>
        <w:tc>
          <w:tcPr>
            <w:tcW w:w="1028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March 31, 2026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Financial assets at amortized cost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Non-current financial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237,459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237,373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marketable securities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Current financial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24,806,894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30,435,088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marketable securities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24,690,348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30,211,169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Financial liabilities at amortized cost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Trade and other payables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5,057,588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5,608,204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Financial liabilities at fair value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Current liabilities to shareholders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5,250,652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5,802,128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6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February 2025, the Company issued 6,750,000 pre-funded warrants to certain investors in the context of a public offering of securities. As of March 31, 2026, the fair value of the warrants amounted to €5.3 million (Level 1).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the fair value of current and non-current financial assets (primarily quoted debt securities) amounted to €25.0 million (as of December 31, 2025: €33.5 million) (Level 1). The Group’s debt instruments at amortized cost consist solely of quoted securities that are graded highly by credit rating agencies such as S&amp;P Global and, therefore, are considered low credit risk investments.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current and non-current financial assets decreased by €5.6 million to  €25.0 million compared to  €30.7 million of December 31, 2025. The decrease is mainly due to the financing of day-to-day operations. As of March 31, 2026, trade and other payables decreased by €0.6 million to €5.1 million compared to €5.6 million as of December 31, 2025. As of December 31, 2025 the Company temporarily had higher trade payables from CROs.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bookmarkStart w:name="z7210306db9f8408f98699b262a6ff3fb" w:id="63"/>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Other_liabilities" w:id="64"/>
          <w:bookmarkEnd w:id="64"/>
          <w:bookmarkStart w:name="SNWID_28bd7de05ac14280944f29e01e8ec201" w:id="65"/>
          <w:bookmarkEnd w:id="65"/>
          <w:p>
            <w:pPr>
              <w:spacing w:before="0" w:after="0"/>
              <w:ind w:left="0"/>
              <w:jc w:val="left"/>
            </w:pPr>
            <w:r>
              <w:rPr>
                <w:rFonts w:ascii="Times New Roman" w:hAnsi="Times New Roman"/>
                <w:b/>
                <w:i/>
                <w:color w:val="000000"/>
                <w:sz w:val="20"/>
              </w:rPr>
              <w:t>13.</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Trade payables and other accrued liabilities </w:t>
            </w:r>
          </w:p>
        </w:tc>
      </w:tr>
    </w:tbl>
    <w:bookmarkEnd w:id="63"/>
    <w:p>
      <w:pPr>
        <w:spacing w:before="0" w:after="0"/>
        <w:ind w:left="120"/>
        <w:jc w:val="left"/>
      </w:pPr>
      <w:r>
        <w:rPr>
          <w:rFonts w:ascii="Times New Roman" w:hAnsi="Times New Roman"/>
          <w:b w:val="false"/>
          <w:i w:val="false"/>
          <w:color w:val="000000"/>
          <w:sz w:val="20"/>
        </w:rPr>
        <w:t xml:space="preserve">   </w:t>
      </w:r>
    </w:p>
    <w:bookmarkStart w:name="z8fc8ef64f6d64929a61a7445ef398e73" w:id="66"/>
    <w:tbl>
      <w:tblPr>
        <w:tblW w:w="0" w:type="auto"/>
        <w:tblCellSpacing w:w="0" w:type="dxa"/>
        <w:tblBorders>
          <w:top w:val="none"/>
          <w:left w:val="none"/>
          <w:bottom w:val="none"/>
          <w:right w:val="none"/>
          <w:insideH w:val="none"/>
          <w:insideV w:val="none"/>
        </w:tblBorders>
      </w:tblPr>
      <w:tblGrid>
        <w:gridCol w:w="10325"/>
        <w:gridCol w:w="136"/>
        <w:gridCol w:w="140"/>
        <w:gridCol w:w="1262"/>
        <w:gridCol w:w="136"/>
        <w:gridCol w:w="136"/>
        <w:gridCol w:w="136"/>
        <w:gridCol w:w="1227"/>
        <w:gridCol w:w="136"/>
      </w:tblGrid>
      <w:tr>
        <w:trPr>
          <w:trHeight w:val="945" w:hRule="atLeast"/>
        </w:trPr>
        <w:tc>
          <w:tcPr>
            <w:tcW w:w="103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March 31, 2026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Accrued liabilities from R&amp;D projects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3,375,492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3,424,362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Accrued liabilities from commercial activities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8,000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Accounts payable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366,679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972,383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325"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 accrued liabilities and payables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1,490,905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1,353,593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325"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5,233,077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5,758,338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6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Accrued liabilities from R&amp;D projects include third party services from the Company’s ongoing R&amp;D projects that have not yet been invoiced to the Company as of the reporting date. </w:t>
      </w:r>
    </w:p>
    <w:p>
      <w:pPr>
        <w:spacing w:before="0" w:after="0"/>
        <w:ind w:left="120"/>
        <w:jc w:val="left"/>
      </w:pPr>
      <w:r>
        <w:rPr>
          <w:rFonts w:ascii="Times New Roman" w:hAnsi="Times New Roman"/>
          <w:b w:val="false"/>
          <w:i w:val="false"/>
          <w:color w:val="000000"/>
          <w:sz w:val="20"/>
        </w:rPr>
        <w:t xml:space="preserve">   </w:t>
      </w:r>
    </w:p>
    <w:bookmarkStart w:name="z429470c3e4d44c7489585f44236b11c3" w:id="67"/>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Cash_and_cash_equivalents" w:id="68"/>
          <w:bookmarkEnd w:id="68"/>
          <w:bookmarkStart w:name="SNWID_5f66be48ec5c4d4fad4029e01e8ec20e" w:id="69"/>
          <w:bookmarkEnd w:id="69"/>
          <w:p>
            <w:pPr>
              <w:spacing w:before="0" w:after="0"/>
              <w:ind w:left="0"/>
              <w:jc w:val="left"/>
            </w:pPr>
            <w:r>
              <w:rPr>
                <w:rFonts w:ascii="Times New Roman" w:hAnsi="Times New Roman"/>
                <w:b/>
                <w:i/>
                <w:color w:val="000000"/>
                <w:sz w:val="20"/>
              </w:rPr>
              <w:t>14.</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Cash and cash equivalents </w:t>
            </w:r>
          </w:p>
        </w:tc>
      </w:tr>
    </w:tbl>
    <w:bookmarkEnd w:id="67"/>
    <w:p>
      <w:pPr>
        <w:spacing w:before="0" w:after="0"/>
        <w:ind w:left="120"/>
        <w:jc w:val="left"/>
      </w:pPr>
      <w:r>
        <w:rPr>
          <w:rFonts w:ascii="Times New Roman" w:hAnsi="Times New Roman"/>
          <w:b w:val="false"/>
          <w:i w:val="false"/>
          <w:color w:val="000000"/>
          <w:sz w:val="20"/>
        </w:rPr>
        <w:t xml:space="preserve">   </w:t>
      </w:r>
    </w:p>
    <w:bookmarkStart w:name="z7a6b1f7303784590ae957417534d63e8" w:id="70"/>
    <w:tbl>
      <w:tblPr>
        <w:tblW w:w="0" w:type="auto"/>
        <w:tblCellSpacing w:w="0" w:type="dxa"/>
        <w:tblBorders>
          <w:top w:val="none"/>
          <w:left w:val="none"/>
          <w:bottom w:val="none"/>
          <w:right w:val="none"/>
          <w:insideH w:val="none"/>
          <w:insideV w:val="none"/>
        </w:tblBorders>
      </w:tblPr>
      <w:tblGrid>
        <w:gridCol w:w="10280"/>
        <w:gridCol w:w="136"/>
        <w:gridCol w:w="136"/>
        <w:gridCol w:w="1269"/>
        <w:gridCol w:w="136"/>
        <w:gridCol w:w="136"/>
        <w:gridCol w:w="136"/>
        <w:gridCol w:w="1269"/>
        <w:gridCol w:w="136"/>
      </w:tblGrid>
      <w:tr>
        <w:trPr>
          <w:trHeight w:val="945" w:hRule="atLeast"/>
        </w:trPr>
        <w:tc>
          <w:tcPr>
            <w:tcW w:w="1028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March 31, 2026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Short-term deposits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Deposits held in U.S. dollars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1,574,317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7,510,452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Deposits held in euros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6,620,000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7,235,080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80"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8,194,317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14,745,532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Cash at banks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held in U.S. dollars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6,094,726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843,915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held in euros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704,749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432,724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6,799,475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1,276,639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315" w:hRule="atLeast"/>
        </w:trPr>
        <w:tc>
          <w:tcPr>
            <w:tcW w:w="10280"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cash and cash equivalents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14,993,792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op w:val="single" w:color="000000" w:sz="16"/>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op w:val="single" w:color="000000" w:sz="16"/>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16,022,171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7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cash and cash equivalents decreased by €1.0 million to €15.0 million compared to €16.0 million as of December 31, 2025. </w:t>
      </w:r>
    </w:p>
    <w:p>
      <w:pPr>
        <w:spacing w:before="0" w:after="0"/>
        <w:ind w:left="120"/>
        <w:jc w:val="left"/>
      </w:pPr>
      <w:r>
        <w:rPr>
          <w:rFonts w:ascii="Times New Roman" w:hAnsi="Times New Roman"/>
          <w:b w:val="false"/>
          <w:i w:val="false"/>
          <w:color w:val="000000"/>
          <w:sz w:val="20"/>
        </w:rPr>
        <w:t xml:space="preserve">   </w:t>
      </w:r>
    </w:p>
    <w:bookmarkStart w:name="z84ec9a1af7104a7c831c28458ea5c1de" w:id="71"/>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Equity" w:id="72"/>
          <w:bookmarkEnd w:id="72"/>
          <w:bookmarkStart w:name="SNWID_3ce27b5cd3cb42128ca029e01e8ec202" w:id="73"/>
          <w:bookmarkEnd w:id="73"/>
          <w:p>
            <w:pPr>
              <w:spacing w:before="0" w:after="0"/>
              <w:ind w:left="0"/>
              <w:jc w:val="left"/>
            </w:pPr>
            <w:r>
              <w:rPr>
                <w:rFonts w:ascii="Times New Roman" w:hAnsi="Times New Roman"/>
                <w:b/>
                <w:i/>
                <w:color w:val="000000"/>
                <w:sz w:val="20"/>
              </w:rPr>
              <w:t>15.</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Equity </w:t>
            </w:r>
          </w:p>
        </w:tc>
      </w:tr>
    </w:tbl>
    <w:bookmarkEnd w:id="71"/>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June 30, 2023, the Company filed a Form F-3, or the 2023-Registration Statement, with the Securities Exchange Commission, or the SEC, with respect to the offer and sale of securities of the Company, which became effective on July 11, 2023. The aggregate initial offering price of the securities that the Company may offer and sell under this prospectus will not exceed $250.0 million. In 2024, the Company subsequently filed a prospectus supplement with the SEC relating to an at-the-market program providing for the sale of up to $75.0 million of our ordinary shares over time pursuant to a sales agreement with Leerink Partners LLC, or the Sales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did not issue any ordinary shares under the 2023-Registration Statement in the first quarter of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2025, we issued 4,691,149 ordinary shares under the Sales Agreement, resulting in € 6.9 million ($8.0 million) in net proceeds. As of December 31, 2025 and March 31, 2026, the remaining value authorized for sale under the Sales Agreement amounted to $65.7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February 2025, the Company completed an underwritten public offering of 8,250,000 ordinary shares at a public offering price of $2.00 per ordinary share and, in lieu of ordinary shares to certain investors, pre-funded warrants to purchase 6,750,000 ordinary shares. The public offering price for each pre-funded warrant was equal to the price per share at which the ordinary shares were sold to the public, minus $0.001, which is the exercise price of each pre-funded warrant. The warrants are only exercisable by cashless exercise; the amount of ordinary shares to be received upon cashless exercise of such warrants is dependent on the Company’s market share price at the time of exercise. The net proceeds from the offering were €26.8 million ($28.0 million). The warrants have an indefinite expiration and are fully or partly exercisable at any time.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bookmarkStart w:name="z5c005ea3338848a9bbc98d3c0d10502d" w:id="74"/>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Share_based_payments" w:id="75"/>
          <w:bookmarkEnd w:id="75"/>
          <w:bookmarkStart w:name="SNWID_18035721e88744409f1629e01e8ec203" w:id="76"/>
          <w:bookmarkEnd w:id="76"/>
          <w:p>
            <w:pPr>
              <w:spacing w:before="0" w:after="0"/>
              <w:ind w:left="0"/>
              <w:jc w:val="left"/>
            </w:pPr>
            <w:r>
              <w:rPr>
                <w:rFonts w:ascii="Times New Roman" w:hAnsi="Times New Roman"/>
                <w:b/>
                <w:i/>
                <w:color w:val="000000"/>
                <w:sz w:val="20"/>
              </w:rPr>
              <w:t>16.</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Share-based payments </w:t>
            </w:r>
          </w:p>
        </w:tc>
      </w:tr>
    </w:tbl>
    <w:bookmarkEnd w:id="74"/>
    <w:p>
      <w:pPr>
        <w:spacing w:before="0" w:after="0"/>
        <w:ind w:left="120"/>
        <w:jc w:val="left"/>
      </w:pPr>
      <w:r>
        <w:rPr>
          <w:rFonts w:ascii="Times New Roman" w:hAnsi="Times New Roman"/>
          <w:b w:val="false"/>
          <w:i w:val="false"/>
          <w:color w:val="000000"/>
          <w:sz w:val="20"/>
        </w:rPr>
        <w:t xml:space="preserve">   </w:t>
      </w:r>
    </w:p>
    <w:bookmarkStart w:name="z03cd789156d74c81a6ffb1c8075f1d94" w:id="77"/>
    <w:tbl>
      <w:tblPr>
        <w:tblW w:w="0" w:type="auto"/>
        <w:tblCellSpacing w:w="0" w:type="dxa"/>
        <w:tblBorders>
          <w:top w:val="none"/>
          <w:left w:val="none"/>
          <w:bottom w:val="none"/>
          <w:right w:val="none"/>
          <w:insideH w:val="none"/>
          <w:insideV w:val="none"/>
        </w:tblBorders>
      </w:tblPr>
      <w:tblGrid>
        <w:gridCol w:w="960"/>
        <w:gridCol w:w="491"/>
        <w:gridCol w:w="12183"/>
      </w:tblGrid>
      <w:tr>
        <w:trPr>
          <w:trHeight w:val="225" w:hRule="atLeast"/>
        </w:trPr>
        <w:tc>
          <w:tcPr>
            <w:tcW w:w="96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491" w:type="dxa"/>
            <w:tcBorders/>
            <w:tcMar>
              <w:top w:w="15" w:type="dxa"/>
              <w:left w:w="15" w:type="dxa"/>
              <w:bottom w:w="15" w:type="dxa"/>
              <w:right w:w="15" w:type="dxa"/>
            </w:tcMar>
            <w:vAlign w:val="top"/>
          </w:tcPr>
          <w:bookmarkStart w:name="TOC_Share_based_payments_a" w:id="78"/>
          <w:bookmarkEnd w:id="78"/>
          <w:p>
            <w:pPr>
              <w:spacing w:before="0" w:after="0"/>
              <w:ind w:left="0"/>
              <w:jc w:val="left"/>
            </w:pPr>
            <w:r>
              <w:rPr>
                <w:rFonts w:ascii="Times New Roman" w:hAnsi="Times New Roman"/>
                <w:b/>
                <w:i/>
                <w:color w:val="000000"/>
                <w:sz w:val="20"/>
              </w:rPr>
              <w:t>a)</w:t>
            </w:r>
          </w:p>
        </w:tc>
        <w:tc>
          <w:tcPr>
            <w:tcW w:w="12183"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Equity settled share-based payment arrangements </w:t>
            </w:r>
          </w:p>
        </w:tc>
      </w:tr>
    </w:tbl>
    <w:bookmarkEnd w:id="77"/>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GmbH granted options under the 2012 Stock Option Plan. Those InflaRx GmbH options were converted into options for ordinary shares of InflaRx N.V. at the time of its IPO in November 2017: </w:t>
      </w:r>
    </w:p>
    <w:p>
      <w:pPr>
        <w:spacing w:before="0" w:after="0"/>
        <w:ind w:left="120"/>
        <w:jc w:val="left"/>
      </w:pPr>
      <w:r>
        <w:rPr>
          <w:rFonts w:ascii="Times New Roman" w:hAnsi="Times New Roman"/>
          <w:b w:val="false"/>
          <w:i w:val="false"/>
          <w:color w:val="000000"/>
          <w:sz w:val="20"/>
        </w:rPr>
        <w:t xml:space="preserve">   </w:t>
      </w:r>
    </w:p>
    <w:bookmarkStart w:name="z48d05708ec25406a8910f682cba0e5e9" w:id="79"/>
    <w:tbl>
      <w:tblPr>
        <w:tblW w:w="0" w:type="auto"/>
        <w:tblCellSpacing w:w="0" w:type="dxa"/>
        <w:tblBorders>
          <w:top w:val="none"/>
          <w:left w:val="none"/>
          <w:bottom w:val="none"/>
          <w:right w:val="none"/>
          <w:insideH w:val="none"/>
          <w:insideV w:val="none"/>
        </w:tblBorders>
      </w:tblPr>
      <w:tblGrid>
        <w:gridCol w:w="10362"/>
        <w:gridCol w:w="137"/>
        <w:gridCol w:w="137"/>
        <w:gridCol w:w="1227"/>
        <w:gridCol w:w="136"/>
        <w:gridCol w:w="136"/>
        <w:gridCol w:w="136"/>
        <w:gridCol w:w="1227"/>
        <w:gridCol w:w="136"/>
      </w:tblGrid>
      <w:tr>
        <w:trPr>
          <w:trHeight w:val="255" w:hRule="atLeast"/>
        </w:trPr>
        <w:tc>
          <w:tcPr>
            <w:tcW w:w="10362"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w:t>
            </w:r>
            <w:bookmarkStart w:name="SNEID_e97b155fb0a4412d9e32009fc1d17408" w:id="80"/>
            <w:bookmarkEnd w:id="80"/>
            <w:bookmarkStart w:name="SNAMD_b9d8e1d61df1409382b392a0f28b415f" w:id="81"/>
            <w:bookmarkEnd w:id="81"/>
            <w:r>
              <w:rPr>
                <w:rFonts w:ascii="Times New Roman" w:hAnsi="Times New Roman"/>
                <w:b/>
                <w:i w:val="false"/>
                <w:color w:val="000000"/>
                <w:sz w:val="20"/>
              </w:rPr>
              <w:t xml:space="preserve">Number of share options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January 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Exercised during the three months ended March 31,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March 31,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vested / exercisable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148,433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148,433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79"/>
    <w:p>
      <w:pPr>
        <w:spacing w:before="0" w:after="0"/>
        <w:ind w:left="120"/>
        <w:jc w:val="left"/>
      </w:pPr>
      <w:r>
        <w:rPr>
          <w:rFonts w:ascii="Times New Roman" w:hAnsi="Times New Roman"/>
          <w:b w:val="false"/>
          <w:i w:val="false"/>
          <w:color w:val="000000"/>
          <w:sz w:val="24"/>
        </w:rPr>
        <w:t xml:space="preserve"> </w:t>
      </w:r>
      <w:r>
        <w:br/>
      </w:r>
      <w:r>
        <w:rPr>
          <w:rFonts w:ascii="Times New Roman" w:hAnsi="Times New Roman"/>
          <w:b w:val="false"/>
          <w:i w:val="false"/>
          <w:color w:val="000000"/>
          <w:sz w:val="24"/>
        </w:rPr>
        <w:t xml:space="preserve"> </w:t>
      </w:r>
    </w:p>
    <w:p>
      <w:pPr>
        <w:spacing w:before="0" w:after="0"/>
        <w:ind w:left="120"/>
        <w:jc w:val="left"/>
      </w:pPr>
      <w:r>
        <w:rPr>
          <w:rFonts w:ascii="Times New Roman" w:hAnsi="Times New Roman"/>
          <w:b w:val="false"/>
          <w:i w:val="false"/>
          <w:color w:val="000000"/>
          <w:sz w:val="20"/>
        </w:rPr>
        <w:t xml:space="preserve"> Under the terms and conditions of the share option plan 2016, InflaRx GmbH granted rights to subscribe for InflaRx GmbH’s ordinary shares to directors, senior management, and key employees. Those InflaRx GmbH options were converted into options for ordinary shares of InflaRx N.V. at the time of its IPO in November 2017: </w:t>
      </w:r>
    </w:p>
    <w:p>
      <w:pPr>
        <w:spacing w:before="0" w:after="0"/>
        <w:ind w:left="120"/>
        <w:jc w:val="left"/>
      </w:pPr>
      <w:r>
        <w:rPr>
          <w:rFonts w:ascii="Times New Roman" w:hAnsi="Times New Roman"/>
          <w:b w:val="false"/>
          <w:i w:val="false"/>
          <w:color w:val="000000"/>
          <w:sz w:val="20"/>
        </w:rPr>
        <w:t xml:space="preserve">   </w:t>
      </w:r>
    </w:p>
    <w:bookmarkStart w:name="ze24e1e6ac6f94516b116fa9dc903ed30" w:id="82"/>
    <w:tbl>
      <w:tblPr>
        <w:tblW w:w="0" w:type="auto"/>
        <w:tblCellSpacing w:w="0" w:type="dxa"/>
        <w:tblBorders>
          <w:top w:val="none"/>
          <w:left w:val="none"/>
          <w:bottom w:val="none"/>
          <w:right w:val="none"/>
          <w:insideH w:val="none"/>
          <w:insideV w:val="none"/>
        </w:tblBorders>
      </w:tblPr>
      <w:tblGrid>
        <w:gridCol w:w="10362"/>
        <w:gridCol w:w="137"/>
        <w:gridCol w:w="137"/>
        <w:gridCol w:w="1227"/>
        <w:gridCol w:w="136"/>
        <w:gridCol w:w="136"/>
        <w:gridCol w:w="136"/>
        <w:gridCol w:w="1227"/>
        <w:gridCol w:w="136"/>
      </w:tblGrid>
      <w:tr>
        <w:trPr>
          <w:trHeight w:val="255" w:hRule="atLeast"/>
        </w:trPr>
        <w:tc>
          <w:tcPr>
            <w:tcW w:w="10362" w:type="dxa"/>
            <w:tcBorders>
              <w:bottom w:val="single" w:color="000000" w:sz="16"/>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w:t>
            </w:r>
            <w:bookmarkStart w:name="SNEID_97c540bb3f5c499e984ebfb40ac25d38" w:id="83"/>
            <w:bookmarkEnd w:id="83"/>
            <w:bookmarkStart w:name="SNAMD_40cfe568c62e4ba38a37f57f11824369" w:id="84"/>
            <w:bookmarkEnd w:id="84"/>
            <w:r>
              <w:rPr>
                <w:rFonts w:ascii="Times New Roman" w:hAnsi="Times New Roman"/>
                <w:b/>
                <w:i w:val="false"/>
                <w:color w:val="000000"/>
                <w:sz w:val="20"/>
              </w:rPr>
              <w:t xml:space="preserve">Number of share options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January 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Exercised during the three months ended March 31,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March 31,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vested / exercisable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888,632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888,632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8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also granted share options under the 2017 Long-Term Incentive Plan, or 2017 LTIP, subsequently to its IPO in November 2017. The total number of share options granted during the three months ended March 31, 2026 under the 2017 LTIP was as follows: </w:t>
      </w:r>
    </w:p>
    <w:p>
      <w:pPr>
        <w:spacing w:before="0" w:after="0"/>
        <w:ind w:left="120"/>
        <w:jc w:val="left"/>
      </w:pPr>
      <w:r>
        <w:rPr>
          <w:rFonts w:ascii="Times New Roman" w:hAnsi="Times New Roman"/>
          <w:b w:val="false"/>
          <w:i w:val="false"/>
          <w:color w:val="000000"/>
          <w:sz w:val="20"/>
        </w:rPr>
        <w:t xml:space="preserve">   </w:t>
      </w:r>
    </w:p>
    <w:bookmarkStart w:name="z2937eed2626d480ba7283684276822db" w:id="85"/>
    <w:tbl>
      <w:tblPr>
        <w:tblW w:w="0" w:type="auto"/>
        <w:tblCellSpacing w:w="0" w:type="dxa"/>
        <w:tblBorders>
          <w:top w:val="none"/>
          <w:left w:val="none"/>
          <w:bottom w:val="none"/>
          <w:right w:val="none"/>
          <w:insideH w:val="none"/>
          <w:insideV w:val="none"/>
        </w:tblBorders>
      </w:tblPr>
      <w:tblGrid>
        <w:gridCol w:w="10240"/>
        <w:gridCol w:w="136"/>
        <w:gridCol w:w="136"/>
        <w:gridCol w:w="1269"/>
        <w:gridCol w:w="156"/>
        <w:gridCol w:w="136"/>
        <w:gridCol w:w="136"/>
        <w:gridCol w:w="1269"/>
        <w:gridCol w:w="156"/>
      </w:tblGrid>
      <w:tr>
        <w:trPr>
          <w:trHeight w:val="255" w:hRule="atLeast"/>
        </w:trPr>
        <w:tc>
          <w:tcPr>
            <w:tcW w:w="10240"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w:t>
            </w:r>
            <w:bookmarkStart w:name="SNEID_9c1fff33afba41358ca20de7d4cd2352" w:id="86"/>
            <w:bookmarkEnd w:id="86"/>
            <w:bookmarkStart w:name="SNAMD_f7ee853de2134fc9943b1af3206c804b" w:id="87"/>
            <w:bookmarkEnd w:id="87"/>
            <w:r>
              <w:rPr>
                <w:rFonts w:ascii="Times New Roman" w:hAnsi="Times New Roman"/>
                <w:b/>
                <w:i w:val="false"/>
                <w:color w:val="000000"/>
                <w:sz w:val="20"/>
              </w:rPr>
              <w:t xml:space="preserve">Number of share options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4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January 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11,122,320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8,905,446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Granted during the three months ended March 31,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2,828,925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2,452,000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Expired during the three months ended March 31,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(98,876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1024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Forfeited during the three months ended March 31,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(25,000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(136,250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25" w:hRule="atLeast"/>
        </w:trPr>
        <w:tc>
          <w:tcPr>
            <w:tcW w:w="1024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Outstanding as of March 31,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13,926,245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11,122,320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40"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vested / exercisable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11,097,320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10,505,820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85"/>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key information and assumptions related to share options granted during the three months ended March 31, 2026 under the 2017 LTIP were as follows: </w:t>
      </w:r>
    </w:p>
    <w:p>
      <w:pPr>
        <w:spacing w:before="0" w:after="0"/>
        <w:ind w:left="120"/>
        <w:jc w:val="left"/>
      </w:pPr>
      <w:r>
        <w:rPr>
          <w:rFonts w:ascii="Times New Roman" w:hAnsi="Times New Roman"/>
          <w:b w:val="false"/>
          <w:i w:val="false"/>
          <w:color w:val="000000"/>
          <w:sz w:val="20"/>
        </w:rPr>
        <w:t xml:space="preserve">   </w:t>
      </w:r>
    </w:p>
    <w:bookmarkStart w:name="z2ad5ce6ecc804225941b7f1a755c99c1" w:id="88"/>
    <w:tbl>
      <w:tblPr>
        <w:tblW w:w="0" w:type="auto"/>
        <w:tblCellSpacing w:w="0" w:type="auto"/>
        <w:tblBorders>
          <w:top w:val="none"/>
          <w:left w:val="none"/>
          <w:bottom w:val="none"/>
          <w:right w:val="none"/>
          <w:insideH w:val="none"/>
          <w:insideV w:val="none"/>
        </w:tblBorders>
      </w:tblPr>
      <w:tblGrid>
        <w:gridCol w:w="2726"/>
        <w:gridCol w:w="136"/>
        <w:gridCol w:w="1227"/>
        <w:gridCol w:w="136"/>
        <w:gridCol w:w="1227"/>
        <w:gridCol w:w="136"/>
        <w:gridCol w:w="1227"/>
        <w:gridCol w:w="136"/>
        <w:gridCol w:w="1227"/>
        <w:gridCol w:w="137"/>
        <w:gridCol w:w="1227"/>
        <w:gridCol w:w="137"/>
        <w:gridCol w:w="1227"/>
        <w:gridCol w:w="137"/>
        <w:gridCol w:w="1227"/>
        <w:gridCol w:w="137"/>
        <w:gridCol w:w="1227"/>
      </w:tblGrid>
      <w:tr>
        <w:trPr>
          <w:trHeight w:val="1620" w:hRule="atLeast"/>
        </w:trPr>
        <w:tc>
          <w:tcPr>
            <w:tcW w:w="2726" w:type="dxa"/>
            <w:tcBorders>
              <w:bottom w:val="single" w:color="000000" w:sz="16"/>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w:t>
            </w:r>
            <w:bookmarkStart w:name="SNEID_aaa6f5fcea9f48289a5750f5917978f4" w:id="89"/>
            <w:bookmarkEnd w:id="89"/>
            <w:bookmarkStart w:name="SNAMD_348a043b1b914d808710e118595c1b48" w:id="90"/>
            <w:bookmarkEnd w:id="90"/>
            <w:r>
              <w:rPr>
                <w:rFonts w:ascii="Times New Roman" w:hAnsi="Times New Roman"/>
                <w:b/>
                <w:i w:val="false"/>
                <w:color w:val="000000"/>
                <w:sz w:val="20"/>
              </w:rPr>
              <w:t xml:space="preserve">Share options granted </w:t>
            </w:r>
          </w:p>
          <w:p>
            <w:pPr>
              <w:spacing w:before="0" w:after="0"/>
              <w:ind w:left="264"/>
              <w:jc w:val="left"/>
            </w:pPr>
            <w:r>
              <w:rPr>
                <w:rFonts w:ascii="Times New Roman" w:hAnsi="Times New Roman"/>
                <w:b/>
                <w:i w:val="false"/>
                <w:color w:val="000000"/>
                <w:sz w:val="20"/>
              </w:rPr>
              <w:t xml:space="preserve"> 2026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Number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Fair </w:t>
            </w:r>
          </w:p>
          <w:p>
            <w:pPr>
              <w:spacing w:before="0" w:after="0"/>
              <w:ind w:left="120"/>
              <w:jc w:val="center"/>
            </w:pPr>
            <w:r>
              <w:rPr>
                <w:rFonts w:ascii="Times New Roman" w:hAnsi="Times New Roman"/>
                <w:b/>
                <w:i w:val="false"/>
                <w:color w:val="000000"/>
                <w:sz w:val="20"/>
              </w:rPr>
              <w:t xml:space="preserve"> value </w:t>
            </w:r>
          </w:p>
          <w:p>
            <w:pPr>
              <w:spacing w:before="0" w:after="0"/>
              <w:ind w:left="120"/>
              <w:jc w:val="center"/>
            </w:pPr>
            <w:r>
              <w:rPr>
                <w:rFonts w:ascii="Times New Roman" w:hAnsi="Times New Roman"/>
                <w:b/>
                <w:i w:val="false"/>
                <w:color w:val="000000"/>
                <w:sz w:val="20"/>
              </w:rPr>
              <w:t xml:space="preserve"> per </w:t>
            </w:r>
          </w:p>
          <w:p>
            <w:pPr>
              <w:spacing w:before="0" w:after="0"/>
              <w:ind w:left="120"/>
              <w:jc w:val="center"/>
            </w:pPr>
            <w:r>
              <w:rPr>
                <w:rFonts w:ascii="Times New Roman" w:hAnsi="Times New Roman"/>
                <w:b/>
                <w:i w:val="false"/>
                <w:color w:val="000000"/>
                <w:sz w:val="20"/>
              </w:rPr>
              <w:t xml:space="preserve"> option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FX rate </w:t>
            </w:r>
          </w:p>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grant </w:t>
            </w:r>
          </w:p>
          <w:p>
            <w:pPr>
              <w:spacing w:before="0" w:after="0"/>
              <w:ind w:left="120"/>
              <w:jc w:val="center"/>
            </w:pPr>
            <w:r>
              <w:rPr>
                <w:rFonts w:ascii="Times New Roman" w:hAnsi="Times New Roman"/>
                <w:b/>
                <w:i w:val="false"/>
                <w:color w:val="000000"/>
                <w:sz w:val="20"/>
              </w:rPr>
              <w:t xml:space="preserve"> date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Fair </w:t>
            </w:r>
          </w:p>
          <w:p>
            <w:pPr>
              <w:spacing w:before="0" w:after="0"/>
              <w:ind w:left="120"/>
              <w:jc w:val="center"/>
            </w:pPr>
            <w:r>
              <w:rPr>
                <w:rFonts w:ascii="Times New Roman" w:hAnsi="Times New Roman"/>
                <w:b/>
                <w:i w:val="false"/>
                <w:color w:val="000000"/>
                <w:sz w:val="20"/>
              </w:rPr>
              <w:t xml:space="preserve"> value per </w:t>
            </w:r>
          </w:p>
          <w:p>
            <w:pPr>
              <w:spacing w:before="0" w:after="0"/>
              <w:ind w:left="120"/>
              <w:jc w:val="center"/>
            </w:pPr>
            <w:r>
              <w:rPr>
                <w:rFonts w:ascii="Times New Roman" w:hAnsi="Times New Roman"/>
                <w:b/>
                <w:i w:val="false"/>
                <w:color w:val="000000"/>
                <w:sz w:val="20"/>
              </w:rPr>
              <w:t xml:space="preserve"> option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 </w:t>
            </w:r>
          </w:p>
          <w:p>
            <w:pPr>
              <w:spacing w:before="0" w:after="0"/>
              <w:ind w:left="120"/>
              <w:jc w:val="center"/>
            </w:pPr>
            <w:r>
              <w:rPr>
                <w:rFonts w:ascii="Times New Roman" w:hAnsi="Times New Roman"/>
                <w:b/>
                <w:i w:val="false"/>
                <w:color w:val="000000"/>
                <w:sz w:val="20"/>
              </w:rPr>
              <w:t xml:space="preserve"> price at </w:t>
            </w:r>
          </w:p>
          <w:p>
            <w:pPr>
              <w:spacing w:before="0" w:after="0"/>
              <w:ind w:left="120"/>
              <w:jc w:val="center"/>
            </w:pPr>
            <w:r>
              <w:rPr>
                <w:rFonts w:ascii="Times New Roman" w:hAnsi="Times New Roman"/>
                <w:b/>
                <w:i w:val="false"/>
                <w:color w:val="000000"/>
                <w:sz w:val="20"/>
              </w:rPr>
              <w:t xml:space="preserve"> grant </w:t>
            </w:r>
          </w:p>
          <w:p>
            <w:pPr>
              <w:spacing w:before="0" w:after="0"/>
              <w:ind w:left="120"/>
              <w:jc w:val="center"/>
            </w:pPr>
            <w:r>
              <w:rPr>
                <w:rFonts w:ascii="Times New Roman" w:hAnsi="Times New Roman"/>
                <w:b/>
                <w:i w:val="false"/>
                <w:color w:val="000000"/>
                <w:sz w:val="20"/>
              </w:rPr>
              <w:t xml:space="preserve"> date / </w:t>
            </w:r>
          </w:p>
          <w:p>
            <w:pPr>
              <w:spacing w:before="0" w:after="0"/>
              <w:ind w:left="120"/>
              <w:jc w:val="center"/>
            </w:pPr>
            <w:r>
              <w:rPr>
                <w:rFonts w:ascii="Times New Roman" w:hAnsi="Times New Roman"/>
                <w:b/>
                <w:i w:val="false"/>
                <w:color w:val="000000"/>
                <w:sz w:val="20"/>
              </w:rPr>
              <w:t xml:space="preserve"> Exercise </w:t>
            </w:r>
          </w:p>
          <w:p>
            <w:pPr>
              <w:spacing w:before="0" w:after="0"/>
              <w:ind w:left="120"/>
              <w:jc w:val="center"/>
            </w:pPr>
            <w:r>
              <w:rPr>
                <w:rFonts w:ascii="Times New Roman" w:hAnsi="Times New Roman"/>
                <w:b/>
                <w:i w:val="false"/>
                <w:color w:val="000000"/>
                <w:sz w:val="20"/>
              </w:rPr>
              <w:t xml:space="preserve"> price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Expected volatility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Expected </w:t>
            </w:r>
          </w:p>
          <w:p>
            <w:pPr>
              <w:spacing w:before="0" w:after="0"/>
              <w:ind w:left="120"/>
              <w:jc w:val="center"/>
            </w:pPr>
            <w:r>
              <w:rPr>
                <w:rFonts w:ascii="Times New Roman" w:hAnsi="Times New Roman"/>
                <w:b/>
                <w:i w:val="false"/>
                <w:color w:val="000000"/>
                <w:sz w:val="20"/>
              </w:rPr>
              <w:t xml:space="preserve"> life </w:t>
            </w:r>
          </w:p>
          <w:p>
            <w:pPr>
              <w:spacing w:before="0" w:after="0"/>
              <w:ind w:left="120"/>
              <w:jc w:val="center"/>
            </w:pPr>
            <w:r>
              <w:rPr>
                <w:rFonts w:ascii="Times New Roman" w:hAnsi="Times New Roman"/>
                <w:b/>
                <w:i w:val="false"/>
                <w:color w:val="000000"/>
                <w:sz w:val="20"/>
              </w:rPr>
              <w:t xml:space="preserve"> (midpoint based)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Risk-free </w:t>
            </w:r>
          </w:p>
          <w:p>
            <w:pPr>
              <w:spacing w:before="0" w:after="0"/>
              <w:ind w:left="120"/>
              <w:jc w:val="center"/>
            </w:pPr>
            <w:r>
              <w:rPr>
                <w:rFonts w:ascii="Times New Roman" w:hAnsi="Times New Roman"/>
                <w:b/>
                <w:i w:val="false"/>
                <w:color w:val="000000"/>
                <w:sz w:val="20"/>
              </w:rPr>
              <w:t xml:space="preserve"> rate </w:t>
            </w:r>
          </w:p>
          <w:p>
            <w:pPr>
              <w:spacing w:before="0" w:after="0"/>
              <w:ind w:left="120"/>
              <w:jc w:val="center"/>
            </w:pPr>
            <w:r>
              <w:rPr>
                <w:rFonts w:ascii="Times New Roman" w:hAnsi="Times New Roman"/>
                <w:b/>
                <w:i w:val="false"/>
                <w:color w:val="000000"/>
                <w:sz w:val="20"/>
              </w:rPr>
              <w:t xml:space="preserve"> (interpola </w:t>
            </w:r>
          </w:p>
          <w:p>
            <w:pPr>
              <w:spacing w:before="0" w:after="0"/>
              <w:ind w:left="120"/>
              <w:jc w:val="center"/>
            </w:pPr>
            <w:r>
              <w:rPr>
                <w:rFonts w:ascii="Times New Roman" w:hAnsi="Times New Roman"/>
                <w:b/>
                <w:i w:val="false"/>
                <w:color w:val="000000"/>
                <w:sz w:val="20"/>
              </w:rPr>
              <w:t xml:space="preserve"> ted, U.S. </w:t>
            </w:r>
          </w:p>
          <w:p>
            <w:pPr>
              <w:spacing w:before="0" w:after="0"/>
              <w:ind w:left="120"/>
              <w:jc w:val="center"/>
            </w:pPr>
            <w:r>
              <w:rPr>
                <w:rFonts w:ascii="Times New Roman" w:hAnsi="Times New Roman"/>
                <w:b/>
                <w:i w:val="false"/>
                <w:color w:val="000000"/>
                <w:sz w:val="20"/>
              </w:rPr>
              <w:t xml:space="preserve"> sovereign </w:t>
            </w:r>
          </w:p>
          <w:p>
            <w:pPr>
              <w:spacing w:before="0" w:after="0"/>
              <w:ind w:left="120"/>
              <w:jc w:val="center"/>
            </w:pPr>
            <w:r>
              <w:rPr>
                <w:rFonts w:ascii="Times New Roman" w:hAnsi="Times New Roman"/>
                <w:b/>
                <w:i w:val="false"/>
                <w:color w:val="000000"/>
                <w:sz w:val="20"/>
              </w:rPr>
              <w:t xml:space="preserve"> strips </w:t>
            </w:r>
          </w:p>
          <w:p>
            <w:pPr>
              <w:spacing w:before="0" w:after="0"/>
              <w:ind w:left="120"/>
              <w:jc w:val="center"/>
            </w:pPr>
            <w:r>
              <w:rPr>
                <w:rFonts w:ascii="Times New Roman" w:hAnsi="Times New Roman"/>
                <w:b/>
                <w:i w:val="false"/>
                <w:color w:val="000000"/>
                <w:sz w:val="20"/>
              </w:rPr>
              <w:t xml:space="preserve"> curve) </w:t>
            </w:r>
          </w:p>
        </w:tc>
      </w:tr>
      <w:tr>
        <w:trPr>
          <w:trHeight w:val="225" w:hRule="atLeast"/>
        </w:trPr>
        <w:tc>
          <w:tcPr>
            <w:tcW w:w="2726" w:type="dxa"/>
            <w:tcBorders/>
            <w:shd w:fill="cff0fc"/>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272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January 06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2,373,975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$0.930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0.8542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0.790 €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$1.17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1.02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5.50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3.772% </w:t>
            </w:r>
          </w:p>
        </w:tc>
      </w:tr>
      <w:tr>
        <w:trPr>
          <w:trHeight w:val="240" w:hRule="atLeast"/>
        </w:trPr>
        <w:tc>
          <w:tcPr>
            <w:tcW w:w="2726" w:type="dxa"/>
            <w:tcBorders/>
            <w:shd w:fill="cff0fc"/>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January 06 </w:t>
            </w:r>
          </w:p>
        </w:tc>
        <w:tc>
          <w:tcPr>
            <w:tcW w:w="136" w:type="dxa"/>
            <w:tcBorders>
              <w:bottom w:val="single" w:color="000000" w:sz="16"/>
            </w:tcBorders>
            <w:shd w:fill="cff0fc"/>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ff0fc"/>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454,950 </w:t>
            </w:r>
          </w:p>
        </w:tc>
        <w:tc>
          <w:tcPr>
            <w:tcW w:w="136"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$0.796 </w:t>
            </w:r>
          </w:p>
        </w:tc>
        <w:tc>
          <w:tcPr>
            <w:tcW w:w="136"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0.8542 </w:t>
            </w:r>
          </w:p>
        </w:tc>
        <w:tc>
          <w:tcPr>
            <w:tcW w:w="136"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0.680 € </w:t>
            </w:r>
          </w:p>
        </w:tc>
        <w:tc>
          <w:tcPr>
            <w:tcW w:w="137"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$1.17 </w:t>
            </w:r>
          </w:p>
        </w:tc>
        <w:tc>
          <w:tcPr>
            <w:tcW w:w="137"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1.02 </w:t>
            </w:r>
          </w:p>
        </w:tc>
        <w:tc>
          <w:tcPr>
            <w:tcW w:w="137"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5.49 </w:t>
            </w:r>
          </w:p>
        </w:tc>
        <w:tc>
          <w:tcPr>
            <w:tcW w:w="137" w:type="dxa"/>
            <w:tcBorders/>
            <w:shd w:fill="cff0fc"/>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ff0fc"/>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3.771% </w:t>
            </w:r>
          </w:p>
        </w:tc>
      </w:tr>
      <w:tr>
        <w:trPr>
          <w:trHeight w:val="270" w:hRule="atLeast"/>
        </w:trPr>
        <w:tc>
          <w:tcPr>
            <w:tcW w:w="272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2,828,925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88"/>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Of the 2,828,925 options granted in the three months ended March 31, 2026 (ended March 31, 2025: 2,452,000), 2,136,450 options (March 31, 2025: 1,700,000) were granted to members of the executive management or Board of Directors. From these options 454,950 options were granted as performance options (March 31, 2025: 0).</w:t>
      </w:r>
      <w:r>
        <w:rPr>
          <w:rFonts w:ascii="Times New Roman" w:hAnsi="Times New Roman"/>
          <w:b w:val="false"/>
          <w:i w:val="false"/>
          <w:color w:val="000000"/>
          <w:sz w:val="24"/>
        </w:rPr>
        <w:t> </w:t>
      </w:r>
      <w:r>
        <w:rPr>
          <w:rFonts w:ascii="Times New Roman" w:hAnsi="Times New Roman"/>
          <w:b w:val="false"/>
          <w:i w:val="false"/>
          <w:color w:val="000000"/>
          <w:sz w:val="20"/>
        </w:rPr>
        <w:t>The awards are subject to two independent performance conditions, each covering 50% of the grant. The funding condition is a non-market condition valued using Black-Scholes, with expected vesting adjusted for probability. The share price condition is a market condition valued using a Monte Carlo simulation, with the probability embedded in fair value. Each tranche vests separately, with cliff vesting on December 31, 2026.</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480"/>
        <w:jc w:val="left"/>
      </w:pPr>
      <w:r>
        <w:rPr>
          <w:rFonts w:ascii="Times New Roman" w:hAnsi="Times New Roman"/>
          <w:b w:val="false"/>
          <w:i w:val="false"/>
          <w:color w:val="000000"/>
          <w:sz w:val="20"/>
        </w:rPr>
        <w:t xml:space="preserve"> Expected dividends are nil for all share options listed above. </w:t>
      </w:r>
    </w:p>
    <w:p>
      <w:pPr>
        <w:spacing w:before="0" w:after="0"/>
        <w:ind w:left="120"/>
        <w:jc w:val="left"/>
      </w:pPr>
      <w:r>
        <w:rPr>
          <w:rFonts w:ascii="Times New Roman" w:hAnsi="Times New Roman"/>
          <w:b w:val="false"/>
          <w:i w:val="false"/>
          <w:color w:val="000000"/>
          <w:sz w:val="20"/>
        </w:rPr>
        <w:t xml:space="preserve">   </w:t>
      </w:r>
    </w:p>
    <w:bookmarkStart w:name="za1cbb07e8b4648f286eae32d645b2f41" w:id="91"/>
    <w:tbl>
      <w:tblPr>
        <w:tblW w:w="0" w:type="auto"/>
        <w:tblCellSpacing w:w="0" w:type="dxa"/>
        <w:tblBorders>
          <w:top w:val="none"/>
          <w:left w:val="none"/>
          <w:bottom w:val="none"/>
          <w:right w:val="none"/>
          <w:insideH w:val="none"/>
          <w:insideV w:val="none"/>
        </w:tblBorders>
      </w:tblPr>
      <w:tblGrid>
        <w:gridCol w:w="832"/>
        <w:gridCol w:w="756"/>
        <w:gridCol w:w="12046"/>
      </w:tblGrid>
      <w:tr>
        <w:trPr>
          <w:trHeight w:val="225" w:hRule="atLeast"/>
        </w:trPr>
        <w:tc>
          <w:tcPr>
            <w:tcW w:w="832" w:type="dxa"/>
            <w:tcBorders/>
            <w:tcMar>
              <w:top w:w="15" w:type="dxa"/>
              <w:left w:w="15" w:type="dxa"/>
              <w:bottom w:w="15" w:type="dxa"/>
              <w:right w:w="15" w:type="dxa"/>
            </w:tcMar>
            <w:vAlign w:val="center"/>
          </w:tcPr>
          <w:p>
            <w:pPr>
              <w:spacing w:before="0" w:after="0"/>
              <w:ind w:left="0"/>
              <w:jc w:val="left"/>
            </w:pPr>
            <w:r>
              <w:br/>
            </w:r>
          </w:p>
        </w:tc>
        <w:tc>
          <w:tcPr>
            <w:tcW w:w="756" w:type="dxa"/>
            <w:tcBorders/>
            <w:tcMar>
              <w:top w:w="15" w:type="dxa"/>
              <w:left w:w="15" w:type="dxa"/>
              <w:bottom w:w="15" w:type="dxa"/>
              <w:right w:w="15" w:type="dxa"/>
            </w:tcMar>
            <w:vAlign w:val="top"/>
          </w:tcPr>
          <w:bookmarkStart w:name="TOC_Share_based_payments_b" w:id="92"/>
          <w:bookmarkEnd w:id="92"/>
          <w:p>
            <w:pPr>
              <w:spacing w:before="0" w:after="0"/>
              <w:ind w:left="0"/>
              <w:jc w:val="left"/>
            </w:pPr>
            <w:r>
              <w:rPr>
                <w:rFonts w:ascii="Times New Roman" w:hAnsi="Times New Roman"/>
                <w:b/>
                <w:i/>
                <w:color w:val="000000"/>
                <w:sz w:val="20"/>
              </w:rPr>
              <w:t>b)</w:t>
            </w:r>
          </w:p>
        </w:tc>
        <w:tc>
          <w:tcPr>
            <w:tcW w:w="12046"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Share-based payment expense recognized </w:t>
            </w:r>
          </w:p>
        </w:tc>
      </w:tr>
    </w:tbl>
    <w:bookmarkEnd w:id="91"/>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March 31, 2026, the Company has recognized €0.9 million of share-based payment expense in the 2026 statements of operations and comprehensive loss.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March 31, 2025, the Company has recognized €2.5 million of share-based payment expense in the statements of operations and comprehensive loss including €356 thousand for the extension of option for the eight-year option terms to ten years.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None of the share-based payment awards were dilutive in determining earnings per share due to the Group’s loss position. </w:t>
      </w:r>
    </w:p>
    <w:p>
      <w:pPr>
        <w:spacing w:before="0" w:after="0"/>
        <w:ind w:left="120"/>
        <w:jc w:val="left"/>
      </w:pPr>
      <w:r>
        <w:rPr>
          <w:rFonts w:ascii="Times New Roman" w:hAnsi="Times New Roman"/>
          <w:b w:val="false"/>
          <w:i w:val="false"/>
          <w:color w:val="000000"/>
          <w:sz w:val="20"/>
        </w:rPr>
        <w:t xml:space="preserve">   </w:t>
      </w:r>
    </w:p>
    <w:bookmarkStart w:name="z273f7489580b4911b32ef1b75470a0db" w:id="93"/>
    <w:tbl>
      <w:tblPr>
        <w:tblW w:w="0" w:type="auto"/>
        <w:tblCellSpacing w:w="0" w:type="dxa"/>
        <w:tblBorders>
          <w:top w:val="none"/>
          <w:left w:val="none"/>
          <w:bottom w:val="none"/>
          <w:right w:val="none"/>
          <w:insideH w:val="none"/>
          <w:insideV w:val="none"/>
        </w:tblBorders>
      </w:tblPr>
      <w:tblGrid>
        <w:gridCol w:w="832"/>
        <w:gridCol w:w="756"/>
        <w:gridCol w:w="12046"/>
      </w:tblGrid>
      <w:tr>
        <w:trPr>
          <w:trHeight w:val="225" w:hRule="atLeast"/>
        </w:trPr>
        <w:tc>
          <w:tcPr>
            <w:tcW w:w="832" w:type="dxa"/>
            <w:tcBorders/>
            <w:tcMar>
              <w:top w:w="15" w:type="dxa"/>
              <w:left w:w="15" w:type="dxa"/>
              <w:bottom w:w="15" w:type="dxa"/>
              <w:right w:w="15" w:type="dxa"/>
            </w:tcMar>
            <w:vAlign w:val="center"/>
          </w:tcPr>
          <w:p>
            <w:pPr>
              <w:spacing w:before="0" w:after="0"/>
              <w:ind w:left="0"/>
              <w:jc w:val="left"/>
            </w:pPr>
            <w:r>
              <w:br/>
            </w:r>
          </w:p>
        </w:tc>
        <w:tc>
          <w:tcPr>
            <w:tcW w:w="756" w:type="dxa"/>
            <w:tcBorders/>
            <w:tcMar>
              <w:top w:w="15" w:type="dxa"/>
              <w:left w:w="15" w:type="dxa"/>
              <w:bottom w:w="15" w:type="dxa"/>
              <w:right w:w="15" w:type="dxa"/>
            </w:tcMar>
            <w:vAlign w:val="top"/>
          </w:tcPr>
          <w:bookmarkStart w:name="TOC_Share_based_payments_c" w:id="94"/>
          <w:bookmarkEnd w:id="94"/>
          <w:p>
            <w:pPr>
              <w:spacing w:before="0" w:after="0"/>
              <w:ind w:left="0"/>
              <w:jc w:val="left"/>
            </w:pPr>
            <w:r>
              <w:rPr>
                <w:rFonts w:ascii="Times New Roman" w:hAnsi="Times New Roman"/>
                <w:b/>
                <w:i/>
                <w:color w:val="000000"/>
                <w:sz w:val="20"/>
              </w:rPr>
              <w:t>c)</w:t>
            </w:r>
          </w:p>
        </w:tc>
        <w:tc>
          <w:tcPr>
            <w:tcW w:w="12046"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 options exercised </w:t>
            </w:r>
          </w:p>
        </w:tc>
      </w:tr>
    </w:tbl>
    <w:bookmarkEnd w:id="93"/>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March 31, 2026, no shares (2025: nil) were issued upon the exercise of share options, resulting in no proceeds to the Company (ended March 31, 2025: nil). </w:t>
      </w:r>
    </w:p>
    <w:p>
      <w:pPr>
        <w:spacing w:before="0" w:after="0"/>
        <w:ind w:left="120"/>
        <w:jc w:val="left"/>
      </w:pPr>
      <w:r>
        <w:rPr>
          <w:rFonts w:ascii="Times New Roman" w:hAnsi="Times New Roman"/>
          <w:b w:val="false"/>
          <w:i w:val="false"/>
          <w:color w:val="000000"/>
          <w:sz w:val="20"/>
        </w:rPr>
        <w:t xml:space="preserve">   </w:t>
      </w:r>
    </w:p>
    <w:bookmarkStart w:name="z7a277b48d18b4d698ba5aeacbc028d15" w:id="95"/>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Protective_foundation" w:id="96"/>
          <w:bookmarkEnd w:id="96"/>
          <w:bookmarkStart w:name="SNWID_0b0eff02e0274b288a9b29e01e8ec20f" w:id="97"/>
          <w:bookmarkEnd w:id="97"/>
          <w:p>
            <w:pPr>
              <w:spacing w:before="0" w:after="0"/>
              <w:ind w:left="0"/>
              <w:jc w:val="left"/>
            </w:pPr>
            <w:r>
              <w:rPr>
                <w:rFonts w:ascii="Times New Roman" w:hAnsi="Times New Roman"/>
                <w:b/>
                <w:i/>
                <w:color w:val="000000"/>
                <w:sz w:val="20"/>
              </w:rPr>
              <w:t>17.</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Protective foundation </w:t>
            </w:r>
          </w:p>
        </w:tc>
      </w:tr>
    </w:tbl>
    <w:bookmarkEnd w:id="95"/>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According to the articles of association of the Company, up to 169,300,000 ordinary shares and up to 169,300,000 preferred shares with a nominal value of €0.12 per share are authorized to be issued. All shares are registered shares. No share certificates shall be issued.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order to deter acquisition bids, the Company’s general meeting of shareholders approved the right of an independent foundation under Dutch law, or protective foundation, to exercise a call option pursuant to the call option agreement, upon which preferred shares will be issued by the Company to the protective foundation of up to 100% of the Company’s issued capital held by others than the protective foundation, minus one share. The protective foundation is expected to enter into a finance arrangement with a bank or, subject to applicable restrictions under Dutch law, the protective foundation may request the Company to provide, or cause the Company’s subsidiaries to provide, sufficient funding to the protective foundation to enable it to satisfy its payment obligation under the call option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preferred shares will have both a liquidation and dividend preference over the Company’s ordinary shares and will accrue cash dividends at a pre-determined rate. The protective foundation would be expected to require the Company to cancel its preferred shares once the perceived threat to the Company and its stakeholders has been removed or sufficiently mitigated or neutralized. The Company believes that the call option does not represent a significant fair value based on a level 3 valuation since the preferred shares are restricted in use and can be cancelled by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March 31, 2026, the Company expensed €11.0 thousand (2025: €15.0 thousand) of ongoing costs to reimburse expenses incurred by the protective foundation. </w:t>
      </w:r>
    </w:p>
    <w:p>
      <w:pPr>
        <w:spacing w:before="0" w:after="0"/>
        <w:ind w:left="120"/>
        <w:jc w:val="left"/>
      </w:pPr>
      <w:r>
        <w:rPr>
          <w:rFonts w:ascii="Times New Roman" w:hAnsi="Times New Roman"/>
          <w:b w:val="false"/>
          <w:i w:val="false"/>
          <w:color w:val="000000"/>
          <w:sz w:val="20"/>
        </w:rPr>
        <w:t xml:space="preserve">   </w:t>
      </w:r>
    </w:p>
    <w:bookmarkStart w:name="zaacecbbc9b144ae7bb8622232c689fd8" w:id="98"/>
    <w:tbl>
      <w:tblPr>
        <w:tblW w:w="0" w:type="auto"/>
        <w:tblCellSpacing w:w="0" w:type="dxa"/>
        <w:tblBorders>
          <w:top w:val="none"/>
          <w:left w:val="none"/>
          <w:bottom w:val="none"/>
          <w:right w:val="none"/>
          <w:insideH w:val="none"/>
          <w:insideV w:val="none"/>
        </w:tblBorders>
      </w:tblPr>
      <w:tblGrid>
        <w:gridCol w:w="492"/>
        <w:gridCol w:w="491"/>
        <w:gridCol w:w="12651"/>
      </w:tblGrid>
      <w:tr>
        <w:trPr>
          <w:trHeight w:val="225" w:hRule="atLeast"/>
        </w:trPr>
        <w:tc>
          <w:tcPr>
            <w:tcW w:w="492" w:type="dxa"/>
            <w:tcBorders/>
            <w:tcMar>
              <w:top w:w="15" w:type="dxa"/>
              <w:left w:w="15" w:type="dxa"/>
              <w:bottom w:w="15" w:type="dxa"/>
              <w:right w:w="15" w:type="dxa"/>
            </w:tcMar>
            <w:vAlign w:val="center"/>
          </w:tcPr>
          <w:p>
            <w:pPr>
              <w:spacing w:before="0" w:after="0"/>
              <w:ind w:left="0"/>
              <w:jc w:val="left"/>
            </w:pPr>
            <w:r>
              <w:br/>
            </w:r>
          </w:p>
        </w:tc>
        <w:tc>
          <w:tcPr>
            <w:tcW w:w="491" w:type="dxa"/>
            <w:tcBorders/>
            <w:tcMar>
              <w:top w:w="15" w:type="dxa"/>
              <w:left w:w="15" w:type="dxa"/>
              <w:bottom w:w="15" w:type="dxa"/>
              <w:right w:w="15" w:type="dxa"/>
            </w:tcMar>
            <w:vAlign w:val="top"/>
          </w:tcPr>
          <w:bookmarkStart w:name="TOC_Subsequent_events" w:id="99"/>
          <w:bookmarkEnd w:id="99"/>
          <w:p>
            <w:pPr>
              <w:spacing w:before="0" w:after="0"/>
              <w:ind w:left="0"/>
              <w:jc w:val="left"/>
            </w:pPr>
            <w:r>
              <w:rPr>
                <w:rFonts w:ascii="Times New Roman" w:hAnsi="Times New Roman"/>
                <w:b/>
                <w:i/>
                <w:color w:val="000000"/>
                <w:sz w:val="20"/>
              </w:rPr>
              <w:t>18.</w:t>
            </w:r>
          </w:p>
        </w:tc>
        <w:tc>
          <w:tcPr>
            <w:tcW w:w="12651"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Subsequent events </w:t>
            </w:r>
          </w:p>
        </w:tc>
      </w:tr>
    </w:tbl>
    <w:bookmarkEnd w:id="98"/>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There were no subsequent events requiring disclosure through May 6, 2026, the date these interim condensed consolidated financial statements were authorized for issue.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F-13</w:t>
      </w: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EX-99.2 </w:t>
      </w:r>
      <w:r>
        <w:rPr>
          <w:rFonts w:ascii="Times New Roman" w:hAnsi="Times New Roman"/>
          <w:b w:val="false"/>
          <w:i w:val="false"/>
          <w:color w:val="000000"/>
          <w:sz w:val="20"/>
        </w:rPr>
        <w:t xml:space="preserve">3 </w:t>
      </w:r>
      <w:r>
        <w:rPr>
          <w:rFonts w:ascii="Times New Roman" w:hAnsi="Times New Roman"/>
          <w:b w:val="false"/>
          <w:i w:val="false"/>
          <w:color w:val="000000"/>
          <w:sz w:val="20"/>
        </w:rPr>
        <w:t xml:space="preserve">ef20072108_ex99-2.htm </w:t>
      </w:r>
      <w:r>
        <w:rPr>
          <w:rFonts w:ascii="Times New Roman" w:hAnsi="Times New Roman"/>
          <w:b w:val="false"/>
          <w:i w:val="false"/>
          <w:color w:val="000000"/>
          <w:sz w:val="20"/>
        </w:rPr>
        <w:t xml:space="preserve">EXHIBIT 99.2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i w:val="false"/>
          <w:color w:val="000000"/>
          <w:sz w:val="20"/>
        </w:rPr>
        <w:t xml:space="preserve"> </w:t>
      </w:r>
      <w:bookmarkStart w:name="SNWID_bea98f3911c942b8ad7529e01e8ec210" w:id="0"/>
      <w:bookmarkEnd w:id="0"/>
      <w:r>
        <w:rPr>
          <w:rFonts w:ascii="Times New Roman" w:hAnsi="Times New Roman"/>
          <w:b/>
          <w:i w:val="false"/>
          <w:color w:val="000000"/>
          <w:sz w:val="20"/>
        </w:rPr>
        <w:t xml:space="preserve">Exhibit 99.2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477"/>
        <w:jc w:val="center"/>
      </w:pPr>
      <w:r>
        <w:rPr>
          <w:rFonts w:ascii="Times New Roman" w:hAnsi="Times New Roman"/>
          <w:b/>
          <w:i w:val="false"/>
          <w:color w:val="000000"/>
          <w:sz w:val="20"/>
        </w:rPr>
        <w:t xml:space="preserve"> MANAGEMENT’S DISCUSSION AND ANALYSIS </w:t>
      </w:r>
    </w:p>
    <w:p>
      <w:pPr>
        <w:spacing w:before="0" w:after="0"/>
        <w:ind w:left="477"/>
        <w:jc w:val="center"/>
      </w:pPr>
      <w:r>
        <w:rPr>
          <w:rFonts w:ascii="Times New Roman" w:hAnsi="Times New Roman"/>
          <w:b/>
          <w:i w:val="false"/>
          <w:color w:val="000000"/>
          <w:sz w:val="20"/>
        </w:rPr>
        <w:t xml:space="preserve"> OF FINANCIAL CONDITION AND RESULTS OF OPERATIONS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management’s discussion and analysis is designed to provide you with a narrative explanation of our financial condition and results of operations. We recommend that you read this discussion together with our unaudited interim condensed consolidated financial statements, including the notes thereto, for the three months ended March 31, 2026 and 2025, respectively, included as Exhibit 99.1 to the report on Form 6-K to which this discussion is attached as Exhibit 99.2. We also recommend that you read our “ITEM 5. Operating and financial review and prospects” and our audited consolidated financial statements for fiscal year 2025, and the notes thereto, which appear in our annual report on Form 20-F for the year ended December 31, 2025, filed with the U.S. Securities and Exchange Commission, or the SEC, on March 20, 2026. In addition, we recommend that you read any public announcements made by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discussion is based on our financial information prepared in accordance with IFRS as issued by the IASB, which may differ in material respects from generally accepted accounting principles in the United States and other jurisdictions. We maintain our books and records in euros. Unless otherwise indicated, all references to currency amounts in this discussion are in euros. We have made rounding adjustments to some of the figures included in this discussion and analysis. Accordingly, numerical figures shown as totals in some tables may not be arithmetic aggregations of the figures that precede them.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discussion includes forward-looking statements that involve risks, uncertainties and assumptions. Our actual results may differ materially from those anticipated in these forward-looking statements as a result of many factors, including but not limited to those described under “ITEM 3. Key Information––Risk factors” in the annual report and risks described in our subsequent SEC filings.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Unless otherwise indicated or the context otherwise requires, all references to “InflaRx” or the “Company,” “we,” “our,” “ours,” “us” or similar terms refer to InflaRx N.V. and its subsidiaries InflaRx GmbH and InflaRx Pharmaceuticals, Inc.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Overview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 receptor technologies to discover, develop and commercialize highly potent and specific inhibitors of the complement activation factor C5a and its receptor. C5a is a powerful inflammatory mediator involved in the progression of a wide variety of inflammatory diseases. InflaRx is developing izicopan (formerly known as INF904), a novel orally administered small molecule inhibitor of C5a-induced signaling via the C5a receptor. InflaRx has also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Dr. Camilla Chong will resign from her position as Chief Medical Officer, effective August 2026. Her resignation did not result from any disagreement with the Company regarding its operations, policies, or clinical development programs. The Company’s existing clinical team and senior management, supported by external advisors, are overseeing her responsibilities to ensure continuity across the Company’s clinical development activities.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On January 8, 2026, InflaRx announced a restructuring and a change in strategy, focusing future resource allocation predominantly towards further clinical development of izicopan. As part of this strategy, a significant reduction of its workforce was announced, predominantly in areas which were supporting commercialization and late-stage development of vilobelimab</w:t>
      </w:r>
      <w:r>
        <w:rPr>
          <w:rFonts w:ascii="Times New Roman" w:hAnsi="Times New Roman"/>
          <w:b w:val="false"/>
          <w:i w:val="false"/>
          <w:color w:val="000000"/>
          <w:sz w:val="20"/>
        </w:rPr>
        <w:t xml:space="preserve">. These measures, including write-down of product inventory and one-time restructuring cost already reflected in the 2025 financial statements and additional one-time </w:t>
      </w:r>
      <w:r>
        <w:rPr>
          <w:rFonts w:ascii="Times New Roman" w:hAnsi="Times New Roman"/>
          <w:b w:val="false"/>
          <w:i w:val="false"/>
          <w:color w:val="000000"/>
          <w:sz w:val="20"/>
        </w:rPr>
        <w:t>restructuring costs of €0.6 million in 2026, once successfully implemented, are expected to reduce the future cost structure of the Company.</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Anti-C5aR inhibitor izicopan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To explore the full potential of our anti-C5a/C5aR technologies, we are clinically developing our lead product candidate, izicopan, which is an orally administered, small-molecule inhibitor of C5aR1. Based on its mode of action and encouraging preclinical and clinical data generated to date, we believe izicopan is a promising product candidate for being further developed in several disease areas of inflammation, where orally available therapeutics are not available or do not meet the medical need.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Izicopan has shown potential for superior characteristics to the only approved C5aR inhibitor, avacopan, in pre-clinical studies and in clinical pharmacology studies. Izicopan has demonstrated higher plasma exposure in animals, including non-human primates, and humans. Izicopan is also characterized by an improved inhibitory activity in a hamster neutropenia model compared to avacopan and in our completed pharmacodynamic Phase 1 studies. As announced in April 2026, in vitro findings demonstrate that izicopan does not exhibit time-dependent inhibition of CYP3A4, an important indicator for the risk for drug-drug interactions (DDIs) and liver toxicity. In addition, izicopan demonstrated potential for anti-inflammatory therapeutic effects in several preclinical disease models. In January 2024, we announced the positive results of a single and multiple ascending dose study with izicopan in healthy volunteers. In November 2025, we reported positive data from a Phase 2a clinical study in HS and CSU patients.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Izicopan for the treatment of HS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HS is a chronic, recurrent, debilitating neutrophil-driven inflammatory skin disease that can persist for years and is severely debilitating and tremendously impacts quality of life. It is characterized by three types of skin lesions: abscesses, nodules and draining tunnels. Izicopan inhibits the known C5a-induced effects on neutrophil activation and tissue accumulation of immune cells, including generation of tissue damaging mechanisms (enzyme release and oxidative radical formation) as well as induction of NETosis – mechanisms thought to be involved in HS progression and draining tunnel formation. Clinical evidence with existing C5a/C5aR products also supports that blocking this pathway reduces lesion counts. Patients’ responses to treatment with currently approved anti-TNF-alpha or anti-IL17 drugs are known to wane over time in a significant number of cases; and treatment with new therapeutics acting through other molecular mechanisms are needed for these patients. In our recently concluded Phase 2a clinical study we could gather strong evidence that izicopan is highly active in HS, with improvements in efficacy measures largely differentiated from historically reported placebo response rates, and in line with reported improvements at the 4-week time point for therapies which have successfully completed Phase 3 trials or received approval. Given this positive, biologic-like emerging clinical profile, with rapid, consistent and significant reductions in all lesion counts, total inflammatory burden (TIB), and patient reported outcomes (in particular NRS30 Skin Pain), we are progressing our plans for further clinical development.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Izicopan for the treatment of AAV and other renal diseases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Given the role of the C5a/C5aR axis in AAV, support from key opinion leaders, and recent developments in the commercial market, InflaRx intends to pursue development with izicopan in this indication. In addition, the Company intends to establish proof-of-concept for izicopan across a broader range of kidney diseases, including atypical hemolytic uremic syndrome (aHUS), IgA nephropathy (IgAN), and C3 glomerulopathy (C3G).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Izicopan for the treatment of CSU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CSU is a debilitating and unpredictable skin disease, characterized by intensely itchy hives / wheals and angioedema. The burden of this chronic disease is high and impacts sleep, mental health, quality of life and productivity due to absences from school and work. CSU is estimated to affect around 40 million people worldwide. CSU patients have been reported to show elevated C5a levels, a major activator of mast cells and basophils which are thought to be significant contributors to CSU pathogenesis. In addition, studies suggest that complement activation (including through C5a) in CSU can lead to histamine release. Current treatments for patients that do not respond to readily available anti-histamines are limited, and a significant unmet need exists in a sizable proportion of patients. In our recently concluded Phase 2a clinical study we could show encouraging data in these patients, suggesting that izicopan is active in CSU and not only differentiated from reported historical placebo rates, but potentially within the range of currently approved CSU therapies. These data further indicate that response rates may deepen with longer-term treatment. Given this positive emerging clinical profile, we are planning further development potentially in collaboration with pharmaceutical partners.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r>
        <w:rPr>
          <w:rFonts w:ascii="Times New Roman" w:hAnsi="Times New Roman"/>
          <w:b/>
          <w:i/>
          <w:color w:val="000000"/>
          <w:sz w:val="20"/>
        </w:rPr>
        <w:t xml:space="preserve"> Anti-C5a antibody vilobelimab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Vilobelimab, is a novel, intravenously delivered, first-in-class monoclonal antibody that selectively binds to free C5a and has demonstrated disease-modifying clinical activity and tolerability in multiple clinical settings. We have been developing vilobelimab in a wide array of complement-mediated diseases with significant unmet medical need.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Vilobelimab for the treatment of severe COVID-19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Vilobelimab has been tested in critically ill COVID-19 patients, for which we concluded a double-blinded, placebo controlled, multicenter Phase 3 study in March 2022, demonstrating a relative reduction in 28-day all-cause mortality by 23.9%. Subsequently, in April 2023, we were granted an EUA by the FDA for the treatment of critically ill, invasively mechanically ventilated COVID-19 patients. In January 2025, we obtained a marketing authorization under exceptional circumstances, by the European Commission for the treatment of adult patients with SARS-CoV-2-induced ARDS, who are receiving systemic corticosteroids as part of standard of care and receiving invasive mechanical ventilation, or IMV, with or without extracorporeal membrane oxygenation, or ECMO. The product has been introduced into the pharmaceutical market in the U.S. under the tradename GOHIBIC and is commercially available for ordering by hospitals. Vilobelimab is also being evaluated in a Phase 2 clinical platform study in broader ARDS, funded by the Biomedical Advanced Research and Development Authority, or BARDA.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Anti-C5a antibody IFX002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are developing IFX002 for the treatment of chronic inflammatory diseases. IFX002 is a highly potent anti- C5a antibody, which binds to the same domain of the C5a protein as vilobelimab, but which has a higher humanization grade and altered pharmacokinetic properties compared to vilobelimab. IFX002 is currently in preclinical development. We consider IFX002 to be a life-cycle management product to vilobelimab, given the long remaining patent life of IFX002.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bookmarkStart w:name="SNWID_c8975e2d193842e2865029e01e8ec209" w:id="1"/>
      <w:bookmarkEnd w:id="1"/>
      <w:r>
        <w:rPr>
          <w:rFonts w:ascii="Times New Roman" w:hAnsi="Times New Roman"/>
          <w:b/>
          <w:i w:val="false"/>
          <w:color w:val="000000"/>
          <w:sz w:val="20"/>
        </w:rPr>
        <w:t xml:space="preserve">Financial highlights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we had available funds amounting to €39.7 million, composed of €15.0 million in cash and cash equivalents and €24.7 million in marketable securities. Of the €15.0 million cash and cash equivalents, €7.3 million are held in euros and €7.7 million are held in U.S. dollars. Marketable securities held in U.S. dollars have a nominal value of $28.5 million (€24.8 million). We believe that our current funds on hand will be sufficient to fund our planned operations into 2027.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anticipate that our expenses might increase if and as we: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continue research, preclinical and clinical development efforts, as applicable, for any existing and future product candidates, including izicopan, vilobelimab and IFX002;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actively seek to identify additional research programs and additional product candidates;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seek regulatory and marketing approvals for our product candidates that successfully complete clinical trials, if any;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establish and expand sales, marketing, distribution and other commercial infrastructure now and in the future to commercialize various products for which we may obtain marketing authorization or approval, if any;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require the scale-up and validation of the manufacturing process and the manufacturing of larger quantities of product candidates for clinical development and, potentially, commercialization;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collaborate with strategic partners to optimize the manufacturing process for izicopan, vilobelimab, IFX002, and other pipeline products;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maintain, expand and protect our intellectual property portfolio;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hire and retain additional personnel, such as commercial, marketing, clinical, quality control and scientific personnel; and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add operational, financial and management information systems and personnel, including personnel to support our product development as well as commercialization and help us comply with our obligations as a public company.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ability to become and remain profitable depends on our ability to generate revenue. We do not expect to generate significant revenue unless and until we are, or any future collaborator is, able to obtain full marketing authorization or approval for, and successfully commercialize, one or more of our product candidates. Successful commercialization will require achievement of key milestones, including completing clinical trials of izicopan, vilobelimab, and any other product candidates, obtaining marketing authorization or approval for these product candidates, manufacturing, marketing and selling those products for which we, or any of our future collaborators, may obtain marketing authorization or approval, satisfying any post-marketing requirements and obtaining reimbursement for our products from private insurance or government payors. Because of the uncertainties and risks associated with these activities, we are unable to accurately predict the timing and amount of revenues, and if or when we might achieve profitability. We and any future collaborators may never succeed in these activities and, even if we do, or any future collaborators do, we may never generate revenue that is large enough for us to achieve profitability. Even if we do achieve profitability, we may not be able to sustain or increase profitability on a quarterly or annual basis.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expect our financial condition and operating results to continue to fluctuate from quarter to quarter and year to year due to a variety of factors, many of which are beyond our control. In order to succeed, we will need to transition from a company with a research and development focus to a company capable of undertaking commercial activities. We may encounter unforeseen expenses, difficulties, complications and delays, and may not be successful in such a transition.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Accordingly, we may seek to further fund our operations through public or private equity or debt financings or other sources, including strategic collaborations. We may, however, be unable to raise additional funds or enter into such other arrangements when needed on favorable terms or at all. Our failure to raise capital or enter into such other arrangements as and when needed would have a negative impact on our financial condition and our ability to develop vilobelimab or any additional product candidates.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failure to become and remain profitable could depress the market price of our ordinary shares and could impair our ability to raise capital, pay dividends, expand our business, diversify our product offerings or continue our operations. If we continue to suffer losses as we have in the past, investors may not receive any return on their investment and may lose their entire investment.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Research and development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Research and development expenses have consisted principally of: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expenses incurred under agreements with CROs, contract manufacturing organizations, or CDMOs, consultants and independent contractors that conduct research and development, preclinical and clinical activities on our behalf;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employee-related expenses, including salaries, benefits and stock-based compensation expense based upon employees’ role within the organization;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lawyers related to the protection and maintenance of our intellectual property.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expense research and development costs as incurred. We recognize costs for certain development activities, such as preclinical studies and clinical trials, based on an evaluation of the progress to completion of specific tasks. We use information provided to us by our vendors such as status of patient enrollment or clinical site activations for measuring services received and efforts expended. Research and development activities are central to our business model.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research and development expenses primarily relate to the following key programs: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78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Vilobelimab.</w:t>
            </w:r>
            <w:r>
              <w:rPr>
                <w:rFonts w:ascii="Times New Roman" w:hAnsi="Times New Roman"/>
                <w:b w:val="false"/>
                <w:i w:val="false"/>
                <w:color w:val="000000"/>
                <w:sz w:val="20"/>
              </w:rPr>
              <w:t xml:space="preserve"> Our expenses associated with vilobelimab have decreased significantly as a result of the January 2026 restructuring and the termination of our Phase 3 study in PG. We expect vilobelimab-related expenses to continue to decrease in 2026 compared to 2025. However, we will still incur costs associated with the wind-down of the Phase 3 trial in PG, ongoing participation in the BARDA-sponsored Phase 2 clinical platform study in broader ARDS, maintaining our manufacturing infrastructure for GOHIBIC (vilobelimab) in compliance with regulatory standards, and continued FDA discussions regarding a potential BLA for full approval of GOHIBIC (vilobelimab). Any future clinical development activities in PG or other indications would likely be conducted only in collaboration with a partner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12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Izicopan.</w:t>
            </w:r>
            <w:r>
              <w:rPr>
                <w:rFonts w:ascii="Times New Roman" w:hAnsi="Times New Roman"/>
                <w:b w:val="false"/>
                <w:i w:val="false"/>
                <w:color w:val="000000"/>
                <w:sz w:val="20"/>
              </w:rPr>
              <w:t xml:space="preserve"> We are developing izicopan, a product candidate that targets C5aR. We expect to incur additional costs by advancing the clinical and non-clinical development of izicopan. Specifically, we expect to incur expenses during Phase 2 clinical development. We plan to continue studying izicopan in complement-mediated, chronic autoimmune and inflammatory conditions where an oral low molecular weight compound might have advantages or is needed for patients and where oral delivery is the medically preferred route of administration.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90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IFX002</w:t>
            </w:r>
            <w:r>
              <w:rPr>
                <w:rFonts w:ascii="Times New Roman" w:hAnsi="Times New Roman"/>
                <w:b w:val="false"/>
                <w:i w:val="false"/>
                <w:color w:val="000000"/>
                <w:sz w:val="20"/>
              </w:rPr>
              <w:t xml:space="preserve">. We are developing IFX002 for the treatment of chronic inflammatory indications. IFX002 is a highly potent anti-complement C5a antibody with a higher humanization grade and altered PK properties compared to vilobelimab and is currently in pre-clinical development. Expenses for this program mainly consist of salaries, costs for preclinical testing conducted by CROs and costs to produce preclinical material.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7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Other development programs.</w:t>
            </w:r>
            <w:r>
              <w:rPr>
                <w:rFonts w:ascii="Times New Roman" w:hAnsi="Times New Roman"/>
                <w:b w:val="false"/>
                <w:i w:val="false"/>
                <w:color w:val="000000"/>
                <w:sz w:val="20"/>
              </w:rPr>
              <w:t xml:space="preserve"> Our other research and development expenses relate to our preclinical studies of other product candidates and discovery activities, expenses for which mainly consist of salaries, costs for production of preclinical compounds and costs paid to CROs.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General and administrative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general and administrative expenses consist principally of: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employee-related expenses, including salaries, benefits and stock-based compensation expense based upon employees’ role within the organization;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auditors and consulting expenses not related to research and development activities;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lawyers not related to the filing, prosecution, protection and maintenance of our intellectual property;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insurance expenses including directors and officers liability insurance premiums;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cost of facilities, travel, communication and office expenses.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p>
    <w:p>
      <w:pPr>
        <w:spacing w:before="0" w:after="0"/>
        <w:ind w:left="120"/>
        <w:jc w:val="left"/>
      </w:pPr>
      <w:r>
        <w:rPr>
          <w:rFonts w:ascii="Times New Roman" w:hAnsi="Times New Roman"/>
          <w:b/>
          <w:i w:val="false"/>
          <w:color w:val="000000"/>
          <w:sz w:val="20"/>
        </w:rPr>
        <w:t xml:space="preserve"> Results of operations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information below was derived from our unaudited interim condensed consolidated financial statements included elsewhere herein. The discussion below should be read along with these unaudited interim condensed consolidated financial statements and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687"/>
        <w:jc w:val="left"/>
      </w:pPr>
      <w:r>
        <w:rPr>
          <w:rFonts w:ascii="Times New Roman" w:hAnsi="Times New Roman"/>
          <w:b/>
          <w:i/>
          <w:color w:val="000000"/>
          <w:sz w:val="20"/>
        </w:rPr>
        <w:t xml:space="preserve"> </w:t>
      </w:r>
      <w:bookmarkStart w:name="SNWID_8dfd02538d8d492c941129e01e8ec20a" w:id="2"/>
      <w:bookmarkEnd w:id="2"/>
      <w:r>
        <w:rPr>
          <w:rFonts w:ascii="Times New Roman" w:hAnsi="Times New Roman"/>
          <w:b/>
          <w:i/>
          <w:color w:val="000000"/>
          <w:sz w:val="20"/>
        </w:rPr>
        <w:t xml:space="preserve">Comparison of the three months ended March 31, 2026 and 2025 </w:t>
      </w:r>
    </w:p>
    <w:p>
      <w:pPr>
        <w:spacing w:before="0" w:after="0"/>
        <w:ind w:left="120"/>
        <w:jc w:val="left"/>
      </w:pPr>
      <w:r>
        <w:rPr>
          <w:rFonts w:ascii="Times New Roman" w:hAnsi="Times New Roman"/>
          <w:b w:val="false"/>
          <w:i w:val="false"/>
          <w:color w:val="000000"/>
          <w:sz w:val="20"/>
        </w:rPr>
        <w:t xml:space="preserve">   </w:t>
      </w:r>
    </w:p>
    <w:bookmarkStart w:name="zf0bf0b0c14d946c995a31e4354f4e9fa" w:id="3"/>
    <w:tbl>
      <w:tblPr>
        <w:tblW w:w="0" w:type="auto"/>
        <w:tblCellSpacing w:w="0" w:type="dxa"/>
        <w:tblBorders>
          <w:top w:val="none"/>
          <w:left w:val="none"/>
          <w:bottom w:val="none"/>
          <w:right w:val="none"/>
          <w:insideH w:val="none"/>
          <w:insideV w:val="none"/>
        </w:tblBorders>
      </w:tblPr>
      <w:tblGrid>
        <w:gridCol w:w="8544"/>
        <w:gridCol w:w="135"/>
        <w:gridCol w:w="135"/>
        <w:gridCol w:w="1227"/>
        <w:gridCol w:w="156"/>
        <w:gridCol w:w="135"/>
        <w:gridCol w:w="135"/>
        <w:gridCol w:w="1358"/>
        <w:gridCol w:w="156"/>
        <w:gridCol w:w="135"/>
        <w:gridCol w:w="135"/>
        <w:gridCol w:w="1227"/>
        <w:gridCol w:w="156"/>
      </w:tblGrid>
      <w:tr>
        <w:trPr>
          <w:trHeight w:val="255" w:hRule="atLeast"/>
        </w:trPr>
        <w:tc>
          <w:tcPr>
            <w:tcW w:w="854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54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Revenues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4"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(9,291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9,291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544"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Gross profit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(9,291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9,291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44"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Operating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Sales and marketing expenses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(108,072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(1,457,978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1,349,906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Research and development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(4,170,546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(7,016,336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2,845,791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General and administrative expenses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(3,177,444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(5,062,605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1,885,160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544"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operating expenses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(7,456,062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(13,536,919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6,080,857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income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247,978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541,098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(293,119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expenses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544"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Operating result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(7,208,150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(13,005,139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op w:val="single" w:color="000000" w:sz="16"/>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5,796,989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Finance income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334,768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493,764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(158,996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Finance expenses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(14,809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(4,086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(10,723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5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result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492,382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(1,908,829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2,401,212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financial result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803,160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6,110,264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(5,307,103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544"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Income taxes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544"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Income (loss) for the period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(5,592,649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(8,314,027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2,721,378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4"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Exchange differences on translation of foreign currency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(15,026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(150,667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135,640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544"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comprehensive income (loss)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(5,607,675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(8,464,694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2,857,018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3"/>
    <w:p>
      <w:pPr>
        <w:spacing w:before="0" w:after="0"/>
        <w:ind w:left="120"/>
        <w:jc w:val="left"/>
      </w:pPr>
      <w:r>
        <w:rPr>
          <w:rFonts w:ascii="Times New Roman" w:hAnsi="Times New Roman"/>
          <w:b w:val="false"/>
          <w:i w:val="false"/>
          <w:color w:val="000000"/>
          <w:sz w:val="24"/>
        </w:rPr>
        <w:t xml:space="preserve">     </w:t>
      </w:r>
    </w:p>
    <w:p>
      <w:pPr>
        <w:spacing w:before="0" w:after="0"/>
        <w:ind w:left="120"/>
        <w:jc w:val="left"/>
      </w:pPr>
      <w:r>
        <w:rPr>
          <w:rFonts w:ascii="Times New Roman" w:hAnsi="Times New Roman"/>
          <w:b/>
          <w:i/>
          <w:color w:val="000000"/>
          <w:sz w:val="20"/>
        </w:rPr>
        <w:t xml:space="preserve"> Revenues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both the three months ended March 31, 2026 and the three months ended March 31, 2025, we did not generate any revenue. For 2026, this is attributable to the discontinuation of GOHIBIC (vilobelimab) sales activities in the United States in December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Cost of sales </w:t>
      </w:r>
    </w:p>
    <w:p>
      <w:pPr>
        <w:spacing w:before="0" w:after="0"/>
        <w:ind w:left="120"/>
        <w:jc w:val="left"/>
      </w:pPr>
      <w:r>
        <w:rPr>
          <w:rFonts w:ascii="Times New Roman" w:hAnsi="Times New Roman"/>
          <w:b w:val="false"/>
          <w:i w:val="false"/>
          <w:color w:val="000000"/>
          <w:sz w:val="20"/>
        </w:rPr>
        <w:t xml:space="preserve">   </w:t>
      </w:r>
    </w:p>
    <w:bookmarkStart w:name="z86430f877ff0445898dcc9d9ea7200c7" w:id="4"/>
    <w:tbl>
      <w:tblPr>
        <w:tblW w:w="0" w:type="auto"/>
        <w:tblCellSpacing w:w="0" w:type="dxa"/>
        <w:tblBorders>
          <w:top w:val="none"/>
          <w:left w:val="none"/>
          <w:bottom w:val="none"/>
          <w:right w:val="none"/>
          <w:insideH w:val="none"/>
          <w:insideV w:val="none"/>
        </w:tblBorders>
      </w:tblPr>
      <w:tblGrid>
        <w:gridCol w:w="8710"/>
        <w:gridCol w:w="136"/>
        <w:gridCol w:w="136"/>
        <w:gridCol w:w="1226"/>
        <w:gridCol w:w="136"/>
        <w:gridCol w:w="136"/>
        <w:gridCol w:w="136"/>
        <w:gridCol w:w="1227"/>
        <w:gridCol w:w="136"/>
        <w:gridCol w:w="136"/>
        <w:gridCol w:w="136"/>
        <w:gridCol w:w="1227"/>
        <w:gridCol w:w="156"/>
      </w:tblGrid>
      <w:tr>
        <w:trPr>
          <w:trHeight w:val="255" w:hRule="atLeast"/>
        </w:trPr>
        <w:tc>
          <w:tcPr>
            <w:tcW w:w="871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1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10"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6"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9,291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(9,291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10"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6"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9,291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(9,291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4"/>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fact that we incurred no cost of sales in the three months ended March 31, 2026 is attributable to the discontinuation of our sales activities in December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r>
        <w:rPr>
          <w:rFonts w:ascii="Times New Roman" w:hAnsi="Times New Roman"/>
          <w:b/>
          <w:i/>
          <w:color w:val="000000"/>
          <w:sz w:val="20"/>
        </w:rPr>
        <w:t xml:space="preserve"> Sales and marketing expenses </w:t>
      </w:r>
    </w:p>
    <w:p>
      <w:pPr>
        <w:spacing w:before="0" w:after="0"/>
        <w:ind w:left="120"/>
        <w:jc w:val="left"/>
      </w:pPr>
      <w:r>
        <w:rPr>
          <w:rFonts w:ascii="Times New Roman" w:hAnsi="Times New Roman"/>
          <w:b w:val="false"/>
          <w:i w:val="false"/>
          <w:color w:val="000000"/>
          <w:sz w:val="20"/>
        </w:rPr>
        <w:t xml:space="preserve">   </w:t>
      </w:r>
    </w:p>
    <w:bookmarkStart w:name="zc63d70bc21fa43208d7e1f59e6e334d5" w:id="5"/>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36,610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207,811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(171,201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Marketing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3,082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205,078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(201,996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54,247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644,216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(589,970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Legal and consulting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10,155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261,332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(251,178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3,978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139,541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(135,562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sales and marketing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108,072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1,457,978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(1,349,906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5"/>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sales and marketing expenses incurred for the three months ended March 31, 2026 decreased compared to the three months ended March 31, 2025 by €1.3 million to €0.1 million. This decrease</w:t>
      </w:r>
      <w:r>
        <w:rPr>
          <w:rFonts w:ascii="Times New Roman" w:hAnsi="Times New Roman"/>
          <w:b/>
          <w:i w:val="false"/>
          <w:color w:val="000000"/>
          <w:sz w:val="20"/>
        </w:rPr>
        <w:t> </w:t>
      </w:r>
      <w:r>
        <w:rPr>
          <w:rFonts w:ascii="Times New Roman" w:hAnsi="Times New Roman"/>
          <w:b w:val="false"/>
          <w:i w:val="false"/>
          <w:color w:val="000000"/>
          <w:sz w:val="20"/>
        </w:rPr>
        <w:t xml:space="preserve">is attributable to the discontinuation of our sales activities at the end of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expenses of €0.1 million during the three months ended March 31, 2026 relate to processing costs associated with closing down sales operations.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Research and development expenses </w:t>
      </w:r>
    </w:p>
    <w:p>
      <w:pPr>
        <w:spacing w:before="0" w:after="0"/>
        <w:ind w:left="120"/>
        <w:jc w:val="left"/>
      </w:pPr>
      <w:r>
        <w:rPr>
          <w:rFonts w:ascii="Times New Roman" w:hAnsi="Times New Roman"/>
          <w:b w:val="false"/>
          <w:i w:val="false"/>
          <w:color w:val="000000"/>
          <w:sz w:val="20"/>
        </w:rPr>
        <w:t xml:space="preserve">   </w:t>
      </w:r>
    </w:p>
    <w:bookmarkStart w:name="zd6a3b5c91a4948ecb85edf1a35eb1f8e" w:id="6"/>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1,885,957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3,969,044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(2,083,087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vilobelimab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460,581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1,559,909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(1,099,328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izicopan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1,334,073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2,340,564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(1,006,491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non-allocated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91,303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68,571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22,732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1,964,384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2,678,658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(714,274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320,205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368,634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(48,429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vilobelimab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113,822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120,189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(6,367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izicopan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173,404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46,367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127,037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300"/>
              <w:jc w:val="left"/>
            </w:pPr>
            <w:r>
              <w:rPr>
                <w:rFonts w:ascii="Times New Roman" w:hAnsi="Times New Roman"/>
                <w:b w:val="false"/>
                <w:i/>
                <w:color w:val="000000"/>
                <w:sz w:val="20"/>
              </w:rPr>
              <w:t xml:space="preserve"> thereof non-allocated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32,979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202,078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(169,099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research and development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4,170,546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7,016,336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(2,845,791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research and development expenses incurred for the three months ended March 31, 2026 decreased by €2.8 million to €4.2 million compared to the three months ended March 31, 2025. This decrease is primarily due to lower third-party expenses for external services for the Group’s research and development projects, as well as lower personnel expenses due to reduced share-based payment expenses. The year‑over‑year decrease in third‑party expenses primarily reflects that, during the three months ended March 31, 2025, our PG study was still ongoing and continued to incur related costs.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General and administrative expenses </w:t>
      </w:r>
    </w:p>
    <w:p>
      <w:pPr>
        <w:spacing w:before="0" w:after="0"/>
        <w:ind w:left="120"/>
        <w:jc w:val="left"/>
      </w:pPr>
      <w:r>
        <w:rPr>
          <w:rFonts w:ascii="Times New Roman" w:hAnsi="Times New Roman"/>
          <w:b w:val="false"/>
          <w:i w:val="false"/>
          <w:color w:val="000000"/>
          <w:sz w:val="20"/>
        </w:rPr>
        <w:t xml:space="preserve">   </w:t>
      </w:r>
    </w:p>
    <w:bookmarkStart w:name="zedb60f7b5bb2472e88ea800afb865086" w:id="7"/>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1,828,964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2,628,711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(799,747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Legal, consulting and audit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588,528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969,883 </w:t>
            </w:r>
            <w:r>
              <w:br/>
            </w:r>
            <w:r>
              <w:rPr>
                <w:rFonts w:ascii="Times New Roman" w:hAnsi="Times New Roman"/>
                <w:b w:val="false"/>
                <w:i w:val="false"/>
                <w:color w:val="000000"/>
                <w:sz w:val="20"/>
              </w:rPr>
              <w:t xml:space="preserv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(381,355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759,952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1,464,011 </w:t>
            </w:r>
            <w:r>
              <w:br/>
            </w:r>
            <w:r>
              <w:rPr>
                <w:rFonts w:ascii="Times New Roman" w:hAnsi="Times New Roman"/>
                <w:b w:val="false"/>
                <w:i w:val="false"/>
                <w:color w:val="000000"/>
                <w:sz w:val="20"/>
              </w:rPr>
              <w:t xml:space="preserve">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(704,059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general and administrative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3,177,444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5,062,605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(1,885,160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7"/>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general and administrative expenses incurred for the three months ended March 31, 2026 decreased by €1.9 million to €3.2 million compared to the three months ended March 31, 2025. This decrease is primarily due to lower personnel expenses, including reduced share-based payment expenses and lower legal and consulting fees.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Other income </w:t>
      </w:r>
    </w:p>
    <w:p>
      <w:pPr>
        <w:spacing w:before="0" w:after="0"/>
        <w:ind w:left="120"/>
        <w:jc w:val="left"/>
      </w:pPr>
      <w:r>
        <w:rPr>
          <w:rFonts w:ascii="Times New Roman" w:hAnsi="Times New Roman"/>
          <w:b w:val="false"/>
          <w:i w:val="false"/>
          <w:color w:val="000000"/>
          <w:sz w:val="20"/>
        </w:rPr>
        <w:t xml:space="preserve">   </w:t>
      </w:r>
    </w:p>
    <w:bookmarkStart w:name="z3889863257674b8186f3982932bf62e2" w:id="8"/>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income from government grants and research allowances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245,055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532,860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(287,805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Further other income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8,238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(5,315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other income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247,978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541,098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(293,120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8"/>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other income for the three months ended March 31, 2026 decreased by €0.3 million compared to the three months ended March 31, 2025 and primarily consists of research allowances under the “Forschungszulagengesetz” (Research Allowance Act) for the three months ended March 31,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Net financial result </w:t>
      </w:r>
    </w:p>
    <w:p>
      <w:pPr>
        <w:spacing w:before="0" w:after="0"/>
        <w:ind w:left="120"/>
        <w:jc w:val="left"/>
      </w:pPr>
      <w:r>
        <w:rPr>
          <w:rFonts w:ascii="Times New Roman" w:hAnsi="Times New Roman"/>
          <w:b w:val="false"/>
          <w:i w:val="false"/>
          <w:color w:val="000000"/>
          <w:sz w:val="20"/>
        </w:rPr>
        <w:t xml:space="preserve">   </w:t>
      </w:r>
    </w:p>
    <w:bookmarkStart w:name="z8c47d6f86a834a899a06ad514abd5d70" w:id="9"/>
    <w:tbl>
      <w:tblPr>
        <w:tblW w:w="0" w:type="auto"/>
        <w:tblCellSpacing w:w="0" w:type="dxa"/>
        <w:tblBorders>
          <w:top w:val="none"/>
          <w:left w:val="none"/>
          <w:bottom w:val="none"/>
          <w:right w:val="none"/>
          <w:insideH w:val="none"/>
          <w:insideV w:val="none"/>
        </w:tblBorders>
      </w:tblPr>
      <w:tblGrid>
        <w:gridCol w:w="8669"/>
        <w:gridCol w:w="136"/>
        <w:gridCol w:w="136"/>
        <w:gridCol w:w="1227"/>
        <w:gridCol w:w="156"/>
        <w:gridCol w:w="136"/>
        <w:gridCol w:w="136"/>
        <w:gridCol w:w="1227"/>
        <w:gridCol w:w="156"/>
        <w:gridCol w:w="136"/>
        <w:gridCol w:w="136"/>
        <w:gridCol w:w="1227"/>
        <w:gridCol w:w="156"/>
      </w:tblGrid>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income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334,768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493,764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(158,996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6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Interest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Interest on lease liabilities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(14,809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(3,643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(11,166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Financial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319,959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489,678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(169,719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income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764,782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1,229,009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(464,227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Foreign exchange expense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(272,400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(3,137,838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2,865,438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Foreign exchange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492,382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(1,908,829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2,401,212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69"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Result from the revaluation of pre-funded warrants at fair value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803,160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6,110,264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(5,307,103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Other financial result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803,160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6,110,264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(5,307,103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85" w:hRule="atLeast"/>
        </w:trPr>
        <w:tc>
          <w:tcPr>
            <w:tcW w:w="8669"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Net financial result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1,615,501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4,691,112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(3,075,611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bookmarkEnd w:id="9"/>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March 31, 2026, our net financial result decreased by €3.1 million to a gain of €1.6 million from a gain of €4.7 million for the three months ended March 31, 2025. This decrease is mainly attributable to the fair value remeasurement of pre-funded warrants issued in February 2025 in the amount of €5.3 million. This is partially offset by a €2.4 million improvement in foreign exchange results due to a short-term weakening of the U.S. dollar.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bookmarkStart w:name="SNWID_5354d4afcd6b4841ad0629e01e8ec20b" w:id="10"/>
      <w:bookmarkEnd w:id="10"/>
      <w:r>
        <w:rPr>
          <w:rFonts w:ascii="Times New Roman" w:hAnsi="Times New Roman"/>
          <w:b/>
          <w:i w:val="false"/>
          <w:color w:val="000000"/>
          <w:sz w:val="20"/>
        </w:rPr>
        <w:t xml:space="preserve">Liquidity and capital resources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Since inception, we have incurred significant operating losses. For the three months ended March 31, 2026, we incurred a net loss of €5.6 million. To date, we have financed our operations primarily through the sale of our securities. As of March 31, 2026, we had cash and cash equivalents in the amount of  €15.0 million and financial assets in the amount of €25.0 million, comprised of marketable securities in the amount of €24.7 million and other financial assets amounting to €0.3 million. Our cash and cash equivalents primarily consist of bank deposit accounts and fixed U.S. dollar term deposits.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r>
        <w:rPr>
          <w:rFonts w:ascii="Times New Roman" w:hAnsi="Times New Roman"/>
          <w:b/>
          <w:i w:val="false"/>
          <w:color w:val="000000"/>
          <w:sz w:val="20"/>
        </w:rPr>
        <w:t xml:space="preserve"> Cash flows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table below summarizes our consolidated statement of cash flows for the three months ended March 31, 2026 and 2025: </w:t>
      </w:r>
    </w:p>
    <w:p>
      <w:pPr>
        <w:spacing w:before="0" w:after="0"/>
        <w:ind w:left="120"/>
        <w:jc w:val="left"/>
      </w:pPr>
      <w:r>
        <w:rPr>
          <w:rFonts w:ascii="Times New Roman" w:hAnsi="Times New Roman"/>
          <w:b w:val="false"/>
          <w:i w:val="false"/>
          <w:color w:val="000000"/>
          <w:sz w:val="20"/>
        </w:rPr>
        <w:t xml:space="preserve">   </w:t>
      </w:r>
    </w:p>
    <w:bookmarkStart w:name="z955d8b6b08ac45129383c6e9ef37de6e" w:id="11"/>
    <w:tbl>
      <w:tblPr>
        <w:tblW w:w="0" w:type="auto"/>
        <w:tblCellSpacing w:w="0" w:type="dxa"/>
        <w:tblBorders>
          <w:top w:val="none"/>
          <w:left w:val="none"/>
          <w:bottom w:val="none"/>
          <w:right w:val="none"/>
          <w:insideH w:val="none"/>
          <w:insideV w:val="none"/>
        </w:tblBorders>
      </w:tblPr>
      <w:tblGrid>
        <w:gridCol w:w="10155"/>
        <w:gridCol w:w="135"/>
        <w:gridCol w:w="135"/>
        <w:gridCol w:w="1269"/>
        <w:gridCol w:w="156"/>
        <w:gridCol w:w="135"/>
        <w:gridCol w:w="135"/>
        <w:gridCol w:w="1358"/>
        <w:gridCol w:w="156"/>
      </w:tblGrid>
      <w:tr>
        <w:trPr>
          <w:trHeight w:val="480" w:hRule="atLeast"/>
        </w:trPr>
        <w:tc>
          <w:tcPr>
            <w:tcW w:w="1015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March 31,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15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15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15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cash used in operating activities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(7,392,345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(14,015,672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1015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cash from/ (used in) investing activities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6,138,480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17,655,632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15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Net cash from/ (used in) financing activities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(74,690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27,009,500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15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and cash equivalents at the beginning of the period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16,022,171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18,375,979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155"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Effect of Exchange gains/ (losses) on cash and cash equivalents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300,176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(1,738,808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10155"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Cash and cash equivalents at the end of the period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14,993,792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47,286,630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11"/>
    <w:p>
      <w:pPr>
        <w:spacing w:before="0" w:after="0"/>
        <w:ind w:left="120"/>
        <w:jc w:val="left"/>
      </w:pPr>
      <w:r>
        <w:rPr>
          <w:rFonts w:ascii="Times New Roman" w:hAnsi="Times New Roman"/>
          <w:b w:val="false"/>
          <w:i w:val="false"/>
          <w:color w:val="000000"/>
          <w:sz w:val="20"/>
        </w:rPr>
        <w:t xml:space="preserve">   </w:t>
      </w:r>
    </w:p>
    <w:bookmarkStart w:name="z14765615c49e4d7087c7c115a5bc9d59" w:id="12"/>
    <w:tbl>
      <w:tblPr>
        <w:tblW w:w="0" w:type="auto"/>
        <w:tblCellSpacing w:w="0" w:type="dxa"/>
        <w:tblBorders>
          <w:top w:val="none"/>
          <w:left w:val="none"/>
          <w:bottom w:val="none"/>
          <w:right w:val="none"/>
          <w:insideH w:val="none"/>
          <w:insideV w:val="none"/>
        </w:tblBorders>
      </w:tblPr>
      <w:tblGrid>
        <w:gridCol w:w="720"/>
        <w:gridCol w:w="480"/>
        <w:gridCol w:w="12434"/>
      </w:tblGrid>
      <w:tr>
        <w:trPr>
          <w:trHeight w:val="210" w:hRule="atLeast"/>
        </w:trPr>
        <w:tc>
          <w:tcPr>
            <w:tcW w:w="72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1.</w:t>
            </w:r>
            <w:r>
              <w:rPr>
                <w:rFonts w:ascii="Times New Roman" w:hAnsi="Times New Roman"/>
                <w:b w:val="false"/>
                <w:i w:val="false"/>
                <w:color w:val="000000"/>
                <w:sz w:val="20"/>
              </w:rPr>
              <w:t xml:space="preserve"> </w:t>
            </w:r>
          </w:p>
        </w:tc>
        <w:tc>
          <w:tcPr>
            <w:tcW w:w="1243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operating activities</w:t>
            </w:r>
            <w:r>
              <w:rPr>
                <w:rFonts w:ascii="Times New Roman" w:hAnsi="Times New Roman"/>
                <w:b w:val="false"/>
                <w:i w:val="false"/>
                <w:color w:val="000000"/>
                <w:sz w:val="20"/>
              </w:rPr>
              <w:t xml:space="preserve"> </w:t>
            </w:r>
          </w:p>
        </w:tc>
      </w:tr>
    </w:tbl>
    <w:bookmarkEnd w:id="1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use of cash in all periods resulted primarily from our net losses, adjusted for non-cash charges and changes in components of working capital. Net cash used in operating activities decreased to €7.4 million in the three months ended March 31, 2026, from €14.0 million in the three months ended March 31, 2025. </w:t>
      </w:r>
    </w:p>
    <w:p>
      <w:pPr>
        <w:spacing w:before="0" w:after="0"/>
        <w:ind w:left="120"/>
        <w:jc w:val="left"/>
      </w:pPr>
      <w:r>
        <w:rPr>
          <w:rFonts w:ascii="Times New Roman" w:hAnsi="Times New Roman"/>
          <w:b w:val="false"/>
          <w:i w:val="false"/>
          <w:color w:val="000000"/>
          <w:sz w:val="20"/>
        </w:rPr>
        <w:t xml:space="preserve">   </w:t>
      </w:r>
    </w:p>
    <w:bookmarkStart w:name="zdb265be41f8e4dfda0a81e19a380a9a6" w:id="13"/>
    <w:tbl>
      <w:tblPr>
        <w:tblW w:w="0" w:type="auto"/>
        <w:tblCellSpacing w:w="0" w:type="dxa"/>
        <w:tblBorders>
          <w:top w:val="none"/>
          <w:left w:val="none"/>
          <w:bottom w:val="none"/>
          <w:right w:val="none"/>
          <w:insideH w:val="none"/>
          <w:insideV w:val="none"/>
        </w:tblBorders>
      </w:tblPr>
      <w:tblGrid>
        <w:gridCol w:w="720"/>
        <w:gridCol w:w="480"/>
        <w:gridCol w:w="12434"/>
      </w:tblGrid>
      <w:tr>
        <w:trPr>
          <w:trHeight w:val="210" w:hRule="atLeast"/>
        </w:trPr>
        <w:tc>
          <w:tcPr>
            <w:tcW w:w="72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2.</w:t>
            </w:r>
            <w:r>
              <w:rPr>
                <w:rFonts w:ascii="Times New Roman" w:hAnsi="Times New Roman"/>
                <w:b w:val="false"/>
                <w:i w:val="false"/>
                <w:color w:val="000000"/>
                <w:sz w:val="20"/>
              </w:rPr>
              <w:t xml:space="preserve"> </w:t>
            </w:r>
          </w:p>
        </w:tc>
        <w:tc>
          <w:tcPr>
            <w:tcW w:w="1243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investing activities</w:t>
            </w:r>
            <w:r>
              <w:rPr>
                <w:rFonts w:ascii="Times New Roman" w:hAnsi="Times New Roman"/>
                <w:b w:val="false"/>
                <w:i w:val="false"/>
                <w:color w:val="000000"/>
                <w:sz w:val="20"/>
              </w:rPr>
              <w:t xml:space="preserve"> </w:t>
            </w:r>
          </w:p>
        </w:tc>
      </w:tr>
    </w:tbl>
    <w:bookmarkEnd w:id="13"/>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Net cash from investing activities decreased by €11.5 million in the three months ended March 31, 2026, mainly due to lower proceeds from maturity of marketable securities in the three months ended March 31, 2026 compared to the three months ended March 31, 2025. </w:t>
      </w:r>
    </w:p>
    <w:p>
      <w:pPr>
        <w:spacing w:before="0" w:after="0"/>
        <w:ind w:left="120"/>
        <w:jc w:val="left"/>
      </w:pPr>
      <w:r>
        <w:rPr>
          <w:rFonts w:ascii="Times New Roman" w:hAnsi="Times New Roman"/>
          <w:b w:val="false"/>
          <w:i w:val="false"/>
          <w:color w:val="000000"/>
          <w:sz w:val="20"/>
        </w:rPr>
        <w:t xml:space="preserve">   </w:t>
      </w:r>
    </w:p>
    <w:bookmarkStart w:name="za8dd2d01b4174560903c88b1d84f6f8a" w:id="14"/>
    <w:tbl>
      <w:tblPr>
        <w:tblW w:w="0" w:type="auto"/>
        <w:tblCellSpacing w:w="0" w:type="dxa"/>
        <w:tblBorders>
          <w:top w:val="none"/>
          <w:left w:val="none"/>
          <w:bottom w:val="none"/>
          <w:right w:val="none"/>
          <w:insideH w:val="none"/>
          <w:insideV w:val="none"/>
        </w:tblBorders>
      </w:tblPr>
      <w:tblGrid>
        <w:gridCol w:w="720"/>
        <w:gridCol w:w="480"/>
        <w:gridCol w:w="12434"/>
      </w:tblGrid>
      <w:tr>
        <w:trPr>
          <w:trHeight w:val="210" w:hRule="atLeast"/>
        </w:trPr>
        <w:tc>
          <w:tcPr>
            <w:tcW w:w="72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3.</w:t>
            </w:r>
            <w:r>
              <w:rPr>
                <w:rFonts w:ascii="Times New Roman" w:hAnsi="Times New Roman"/>
                <w:b w:val="false"/>
                <w:i w:val="false"/>
                <w:color w:val="000000"/>
                <w:sz w:val="20"/>
              </w:rPr>
              <w:t xml:space="preserve"> </w:t>
            </w:r>
          </w:p>
        </w:tc>
        <w:tc>
          <w:tcPr>
            <w:tcW w:w="1243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financing activities</w:t>
            </w:r>
            <w:r>
              <w:rPr>
                <w:rFonts w:ascii="Times New Roman" w:hAnsi="Times New Roman"/>
                <w:b w:val="false"/>
                <w:i w:val="false"/>
                <w:color w:val="000000"/>
                <w:sz w:val="20"/>
              </w:rPr>
              <w:t xml:space="preserve"> </w:t>
            </w:r>
          </w:p>
        </w:tc>
      </w:tr>
    </w:tbl>
    <w:bookmarkEnd w:id="14"/>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Net cash from financing activities decreased by €27.1 million in the three months ended March 31, 2026, compared to the three months ended March 31, 2025, due to a public offering of ordinary shares and pre-funded warrants in the three months ended March 31,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Funding requirements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believe our existing cash and cash equivalents and financial assets will enable us to fund our operating expenses and capital expenditure requirements under our current business plan for at least the next 12 months.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anticipate our expenses will decrease this year with regard to our ongoing activities. In particular, we anticipate significantly reduced sales and marketing efforts for GOHIBIC (vilobelimab) in the United States. We plan to continue required preclinical studies for izicopan and also to conduct a PK bridging study in China.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Beyond our current ongoing activities, we also plan to continue clinical development of izicopan and to initiate Phase 2b clinical trials in HS for which we will need the FDA to accept our clinical trial design and determine the costs for such a clinical trial, with additional clinical activity possible beyond HS, which would require us to secure additional financial resources and which might increase our expenses in the future.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a result, these events and conditions indicate that a material uncertainty exists that may cast significant doubt on the Group’s ability to continue as a going concern and, therefore, the Group may be unable to realize its assets and discharge its liabilities in the normal course of business.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If clinical data is supportive, we may seek marketing approval for any product candidates that we successfully develop. In addition, if we obtain marketing approval for any of our product candidates, we expect to incur significant commercialization expenses related to establishing sales, marketing, distribution and other commercial infrastructure to commercialize such products. Accordingly, we will need to obtain substantial additional funding in connection with our continuing operations. If we are unable to raise capital when needed or on attractive terms, we would be forced to delay, reduce, or eliminate our research and development programs or future commercialization efforts.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Until such time, if ever, that we can generate substantial meaningful product revenues, we expect to finance our cash needs through a combination of equity offerings, debt financings, royalty-based financings, future collaborations, strategic alliances, licensing arrangements and government grants. To the extent that we raise additional capital through the sale of equity or convertible debt securities, the interest of our current shareholders will be diluted, and the terms of these securities may include voting or other rights that adversely affect your rights as an ordinary shareholder. Debt financing, if available, may involve agreements that include covenants limiting or restricting our ability to take specific actions, such as incurring additional debt, making capital expenditures, or declaring dividends. If we raise funds through additional collaborations, strategic alliances or licensing arrangements with third parties, we may have to relinquish rights to our technologies, future revenue streams, research programs or product candidates or to grant licenses on terms that may not be favorable to us. Money received through government grants may require us to provide our product, if approved by regulatory authorities, at unfavorable conditions in such jurisdictions.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color w:val="000000"/>
          <w:sz w:val="20"/>
        </w:rPr>
        <w:t xml:space="preserve"> At-the-market program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June 28, 2024, we entered into a Sales Agreement with Leerink Partners LLC, to sell our ordinary shares from time to time through an at-the-market, or ATM, equity offering program of up to $75.0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did not issue any ordinary shares under the Sales Agreement in the first quarter of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2025, we issued 4,691,149 ordinary shares under the Sales Agreement, resulting in € 6.9 million ($8.0 million) in net proceeds. As of December 31, 2025 and March 31, 2026, the remaining value authorized for sale under the Sales Agreement amounted to $65.7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more information as to the risks associated with our future funding needs, see “ITEM 3. Key Information––Risk factors” in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Off-balance sheet arrangements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March 31, 2026, and during the periods presented, we did not have any off-balance sheet arrangements other than as described under “ITEM 5. Operating and financial review and prospects—off-balance sheet arrangements” in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Contractual obligations and commitments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do not have any, and during the periods presented we did not have any, contractual obligations and commitments other than as described under “ITEM 5. Operating and Financial Review and Prospects—Liquidity and capital resources––Contractual obligations and commitments”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Quantitative and qualitative disclosures about market risk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March 31, 2026, there were no significant changes to our quantitative and qualitative disclosures about market risk from those reported in “ITEM 11. Quantitative and Qualitative Disclosures About Market Risk” in the annual report</w:t>
      </w:r>
      <w:r>
        <w:rPr>
          <w:rFonts w:ascii="Times New Roman" w:hAnsi="Times New Roman"/>
          <w:b/>
          <w:i w:val="false"/>
          <w:color w:val="000000"/>
          <w:sz w:val="20"/>
        </w:rPr>
        <w: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Critical judgments and accounting estimates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There have been no material changes to the significant accounting policies and estimates described in “ITEM 5. Operating and Financial Review and Prospects—Critical judgments and accounting estimates”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Critical accounting estimates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There have been no material changes to the significant accounting policies and estimates described in Note B.2. to our consolidated financial statements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Cautionary statement regarding forward looking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discussion contains forward-looking statements that involve substantial risks and uncertainties. In some cases, you can identify forward-looking statements by terms such as “may,” “will,” “should,” “expect,” “plan,” “anticipate,” “could,” “intend,” “target,” “project,” “estimate,” “believe,” “predict,” “potential” or “continue” or the negative of these terms or other similar expressions intended to identify statements about the future. These statements speak only as of the date of this discussion and involve known and unknown risks, uncertainties and other important factors that may cause our actual results, performance or achievements to be materially different from any future results, performance or achievements expressed or implied by the forward-looking statements. We based these forward-looking statements largely on our current expectations and projections about future events and financial trends that we believe may affect our business, financial condition and results of operations. These forward-looking statements include, without limitation, statements about the following: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success of our future clinical trials for vilobelimab’s treatment of other debilitating or life-threatening inflammatory indications, including ARDS;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potential strategic transactions or collaborations, including a potential partnership of izicopan, or vilobelimab for PG;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success of our future clinical trials for izicopan, and whether such clinical results will reflect results seen in previously conducted preclinical studies and clinical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1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timing, progress and results of preclinical studies and clinical trials of vilobelimab, izicopan and any other product candidates, including for the development of vilobelimab in several indications and other virally induced ARDS, HS and CSU,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interactions with and the receptiveness and approval by regulators regarding the results of clinical trials and potential regulatory approval or authorization pathways, including our BLA submission for GOHIBIC (vilobelimab);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timing and outcome of any discussions or submission of filings for regulatory approval of vilobelimab, izicopan or any other product candidate, and the timing of and our ability to obtain and maintain full regulatory approval and/or market authorization of vilobelimab or izicopan for any indication;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leverage our proprietary anti-C5a and anti-C5aR technologies to discover and develop therapies to treat complement-mediated immunological and inflammatory diseases;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protect, maintain and enforce our intellectual property protection for vilobelimab, izicopan and any other product candidates, and the scope of such protection;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whether the FDA or any comparable foreign regulatory authority will accept or agree with the number, design, size, conduct or implementation of our clinical trials, including any proposed primary or secondary endpoints for such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success of our future clinical trials for vilobelimab, izicopan and any other product candidates and whether such clinical results will reflect results seen in previously conducted preclinical studies and clinical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expectations regarding the size of the patient populations for, the market opportunity for, the medical need for and clinical utility of vilobelimab, izicopan or any other product candidates, if approved or authorized for commercial use;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88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any development candidate in the United States  and Europe;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or authorized, any commercial sales;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if any of our product candidates obtain regulatory approval or authorization, our ability to comply with and satisfy ongoing drug regulatory obligations and continued regulatory overview;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comply with enacted and future legislation in seeking marketing approval or commercialization;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and other therapeutic products being developed in similar medical conditions in which vilobelimab, izicopan or any other of our product candidates is being developed or our industry;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risk factors discussed under the “ITEM 3. Key information––Risk factors” section of our Annual Report on Form 20-F.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Because forward-looking statements are inherently subject to risks and uncertainties, some of which cannot be predicted or quantified and some of which are beyond our control, you should not rely on these forward-looking statements as predictions of future events. The events and circumstances reflected in our forward-looking statements may not be achieved or occur and actual results could differ materially from those projected in the forward-looking statements. You should refer to the “ITEM 3. Key information––Risk factors” section of our Annual Report and risks described in our subsequent SEC filings for a discussion of important factors that may cause our actual results to differ materially from those expressed or implied by our forward-looking statements. Moreover, we operate in an evolving environment. New risk factors and uncertainties may emerge from time to time, and it is not possible for management to predict all risk factors and uncertainties. As a result of these factors, we cannot assure you that the forward-looking statements in this discussion or in our Annual Report will prove to be accurate. Except as required by applicable law, we do not plan to publicly update or revise any forward-looking statements contained herein, whether as a result of any new information, future events, changed circumstances or otherwise. You should, however, review the factors and risks and other information we describe in the reports we will file from time to time with the SEC after the date of this discussion.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