
<file path=[Content_Types].xml><?xml version="1.0" encoding="utf-8"?>
<Types xmlns="http://schemas.openxmlformats.org/package/2006/content-types">
  <Default Extension="jpeg" ContentType="image/jpeg"/>
  <Default Extension="rels" ContentType="application/vnd.openxmlformats-package.relationships+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settings+xml" PartName="/word/settings.xml"/>
  <Override ContentType="application/vnd.openxmlformats-officedocument.wordprocessingml.styles+xml" PartName="/word/styles.xml"/>
</Types>
</file>

<file path=_rels/.rels><?xml version="1.0" encoding="UTF-8" standalone="yes"?>
<Relationships xmlns="http://schemas.openxmlformats.org/package/2006/relationships">
    <Relationship Target="word/document.xml" Type="http://schemas.openxmlformats.org/officeDocument/2006/relationships/officeDocument" Id="rId1"/>
    <Relationship Target="docProps/core.xml" Type="http://schemas.openxmlformats.org/package/2006/relationships/metadata/core-properties" Id="rId2"/>
    <Relationship Target="docProps/app.xml" Type="http://schemas.openxmlformats.org/officeDocument/2006/relationships/extended-properties" Id="rId3"/>
</Relationships>

</file>

<file path=word/document.xml><?xml version="1.0" encoding="utf-8"?>
<w:document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body>
    <!-- Created by docx4j 8.2.9 (Apache licensed) using REFERENCE JAXB in Red Hat, Inc. Java 17.0.18 on Linux -->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6-K </w:t>
      </w:r>
      <w:r>
        <w:rPr>
          <w:rFonts w:ascii="Times New Roman" w:hAnsi="Times New Roman"/>
          <w:b w:val="false"/>
          <w:i w:val="false"/>
          <w:color w:val="000000"/>
          <w:sz w:val="20"/>
        </w:rPr>
        <w:t xml:space="preserve">1 </w:t>
      </w:r>
      <w:r>
        <w:rPr>
          <w:rFonts w:ascii="Times New Roman" w:hAnsi="Times New Roman"/>
          <w:b w:val="false"/>
          <w:i w:val="false"/>
          <w:color w:val="000000"/>
          <w:sz w:val="20"/>
        </w:rPr>
        <w:t xml:space="preserve">ef20071644_6k.htm </w:t>
      </w:r>
      <w:r>
        <w:rPr>
          <w:rFonts w:ascii="Times New Roman" w:hAnsi="Times New Roman"/>
          <w:b w:val="false"/>
          <w:i w:val="false"/>
          <w:color w:val="000000"/>
          <w:sz w:val="20"/>
        </w:rPr>
        <w:t xml:space="preserve">6-K </w:t>
      </w:r>
    </w:p>
    <w:p>
      <w:r>
        <w:pict>
          <v:rect style="width:0;height:1.5pt" id="_x0000_i1025" o:hr="t" o:hrstd="t" o:hralign="center" stroked="f" fillcolor="#a0a0a0"/>
        </w:pict>
      </w:r>
    </w:p>
    <w:p>
      <w:pPr>
        <w:spacing w:before="0" w:after="0"/>
        <w:ind w:left="120"/>
        <w:jc w:val="left"/>
      </w:pPr>
    </w:p>
    <w:p>
      <w:pPr>
        <w:spacing w:before="0" w:after="0"/>
        <w:ind w:left="120"/>
        <w:jc w:val="center"/>
      </w:pPr>
      <w:r>
        <w:rPr>
          <w:rFonts w:ascii="Times New Roman" w:hAnsi="Times New Roman"/>
          <w:b/>
          <w:i w:val="false"/>
          <w:color w:val="000000"/>
          <w:sz w:val="20"/>
        </w:rPr>
        <w:t xml:space="preserve"> </w:t>
      </w:r>
      <w:bookmarkStart w:name="z_Hlk202437913" w:id="0"/>
      <w:bookmarkEnd w:id="0"/>
      <w:r>
        <w:rPr>
          <w:rFonts w:ascii="Times New Roman" w:hAnsi="Times New Roman"/>
          <w:b/>
          <w:i w:val="false"/>
          <w:color w:val="000000"/>
          <w:sz w:val="28"/>
        </w:rPr>
        <w:t>UNITED STATES</w:t>
      </w:r>
      <w:r>
        <w:rPr>
          <w:rFonts w:ascii="Times New Roman" w:hAnsi="Times New Roman"/>
          <w:b/>
          <w:i w:val="false"/>
          <w:color w:val="000000"/>
          <w:sz w:val="20"/>
        </w:rPr>
        <w:t xml:space="preserve"> </w:t>
      </w:r>
    </w:p>
    <w:p>
      <w:pPr>
        <w:spacing w:before="0" w:after="0"/>
        <w:ind w:left="120"/>
        <w:jc w:val="center"/>
      </w:pPr>
      <w:r>
        <w:rPr>
          <w:rFonts w:ascii="Times New Roman" w:hAnsi="Times New Roman"/>
          <w:b/>
          <w:i w:val="false"/>
          <w:color w:val="000000"/>
          <w:sz w:val="28"/>
        </w:rPr>
        <w:t xml:space="preserve"> SECURITIES AND EXCHANGE COMMISSION </w:t>
      </w:r>
    </w:p>
    <w:p>
      <w:pPr>
        <w:spacing w:before="0" w:after="0"/>
        <w:ind w:left="120"/>
        <w:jc w:val="center"/>
      </w:pPr>
      <w:r>
        <w:rPr>
          <w:rFonts w:ascii="Times New Roman" w:hAnsi="Times New Roman"/>
          <w:b w:val="false"/>
          <w:i w:val="false"/>
          <w:color w:val="000000"/>
          <w:sz w:val="24"/>
        </w:rPr>
        <w:t xml:space="preserve"> Washington, D.C. 20549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36"/>
        </w:rPr>
        <w:t xml:space="preserve"> FORM 6-K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Report of Foreign Private </w:t>
      </w:r>
    </w:p>
    <w:p>
      <w:pPr>
        <w:spacing w:before="0" w:after="0"/>
        <w:ind w:left="120"/>
        <w:jc w:val="center"/>
      </w:pPr>
      <w:r>
        <w:rPr>
          <w:rFonts w:ascii="Times New Roman" w:hAnsi="Times New Roman"/>
          <w:b/>
          <w:i w:val="false"/>
          <w:color w:val="000000"/>
          <w:sz w:val="20"/>
        </w:rPr>
        <w:t xml:space="preserve"> Issuer Pursuant to Rule </w:t>
      </w:r>
    </w:p>
    <w:p>
      <w:pPr>
        <w:spacing w:before="0" w:after="0"/>
        <w:ind w:left="120"/>
        <w:jc w:val="center"/>
      </w:pPr>
      <w:r>
        <w:rPr>
          <w:rFonts w:ascii="Times New Roman" w:hAnsi="Times New Roman"/>
          <w:b/>
          <w:i w:val="false"/>
          <w:color w:val="000000"/>
          <w:sz w:val="20"/>
        </w:rPr>
        <w:t xml:space="preserve"> 13a-16 or 15d-16 under the </w:t>
      </w:r>
    </w:p>
    <w:p>
      <w:pPr>
        <w:spacing w:before="0" w:after="0"/>
        <w:ind w:left="120"/>
        <w:jc w:val="center"/>
      </w:pPr>
      <w:r>
        <w:rPr>
          <w:rFonts w:ascii="Times New Roman" w:hAnsi="Times New Roman"/>
          <w:b/>
          <w:i w:val="false"/>
          <w:color w:val="000000"/>
          <w:sz w:val="20"/>
        </w:rPr>
        <w:t xml:space="preserve"> Securities Exchange Act </w:t>
      </w:r>
    </w:p>
    <w:p>
      <w:pPr>
        <w:spacing w:before="0" w:after="0"/>
        <w:ind w:left="120"/>
        <w:jc w:val="center"/>
      </w:pPr>
      <w:r>
        <w:rPr>
          <w:rFonts w:ascii="Times New Roman" w:hAnsi="Times New Roman"/>
          <w:b/>
          <w:i w:val="false"/>
          <w:color w:val="000000"/>
          <w:sz w:val="20"/>
        </w:rPr>
        <w:t xml:space="preserve"> of 1934 </w:t>
      </w:r>
    </w:p>
    <w:p>
      <w:pPr>
        <w:spacing w:before="0" w:after="0"/>
        <w:ind w:left="120"/>
        <w:jc w:val="center"/>
      </w:pPr>
      <w:r>
        <w:rPr>
          <w:rFonts w:ascii="Times New Roman" w:hAnsi="Times New Roman"/>
          <w:b/>
          <w:i w:val="false"/>
          <w:color w:val="000000"/>
          <w:sz w:val="20"/>
        </w:rPr>
        <w:t xml:space="preserve"> For the month of April 2026 </w:t>
      </w:r>
    </w:p>
    <w:p>
      <w:pPr>
        <w:spacing w:before="0" w:after="0"/>
        <w:ind w:left="120"/>
        <w:jc w:val="center"/>
      </w:pPr>
      <w:r>
        <w:rPr>
          <w:rFonts w:ascii="Times New Roman" w:hAnsi="Times New Roman"/>
          <w:b w:val="false"/>
          <w:i w:val="false"/>
          <w:color w:val="000000"/>
          <w:sz w:val="20"/>
        </w:rPr>
        <w:t xml:space="preserve"> Commission File </w:t>
      </w:r>
    </w:p>
    <w:p>
      <w:pPr>
        <w:spacing w:before="0" w:after="0"/>
        <w:ind w:left="120"/>
        <w:jc w:val="center"/>
      </w:pPr>
      <w:r>
        <w:rPr>
          <w:rFonts w:ascii="Times New Roman" w:hAnsi="Times New Roman"/>
          <w:b w:val="false"/>
          <w:i w:val="false"/>
          <w:color w:val="000000"/>
          <w:sz w:val="20"/>
        </w:rPr>
        <w:t xml:space="preserve"> Number: 001-38283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48"/>
        </w:rPr>
        <w:t xml:space="preserve"> InflaRx N.V.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Winzerlaer Str. 2 </w:t>
      </w:r>
    </w:p>
    <w:p>
      <w:pPr>
        <w:spacing w:before="0" w:after="0"/>
        <w:ind w:left="120"/>
        <w:jc w:val="center"/>
      </w:pPr>
      <w:r>
        <w:rPr>
          <w:rFonts w:ascii="Times New Roman" w:hAnsi="Times New Roman"/>
          <w:b/>
          <w:i w:val="false"/>
          <w:color w:val="000000"/>
          <w:sz w:val="20"/>
        </w:rPr>
        <w:t xml:space="preserve"> 07745 Jena, </w:t>
      </w:r>
    </w:p>
    <w:p>
      <w:pPr>
        <w:spacing w:before="0" w:after="0"/>
        <w:ind w:left="120"/>
        <w:jc w:val="center"/>
      </w:pPr>
      <w:r>
        <w:rPr>
          <w:rFonts w:ascii="Times New Roman" w:hAnsi="Times New Roman"/>
          <w:b/>
          <w:i w:val="false"/>
          <w:color w:val="000000"/>
          <w:sz w:val="20"/>
        </w:rPr>
        <w:t xml:space="preserve"> Germany </w:t>
      </w:r>
    </w:p>
    <w:p>
      <w:pPr>
        <w:spacing w:before="0" w:after="0"/>
        <w:ind w:left="120"/>
        <w:jc w:val="center"/>
      </w:pPr>
      <w:r>
        <w:rPr>
          <w:rFonts w:ascii="Times New Roman" w:hAnsi="Times New Roman"/>
          <w:b/>
          <w:i w:val="false"/>
          <w:color w:val="000000"/>
          <w:sz w:val="20"/>
        </w:rPr>
        <w:t xml:space="preserve"> (+49) 3641508180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(Address of principal executive offices)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Indicate by check mark whether the registrant files or will file annual reports under cover of Form 20-F or Form 40-F.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Form 20-F ☒ Form 40-F  ☐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EXPLANATORY NOTE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As previously disclosed, on March 11, 2026, InflaRx N.V. (the “Company”) was notified by the Listing Qualifications Department of The Nasdaq Stock Market LLC (“Nasdaq”) that the closing bid price per share for the Company’s ordinary shares was below $1.00 for a period of thirty (30) consecutive business days and that the Company was not in compliance with the minimum bid price requirement set forth in Nasdaq Listing Rule 5450(a)(1) (the “Minimum Bid Price Requirement”).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Pursuant to Nasdaq Listing Rule 5810(c)(3)(A), the Company had been provided with an initial compliance period of 180 calendar days, or until September 7, 2026, to regain compliance with the Minimum Bid Price Requirement.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On April 27, 2026, Nasdaq provided confirmation to the Company that for 10 consecutive business days, from April 13, 2026 to April 24, 2026, the closing bid price of the Company’s ordinary shares has been at $1.00 per share or greater. Accordingly, the Company has regained compliance with Nasdaq Listing Rule 5450(a)(1) and the matter is now closed.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This report on Form 6-K (the “Report”) shall be deemed to be incorporated by reference into (i) the registration statements on Form S-8 (File No. 333-221656 and 333-240185) and (ii) the registration statement on Form F-3 (File No. 333-273058) of the Company and to be a part thereof from the date on which this Report is submitted, to the extent not superseded by documents or reports subsequently filed or furnished.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A copy of the press release is attached as Exhibit 99.1 to this Report. Exhibit 99.1 shall not be deemed “filed” for purposes of Section 18 of the Securities Exchange Act of 1934, as amended (the “Exchange Act”), or otherwise subject to the liabilities of that section, nor shall it be deemed incorporated by reference in any filing under the Securities Act of 1933, as amended, or the Exchange Act.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EXHIBIT INDEX </w:t>
      </w:r>
    </w:p>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5e627583c8d44cbaa0653710af1b584e" w:id="1"/>
    <w:tbl>
      <w:tblPr>
        <w:tblW w:w="0" w:type="auto"/>
        <w:tblCellSpacing w:w="0" w:type="auto"/>
        <w:tblBorders>
          <w:top w:val="none"/>
          <w:left w:val="none"/>
          <w:bottom w:val="none"/>
          <w:right w:val="none"/>
          <w:insideH w:val="none"/>
          <w:insideV w:val="none"/>
        </w:tblBorders>
      </w:tblPr>
      <w:tblGrid>
        <w:gridCol w:w="2046"/>
        <w:gridCol w:w="136"/>
        <w:gridCol w:w="11452"/>
      </w:tblGrid>
      <w:tr>
        <w:trPr>
          <w:trHeight w:val="225" w:hRule="atLeast"/>
        </w:trPr>
        <w:tc>
          <w:tcPr>
            <w:tcW w:w="2046" w:type="dxa"/>
            <w:tcBorders>
              <w:bottom w:val="single" w:color="000000" w:sz="16"/>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Exhibit No. </w:t>
            </w:r>
          </w:p>
        </w:tc>
        <w:tc>
          <w:tcPr>
            <w:tcW w:w="13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1452" w:type="dxa"/>
            <w:tcBorders>
              <w:bottom w:val="single" w:color="000000" w:sz="16"/>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Description </w:t>
            </w:r>
          </w:p>
        </w:tc>
      </w:tr>
      <w:tr>
        <w:trPr>
          <w:trHeight w:val="240" w:hRule="atLeast"/>
        </w:trPr>
        <w:tc>
          <w:tcPr>
            <w:tcW w:w="2046"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99.1</w:t>
            </w:r>
            <w:r>
              <w:rPr>
                <w:rFonts w:ascii="Times New Roman" w:hAnsi="Times New Roman"/>
                <w:b w:val="false"/>
                <w:i w:val="false"/>
                <w:color w:val="000000"/>
                <w:sz w:val="20"/>
              </w:rPr>
              <w:t xml:space="preserve"> </w:t>
            </w:r>
          </w:p>
        </w:tc>
        <w:tc>
          <w:tcPr>
            <w:tcW w:w="136"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1452"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Press Release, dated April 28, 2026 </w:t>
            </w:r>
          </w:p>
        </w:tc>
      </w:tr>
    </w:tbl>
    <w:bookmarkEnd w:id="1"/>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i w:val="false"/>
          <w:color w:val="000000"/>
          <w:sz w:val="20"/>
        </w:rPr>
        <w:t>SIGNATURES</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Pursuant to the requirements of the Securities Exchange Act of 1934, the registrant has duly caused this report to be signed on its behalf by the undersigned, thereunto duly authorized.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cd4b2696eb1a431e96dd9bd5634e18e5" w:id="2"/>
    <w:tbl>
      <w:tblPr>
        <w:tblW w:w="0" w:type="auto"/>
        <w:tblCellSpacing w:w="0" w:type="auto"/>
        <w:tblBorders>
          <w:top w:val="none"/>
          <w:left w:val="none"/>
          <w:bottom w:val="none"/>
          <w:right w:val="none"/>
          <w:insideH w:val="none"/>
          <w:insideV w:val="none"/>
        </w:tblBorders>
      </w:tblPr>
      <w:tblGrid>
        <w:gridCol w:w="6818"/>
        <w:gridCol w:w="1363"/>
        <w:gridCol w:w="5453"/>
      </w:tblGrid>
      <w:tr>
        <w:trPr>
          <w:trHeight w:val="225" w:hRule="atLeast"/>
        </w:trPr>
        <w:tc>
          <w:tcPr>
            <w:tcW w:w="6818" w:type="dxa"/>
            <w:tcBorders/>
            <w:tcMar>
              <w:top w:w="15" w:type="dxa"/>
              <w:left w:w="15" w:type="dxa"/>
              <w:bottom w:w="15" w:type="dxa"/>
              <w:right w:w="15" w:type="dxa"/>
            </w:tcMar>
            <w:vAlign w:val="top"/>
          </w:tcPr>
          <w:p>
            <w:pPr>
              <w:spacing w:before="0" w:after="0"/>
              <w:ind w:left="0"/>
              <w:jc w:val="left"/>
            </w:pPr>
            <w:r>
              <w:br/>
            </w:r>
          </w:p>
        </w:tc>
        <w:tc>
          <w:tcPr>
            <w:tcW w:w="0" w:type="auto"/>
            <w:gridSpan w:val="2"/>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INFLARX N.V. </w:t>
            </w:r>
          </w:p>
        </w:tc>
      </w:tr>
      <w:tr>
        <w:trPr>
          <w:trHeight w:val="210" w:hRule="atLeast"/>
        </w:trPr>
        <w:tc>
          <w:tcPr>
            <w:tcW w:w="6818" w:type="dxa"/>
            <w:tcBorders/>
            <w:tcMar>
              <w:top w:w="15" w:type="dxa"/>
              <w:left w:w="15" w:type="dxa"/>
              <w:bottom w:w="15" w:type="dxa"/>
              <w:right w:w="15" w:type="dxa"/>
            </w:tcMar>
            <w:vAlign w:val="top"/>
          </w:tcPr>
          <w:p>
            <w:pPr>
              <w:spacing w:before="0" w:after="0"/>
              <w:ind w:left="0"/>
              <w:jc w:val="left"/>
            </w:pPr>
            <w:r>
              <w:br/>
            </w:r>
          </w:p>
        </w:tc>
        <w:tc>
          <w:tcPr>
            <w:tcW w:w="0" w:type="auto"/>
            <w:gridSpan w:val="2"/>
            <w:tcBorders/>
            <w:tcMar>
              <w:top w:w="15" w:type="dxa"/>
              <w:left w:w="15" w:type="dxa"/>
              <w:bottom w:w="15" w:type="dxa"/>
              <w:right w:w="15" w:type="dxa"/>
            </w:tcMar>
            <w:vAlign w:val="top"/>
          </w:tcPr>
          <w:p>
            <w:pPr>
              <w:spacing w:before="0" w:after="0"/>
              <w:ind w:left="0"/>
              <w:jc w:val="left"/>
            </w:pPr>
            <w:r>
              <w:br/>
            </w:r>
          </w:p>
        </w:tc>
      </w:tr>
      <w:tr>
        <w:trPr>
          <w:trHeight w:val="225" w:hRule="atLeast"/>
        </w:trPr>
        <w:tc>
          <w:tcPr>
            <w:tcW w:w="6818"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Date: April 28, 2026 </w:t>
            </w:r>
          </w:p>
        </w:tc>
        <w:tc>
          <w:tcPr>
            <w:tcW w:w="1363" w:type="dxa"/>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By: </w:t>
            </w:r>
          </w:p>
        </w:tc>
        <w:tc>
          <w:tcPr>
            <w:tcW w:w="5453" w:type="dxa"/>
            <w:tcBorders>
              <w:bottom w:val="single" w:color="000000" w:sz="16"/>
            </w:tcBorders>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/s/ Niels Riedemann </w:t>
            </w:r>
          </w:p>
        </w:tc>
      </w:tr>
      <w:tr>
        <w:trPr>
          <w:trHeight w:val="225" w:hRule="atLeast"/>
        </w:trPr>
        <w:tc>
          <w:tcPr>
            <w:tcW w:w="6818" w:type="dxa"/>
            <w:tcBorders/>
            <w:tcMar>
              <w:top w:w="15" w:type="dxa"/>
              <w:left w:w="15" w:type="dxa"/>
              <w:bottom w:w="15" w:type="dxa"/>
              <w:right w:w="15" w:type="dxa"/>
            </w:tcMar>
            <w:vAlign w:val="top"/>
          </w:tcPr>
          <w:p>
            <w:pPr>
              <w:spacing w:before="0" w:after="0"/>
              <w:ind w:left="0"/>
              <w:jc w:val="left"/>
            </w:pPr>
            <w:r>
              <w:br/>
            </w:r>
          </w:p>
        </w:tc>
        <w:tc>
          <w:tcPr>
            <w:tcW w:w="1363"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Name: </w:t>
            </w:r>
          </w:p>
        </w:tc>
        <w:tc>
          <w:tcPr>
            <w:tcW w:w="5453"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Niels Riedemann </w:t>
            </w:r>
          </w:p>
        </w:tc>
      </w:tr>
      <w:tr>
        <w:trPr>
          <w:trHeight w:val="210" w:hRule="atLeast"/>
        </w:trPr>
        <w:tc>
          <w:tcPr>
            <w:tcW w:w="6818" w:type="dxa"/>
            <w:tcBorders/>
            <w:tcMar>
              <w:top w:w="15" w:type="dxa"/>
              <w:left w:w="15" w:type="dxa"/>
              <w:bottom w:w="15" w:type="dxa"/>
              <w:right w:w="15" w:type="dxa"/>
            </w:tcMar>
            <w:vAlign w:val="top"/>
          </w:tcPr>
          <w:p>
            <w:pPr>
              <w:spacing w:before="0" w:after="0"/>
              <w:ind w:left="0"/>
              <w:jc w:val="left"/>
            </w:pPr>
            <w:r>
              <w:br/>
            </w:r>
          </w:p>
        </w:tc>
        <w:tc>
          <w:tcPr>
            <w:tcW w:w="1363"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Title: </w:t>
            </w:r>
          </w:p>
        </w:tc>
        <w:tc>
          <w:tcPr>
            <w:tcW w:w="5453"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Chief Executive Officer </w:t>
            </w:r>
          </w:p>
        </w:tc>
      </w:tr>
    </w:tbl>
    <w:bookmarkEnd w:id="2"/>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br w:type="page"/>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EX-99.1 </w:t>
      </w:r>
      <w:r>
        <w:rPr>
          <w:rFonts w:ascii="Times New Roman" w:hAnsi="Times New Roman"/>
          <w:b w:val="false"/>
          <w:i w:val="false"/>
          <w:color w:val="000000"/>
          <w:sz w:val="20"/>
        </w:rPr>
        <w:t xml:space="preserve">2 </w:t>
      </w:r>
      <w:r>
        <w:rPr>
          <w:rFonts w:ascii="Times New Roman" w:hAnsi="Times New Roman"/>
          <w:b w:val="false"/>
          <w:i w:val="false"/>
          <w:color w:val="000000"/>
          <w:sz w:val="20"/>
        </w:rPr>
        <w:t xml:space="preserve">ef20071644_ex99-1.htm </w:t>
      </w:r>
      <w:r>
        <w:rPr>
          <w:rFonts w:ascii="Times New Roman" w:hAnsi="Times New Roman"/>
          <w:b w:val="false"/>
          <w:i w:val="false"/>
          <w:color w:val="000000"/>
          <w:sz w:val="20"/>
        </w:rPr>
        <w:t xml:space="preserve">EXHIBIT 99.1 </w:t>
      </w:r>
    </w:p>
    <w:p>
      <w:r>
        <w:pict>
          <v:rect style="width:0;height:1.5pt" id="_x0000_i1025" o:hr="t" o:hrstd="t" o:hralign="center" stroked="f" fillcolor="#a0a0a0"/>
        </w:pict>
      </w:r>
    </w:p>
    <w:p>
      <w:pPr>
        <w:spacing w:before="0" w:after="0"/>
        <w:ind w:left="120"/>
        <w:jc w:val="left"/>
      </w:pPr>
    </w:p>
    <w:p>
      <w:pPr>
        <w:spacing w:before="0" w:after="0"/>
        <w:ind w:left="120"/>
        <w:jc w:val="right"/>
      </w:pPr>
      <w:r>
        <w:rPr>
          <w:rFonts w:ascii="Times New Roman" w:hAnsi="Times New Roman"/>
          <w:b w:val="false"/>
          <w:i w:val="false"/>
          <w:color w:val="000000"/>
          <w:sz w:val="20"/>
        </w:rPr>
        <w:t xml:space="preserve"> </w:t>
      </w:r>
      <w:r>
        <w:rPr>
          <w:rFonts w:ascii="Times New Roman" w:hAnsi="Times New Roman"/>
          <w:b/>
          <w:i w:val="false"/>
          <w:color w:val="000000"/>
          <w:sz w:val="20"/>
        </w:rPr>
        <w:t>Exhibit 99.1</w:t>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center"/>
      </w:pPr>
    </w:p>
    <w:p>
      <w:pPr>
        <w:spacing w:before="0" w:after="0"/>
        <w:ind w:left="120"/>
        <w:jc w:val="left"/>
      </w:pPr>
      <w:r>
        <w:rPr>
          <w:rFonts w:ascii="Times New Roman" w:hAnsi="Times New Roman"/>
          <w:b w:val="false"/>
          <w:i w:val="false"/>
          <w:color w:val="000000"/>
          <w:sz w:val="20"/>
        </w:rPr>
        <w:t xml:space="preserve"> </w:t>
      </w:r>
      <w:r>
        <w:drawing>
          <wp:inline distT="0" distB="0" distL="0" distR="0">
            <wp:extent cx="1543050" cy="533400"/>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
                    <a:stretch>
                      <a:fillRect/>
                    </a:stretch>
                  </pic:blipFill>
                  <pic:spPr>
                    <a:xfrm>
                      <a:off x="0" y="0"/>
                      <a:ext cx="1543050" cy="533400"/>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InflaRx Regains Compliance with Nasdaq Minimum Bid Price Requirement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 xml:space="preserve">Jena, Germany, April 28, 2026 </w:t>
      </w:r>
      <w:r>
        <w:rPr>
          <w:rFonts w:ascii="Times New Roman" w:hAnsi="Times New Roman"/>
          <w:b w:val="false"/>
          <w:i w:val="false"/>
          <w:color w:val="000000"/>
          <w:sz w:val="20"/>
        </w:rPr>
        <w:t xml:space="preserve">– InflaRx N.V. (Nasdaq: IFRX), a biopharmaceutical company pioneering anti-inflammatory therapeutics by targeting the complement system (the “Company”), today announced that it has received a written notice (the “Notice”), dated April 27, 2026, from the Listing Qualifications Department of The Nasdaq Stock Market LLC (“Nasdaq”) informing the Company that it has regained compliance with Nasdaq’s minimum bid price requirement set forth under Nasdaq Listing Rule 5450(a)(1) (the “Minimum Bid Price Requirement”).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According to the Notice, the Company regained compliance with the Minimum Bid Price Requirement because the closing bid price of the Company’s ordinary shares has been $1.00 per share or greater for 10 consecutive business days, from April 13, 2026 to April 24, 2026, and the matter is now closed.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both"/>
      </w:pPr>
      <w:r>
        <w:rPr>
          <w:rFonts w:ascii="Times New Roman" w:hAnsi="Times New Roman"/>
          <w:b/>
          <w:i/>
          <w:color w:val="000000"/>
          <w:sz w:val="20"/>
        </w:rPr>
        <w:t xml:space="preserve"> </w:t>
      </w:r>
      <w:r>
        <w:drawing>
          <wp:inline distT="0" distB="0" distL="0" distR="0">
            <wp:extent cx="1543050" cy="533400"/>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
                    <a:stretch>
                      <a:fillRect/>
                    </a:stretch>
                  </pic:blipFill>
                  <pic:spPr>
                    <a:xfrm>
                      <a:off x="0" y="0"/>
                      <a:ext cx="1543050" cy="533400"/>
                    </a:xfrm>
                    <a:prstGeom prst="rect">
                      <a:avLst/>
                    </a:prstGeom>
                  </pic:spPr>
                </pic:pic>
              </a:graphicData>
            </a:graphic>
          </wp:inline>
        </w:drawing>
      </w:r>
      <w:r>
        <w:rPr>
          <w:rFonts w:ascii="Times New Roman" w:hAnsi="Times New Roman"/>
          <w:b/>
          <w:i/>
          <w:color w:val="000000"/>
          <w:sz w:val="20"/>
        </w:rPr>
        <w:t xml:space="preserve"> </w:t>
      </w:r>
    </w:p>
    <w:p>
      <w:pPr>
        <w:spacing w:before="0" w:after="0"/>
        <w:ind w:left="120"/>
        <w:jc w:val="both"/>
      </w:pPr>
      <w:bookmarkStart w:name="z_Hlk138704591" w:id="0"/>
      <w:bookmarkEnd w:id="0"/>
    </w:p>
    <w:p>
      <w:pPr>
        <w:spacing w:before="0" w:after="0"/>
        <w:ind w:left="120"/>
        <w:jc w:val="both"/>
      </w:pPr>
      <w:r>
        <w:rPr>
          <w:rFonts w:ascii="Times New Roman" w:hAnsi="Times New Roman"/>
          <w:b/>
          <w:i/>
          <w:color w:val="000000"/>
          <w:sz w:val="20"/>
        </w:rPr>
        <w:t xml:space="preserve"> About InflaRx N.V.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InflaRx (Nasdaq: IFRX) is a biopharmaceutical company pioneering anti-inflammatory therapeutics by applying its proprietary anti-C5a and anti-C5aR technologies to discover, develop and commercialize highly potent and specific inhibitors of the complement activation factor C5a and its receptor, C5aR. C5a is a powerful inflammatory mediator involved in the progression of a wide variety of inflammatory diseases. InflaRx‘s lead program is izicopan, an orally administered small molecule inhibitor of C5a-induced signaling via the C5a receptor, which has shown promising PK/PD characteristics as well as therapeutic potential in Phase 1 and Phase 2a clinical studies. The Company is developing izicopan for the treatment of several inflammatory diseases, including hidradenitis suppurativa. InflaRx also has developed vilobelimab, a novel, intravenously delivered, first-in-class, anti-C5a monoclonal antibody that selectively binds to free C5a and has demonstrated disease-modifying clinical activity and tolerability in multiple clinical studies.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InflaRx was founded in 2007, and the group has offices and subsidiaries in Jena and Munich, Germany, as well as Ann Arbor, MI, USA. For further information, please visit www.inflarx.de. InflaRx GmbH (Germany) and InflaRx Pharmaceuticals Inc. (USA) are wholly owned subsidiaries of InflaRx N.V. (together, InflaRx).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color w:val="000000"/>
          <w:sz w:val="20"/>
        </w:rPr>
        <w:t xml:space="preserve"> Contacts: </w:t>
      </w:r>
    </w:p>
    <w:p>
      <w:pPr>
        <w:spacing w:before="0" w:after="0"/>
        <w:ind w:left="120"/>
        <w:jc w:val="left"/>
      </w:pPr>
      <w:r>
        <w:rPr>
          <w:rFonts w:ascii="Times New Roman" w:hAnsi="Times New Roman"/>
          <w:b w:val="false"/>
          <w:i w:val="false"/>
          <w:color w:val="000000"/>
          <w:sz w:val="20"/>
        </w:rPr>
        <w:t xml:space="preserve">   </w:t>
      </w:r>
    </w:p>
    <w:bookmarkStart w:name="z2c35bcc806b44b89a33e99258336aa59" w:id="1"/>
    <w:tbl>
      <w:tblPr>
        <w:tblW w:w="0" w:type="auto"/>
        <w:tblCellSpacing w:w="0" w:type="auto"/>
        <w:tblBorders>
          <w:top w:val="none"/>
          <w:left w:val="none"/>
          <w:bottom w:val="none"/>
          <w:right w:val="none"/>
          <w:insideH w:val="none"/>
          <w:insideV w:val="none"/>
        </w:tblBorders>
      </w:tblPr>
      <w:tblGrid>
        <w:gridCol w:w="6817"/>
        <w:gridCol w:w="6817"/>
      </w:tblGrid>
      <w:tr>
        <w:trPr>
          <w:trHeight w:val="225" w:hRule="atLeast"/>
        </w:trPr>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i w:val="false"/>
                <w:color w:val="000000"/>
                <w:sz w:val="20"/>
              </w:rPr>
              <w:t xml:space="preserve"> InflaRx N.V. </w:t>
            </w:r>
          </w:p>
        </w:tc>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i w:val="false"/>
                <w:color w:val="000000"/>
                <w:sz w:val="20"/>
              </w:rPr>
              <w:t xml:space="preserve"> MC Services AG </w:t>
            </w:r>
          </w:p>
        </w:tc>
      </w:tr>
      <w:tr>
        <w:trPr>
          <w:trHeight w:val="885" w:hRule="atLeast"/>
        </w:trPr>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Jan Medina, CFA </w:t>
            </w:r>
          </w:p>
          <w:p>
            <w:pPr>
              <w:spacing w:before="0" w:after="0"/>
              <w:ind w:left="120"/>
              <w:jc w:val="both"/>
            </w:pPr>
            <w:r>
              <w:rPr>
                <w:rFonts w:ascii="Times New Roman" w:hAnsi="Times New Roman"/>
                <w:b w:val="false"/>
                <w:i w:val="false"/>
                <w:color w:val="000000"/>
                <w:sz w:val="20"/>
              </w:rPr>
              <w:t xml:space="preserve"> Vice President, Head of Investor Relations </w:t>
            </w:r>
          </w:p>
          <w:p>
            <w:pPr>
              <w:spacing w:before="0" w:after="0"/>
              <w:ind w:left="120"/>
              <w:jc w:val="both"/>
            </w:pPr>
            <w:r>
              <w:rPr>
                <w:rFonts w:ascii="Times New Roman" w:hAnsi="Times New Roman"/>
                <w:b w:val="false"/>
                <w:i w:val="false"/>
                <w:color w:val="000000"/>
                <w:sz w:val="20"/>
              </w:rPr>
              <w:t xml:space="preserve"> Email: IR@inflarx.de </w:t>
            </w:r>
          </w:p>
        </w:tc>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Katja Arnold, Laurie Doyle, Dr. Regina Lutz </w:t>
            </w:r>
          </w:p>
          <w:p>
            <w:pPr>
              <w:spacing w:before="0" w:after="0"/>
              <w:ind w:left="120"/>
              <w:jc w:val="both"/>
            </w:pPr>
            <w:r>
              <w:rPr>
                <w:rFonts w:ascii="Times New Roman" w:hAnsi="Times New Roman"/>
                <w:b w:val="false"/>
                <w:i w:val="false"/>
                <w:color w:val="000000"/>
                <w:sz w:val="20"/>
              </w:rPr>
              <w:t xml:space="preserve"> Email: inflarx@mc-services.eu </w:t>
            </w:r>
          </w:p>
          <w:p>
            <w:pPr>
              <w:spacing w:before="0" w:after="0"/>
              <w:ind w:left="120"/>
              <w:jc w:val="both"/>
            </w:pPr>
            <w:r>
              <w:rPr>
                <w:rFonts w:ascii="Times New Roman" w:hAnsi="Times New Roman"/>
                <w:b w:val="false"/>
                <w:i w:val="false"/>
                <w:color w:val="000000"/>
                <w:sz w:val="20"/>
              </w:rPr>
              <w:t xml:space="preserve"> Europe: +49 89-210 2280 </w:t>
            </w:r>
          </w:p>
          <w:p>
            <w:pPr>
              <w:spacing w:before="0" w:after="0"/>
              <w:ind w:left="120"/>
              <w:jc w:val="both"/>
            </w:pPr>
            <w:r>
              <w:rPr>
                <w:rFonts w:ascii="Times New Roman" w:hAnsi="Times New Roman"/>
                <w:b w:val="false"/>
                <w:i w:val="false"/>
                <w:color w:val="000000"/>
                <w:sz w:val="20"/>
              </w:rPr>
              <w:t xml:space="preserve"> U.S.: +1-339-832-0752 </w:t>
            </w:r>
          </w:p>
        </w:tc>
      </w:tr>
    </w:tbl>
    <w:bookmarkEnd w:id="1"/>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val="false"/>
          <w:color w:val="000000"/>
          <w:sz w:val="20"/>
        </w:rPr>
        <w:t xml:space="preserve"> FORWARD-LOOKING STATEMENTS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This press release contains forward-looking statements. All statements other than statements of historical fact are forward-looking statements, which are often indicated by terms such as “may,” “will,” “should,” “expect,” “plan,” “anticipate,” “could,” “intend,” “target,” “project,” “estimate,” “believe,” “predict,” “potential” or “continue,” among others, statements regarding our compliance with the Minimum Bid Price Rule and listing or trading of our ordinary shares. Forward-looking statements appear in a number of places throughout this release and may include statements regarding our intentions, beliefs, projections, outlook, analyses, current expectations and the risks, uncertainties and other factors described under the headings, “Risk factors” and “Cautionary statement regarding forward looking statements”, in our periodic filings with the SEC. These statements speak only as of the date of this press release and involve known and unknown risks, uncertainties and other important factors that may cause our actual results, performance or achievements to be materially different from any future results, performance or achievements expressed or implied by the forward-looking statements. Given these risks, uncertainties and other factors, you should not place undue reliance on these forward-looking statements, and we assume no obligation to update these forward-looking statements, even if new information becomes available in the future, except as required by law.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left"/>
      </w:pPr>
    </w:p>
    <w:p>
      <w:r>
        <w:pict>
          <v:rect style="width:0;height:1.5pt" id="_x0000_i1025" o:hr="t" o:hrstd="t" o:hralign="center" stroked="f" fillcolor="#a0a0a0"/>
        </w:pict>
      </w:r>
    </w:p>
    <w:p>
      <w:pPr>
        <w:spacing w:before="0" w:after="0"/>
        <w:ind w:left="120"/>
        <w:jc w:val="left"/>
      </w:pPr>
    </w:p>
    <w:p/>
    <w:br w:type="page"/>
    <w:sectPr>
      <w:pgSz w:w="11907" w:h="16839" w:code="9"/>
      <w:pgMar w:top="1440" w:right="1440" w:bottom="1440" w:left="1440"/>
    </w:sectPr>
  </w:body>
</w:document>
</file>

<file path=word/settings.xml><?xml version="1.0" encoding="utf-8"?>
<w:settings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mc:Ignorable="">
  <w:compat>
    <w:compatSetting w:name="overrideTableStyleFontSizeAndJustification" w:uri="http://schemas.microsoft.com/office/word" w:val="1"/>
  </w:compat>
</w:settings>
</file>

<file path=word/styles.xml><?xml version="1.0" encoding="utf-8"?>
<w:styles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false" w:defUIPriority="99" w:defSemiHidden="true" w:defUnhideWhenUsed="true" w:defQFormat="false" w:count="267">
    <w:lsdException w:name="Normal" w:uiPriority="0" w:semiHidden="false" w:unhideWhenUsed="false" w:qFormat="true"/>
    <w:lsdException w:name="heading 1" w:uiPriority="9" w:semiHidden="false" w:unhideWhenUsed="false" w:qFormat="true"/>
    <w:lsdException w:name="heading 2" w:uiPriority="9" w:qFormat="true"/>
    <w:lsdException w:name="heading 3" w:uiPriority="9" w:qFormat="true"/>
    <w:lsdException w:name="heading 4" w:uiPriority="9" w:qFormat="true"/>
    <w:lsdException w:name="Title" w:uiPriority="10" w:semiHidden="false" w:unhideWhenUsed="false" w:qFormat="true"/>
    <w:lsdException w:name="Default Paragraph Font" w:uiPriority="1"/>
    <w:lsdException w:name="Subtitle" w:uiPriority="11" w:semiHidden="false" w:unhideWhenUsed="false" w:qFormat="true"/>
    <w:lsdException w:name="Emphasis" w:uiPriority="20" w:semiHidden="false" w:unhideWhenUsed="false" w:qFormat="true"/>
    <w:lsdException w:name="Table Grid" w:uiPriority="59" w:semiHidden="false" w:unhideWhenUsed="false"/>
  </w:latentStyles>
  <w:style w:type="paragraph" w:styleId="Normal" w:default="true">
    <w:name w:val="Normal"/>
    <w:qFormat/>
    <w:rsid w:val="004A3277"/>
  </w:style>
  <w:style w:type="paragraph" w:styleId="Heading1">
    <w:name w:val="heading 1"/>
    <w:basedOn w:val="Normal"/>
    <w:next w:val="Normal"/>
    <w:link w:val="Heading1Char"/>
    <w:uiPriority w:val="9"/>
    <w:qFormat/>
    <w:rsid w:val="00841CD9"/>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41CD9"/>
    <w:pPr>
      <w:keepNext/>
      <w:keepLines/>
      <w:spacing w:before="200"/>
      <w:outlineLvl w:val="1"/>
    </w:pPr>
    <w:rPr>
      <w:rFonts w:asciiTheme="majorHAnsi" w:hAnsiTheme="majorHAnsi"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841CD9"/>
    <w:pPr>
      <w:keepNext/>
      <w:keepLines/>
      <w:spacing w:before="200"/>
      <w:outlineLvl w:val="2"/>
    </w:pPr>
    <w:rPr>
      <w:rFonts w:asciiTheme="majorHAnsi" w:hAnsiTheme="majorHAnsi" w:eastAsiaTheme="majorEastAsia" w:cstheme="majorBidi"/>
      <w:b/>
      <w:bCs/>
      <w:color w:val="4F81BD" w:themeColor="accent1"/>
    </w:rPr>
  </w:style>
  <w:style w:type="paragraph" w:styleId="Heading4">
    <w:name w:val="heading 4"/>
    <w:basedOn w:val="Normal"/>
    <w:next w:val="Normal"/>
    <w:link w:val="Heading4Char"/>
    <w:uiPriority w:val="9"/>
    <w:unhideWhenUsed/>
    <w:qFormat/>
    <w:rsid w:val="00841CD9"/>
    <w:pPr>
      <w:keepNext/>
      <w:keepLines/>
      <w:spacing w:before="200"/>
      <w:outlineLvl w:val="3"/>
    </w:pPr>
    <w:rPr>
      <w:rFonts w:asciiTheme="majorHAnsi" w:hAnsiTheme="majorHAnsi" w:eastAsiaTheme="majorEastAsia" w:cstheme="majorBidi"/>
      <w:b/>
      <w:bCs/>
      <w:i/>
      <w:iCs/>
      <w:color w:val="4F81BD" w:themeColor="accent1"/>
    </w:rPr>
  </w:style>
  <w:style w:type="character" w:styleId="DefaultParagraphFont" w:default="true">
    <w:name w:val="Default Paragraph Font"/>
    <w:uiPriority w:val="1"/>
    <w:semiHidden/>
    <w:unhideWhenUsed/>
  </w:style>
  <w:style w:type="paragraph" w:styleId="Header">
    <w:name w:val="header"/>
    <w:basedOn w:val="Normal"/>
    <w:link w:val="HeaderChar"/>
    <w:uiPriority w:val="99"/>
    <w:unhideWhenUsed/>
    <w:rsid w:val="00841CD9"/>
    <w:pPr>
      <w:tabs>
        <w:tab w:val="center" w:pos="4680"/>
        <w:tab w:val="right" w:pos="9360"/>
      </w:tabs>
    </w:pPr>
  </w:style>
  <w:style w:type="character" w:styleId="HeaderChar" w:customStyle="true">
    <w:name w:val="Header Char"/>
    <w:basedOn w:val="DefaultParagraphFont"/>
    <w:link w:val="Header"/>
    <w:uiPriority w:val="99"/>
    <w:rsid w:val="00841CD9"/>
  </w:style>
  <w:style w:type="character" w:styleId="Heading1Char" w:customStyle="true">
    <w:name w:val="Heading 1 Char"/>
    <w:basedOn w:val="DefaultParagraphFont"/>
    <w:link w:val="Heading1"/>
    <w:uiPriority w:val="9"/>
    <w:rsid w:val="00841CD9"/>
    <w:rPr>
      <w:rFonts w:asciiTheme="majorHAnsi" w:hAnsiTheme="majorHAnsi" w:eastAsiaTheme="majorEastAsia" w:cstheme="majorBidi"/>
      <w:b/>
      <w:bCs/>
      <w:color w:val="365F91" w:themeColor="accent1" w:themeShade="BF"/>
      <w:sz w:val="28"/>
      <w:szCs w:val="28"/>
    </w:rPr>
  </w:style>
  <w:style w:type="character" w:styleId="Heading2Char" w:customStyle="true">
    <w:name w:val="Heading 2 Char"/>
    <w:basedOn w:val="DefaultParagraphFont"/>
    <w:link w:val="Heading2"/>
    <w:uiPriority w:val="9"/>
    <w:rsid w:val="00841CD9"/>
    <w:rPr>
      <w:rFonts w:asciiTheme="majorHAnsi" w:hAnsiTheme="majorHAnsi" w:eastAsiaTheme="majorEastAsia" w:cstheme="majorBidi"/>
      <w:b/>
      <w:bCs/>
      <w:color w:val="4F81BD" w:themeColor="accent1"/>
      <w:sz w:val="26"/>
      <w:szCs w:val="26"/>
    </w:rPr>
  </w:style>
  <w:style w:type="character" w:styleId="Heading3Char" w:customStyle="true">
    <w:name w:val="Heading 3 Char"/>
    <w:basedOn w:val="DefaultParagraphFont"/>
    <w:link w:val="Heading3"/>
    <w:uiPriority w:val="9"/>
    <w:rsid w:val="00841CD9"/>
    <w:rPr>
      <w:rFonts w:asciiTheme="majorHAnsi" w:hAnsiTheme="majorHAnsi" w:eastAsiaTheme="majorEastAsia" w:cstheme="majorBidi"/>
      <w:b/>
      <w:bCs/>
      <w:color w:val="4F81BD" w:themeColor="accent1"/>
    </w:rPr>
  </w:style>
  <w:style w:type="character" w:styleId="Heading4Char" w:customStyle="true">
    <w:name w:val="Heading 4 Char"/>
    <w:basedOn w:val="DefaultParagraphFont"/>
    <w:link w:val="Heading4"/>
    <w:uiPriority w:val="9"/>
    <w:rsid w:val="00841CD9"/>
    <w:rPr>
      <w:rFonts w:asciiTheme="majorHAnsi" w:hAnsiTheme="majorHAnsi" w:eastAsiaTheme="majorEastAsia" w:cstheme="majorBidi"/>
      <w:b/>
      <w:bCs/>
      <w:i/>
      <w:iCs/>
      <w:color w:val="4F81BD" w:themeColor="accent1"/>
    </w:rPr>
  </w:style>
  <w:style w:type="paragraph" w:styleId="NormalIndent">
    <w:name w:val="Normal Indent"/>
    <w:basedOn w:val="Normal"/>
    <w:uiPriority w:val="99"/>
    <w:unhideWhenUsed/>
    <w:rsid w:val="00841CD9"/>
    <w:pPr>
      <w:ind w:left="720"/>
    </w:pPr>
  </w:style>
  <w:style w:type="paragraph" w:styleId="Subtitle">
    <w:name w:val="Subtitle"/>
    <w:basedOn w:val="Normal"/>
    <w:next w:val="Normal"/>
    <w:link w:val="SubtitleChar"/>
    <w:uiPriority w:val="11"/>
    <w:qFormat/>
    <w:rsid w:val="00841CD9"/>
    <w:pPr>
      <w:numPr>
        <w:ilvl w:val="1"/>
      </w:numPr>
      <w:ind w:left="86"/>
    </w:pPr>
    <w:rPr>
      <w:rFonts w:asciiTheme="majorHAnsi" w:hAnsiTheme="majorHAnsi" w:eastAsiaTheme="majorEastAsia" w:cstheme="majorBidi"/>
      <w:i/>
      <w:iCs/>
      <w:color w:val="4F81BD" w:themeColor="accent1"/>
      <w:spacing w:val="15"/>
      <w:sz w:val="24"/>
      <w:szCs w:val="24"/>
    </w:rPr>
  </w:style>
  <w:style w:type="character" w:styleId="SubtitleChar" w:customStyle="true">
    <w:name w:val="Subtitle Char"/>
    <w:basedOn w:val="DefaultParagraphFont"/>
    <w:link w:val="Subtitle"/>
    <w:uiPriority w:val="11"/>
    <w:rsid w:val="00841CD9"/>
    <w:rPr>
      <w:rFonts w:asciiTheme="majorHAnsi" w:hAnsiTheme="majorHAnsi" w:eastAsiaTheme="majorEastAsia" w:cstheme="majorBidi"/>
      <w:i/>
      <w:iCs/>
      <w:color w:val="4F81BD" w:themeColor="accent1"/>
      <w:spacing w:val="15"/>
      <w:sz w:val="24"/>
      <w:szCs w:val="24"/>
    </w:rPr>
  </w:style>
  <w:style w:type="paragraph" w:styleId="Title">
    <w:name w:val="Title"/>
    <w:basedOn w:val="Normal"/>
    <w:next w:val="Normal"/>
    <w:link w:val="TitleChar"/>
    <w:uiPriority w:val="10"/>
    <w:qFormat/>
    <w:rsid w:val="00841CD9"/>
    <w:pPr>
      <w:pBdr>
        <w:bottom w:val="single" w:color="4F81BD" w:themeColor="accent1" w:sz="8" w:space="4"/>
      </w:pBdr>
      <w:spacing w:after="300"/>
      <w:contextualSpacing/>
    </w:pPr>
    <w:rPr>
      <w:rFonts w:asciiTheme="majorHAnsi" w:hAnsiTheme="majorHAnsi" w:eastAsiaTheme="majorEastAsia" w:cstheme="majorBidi"/>
      <w:color w:val="17365D" w:themeColor="text2" w:themeShade="BF"/>
      <w:spacing w:val="5"/>
      <w:kern w:val="28"/>
      <w:sz w:val="52"/>
      <w:szCs w:val="52"/>
    </w:rPr>
  </w:style>
  <w:style w:type="character" w:styleId="TitleChar" w:customStyle="true">
    <w:name w:val="Title Char"/>
    <w:basedOn w:val="DefaultParagraphFont"/>
    <w:link w:val="Title"/>
    <w:uiPriority w:val="10"/>
    <w:rsid w:val="00841CD9"/>
    <w:rPr>
      <w:rFonts w:asciiTheme="majorHAnsi" w:hAnsiTheme="majorHAnsi" w:eastAsiaTheme="majorEastAsia" w:cstheme="majorBidi"/>
      <w:color w:val="17365D" w:themeColor="text2" w:themeShade="BF"/>
      <w:spacing w:val="5"/>
      <w:kern w:val="28"/>
      <w:sz w:val="52"/>
      <w:szCs w:val="52"/>
    </w:rPr>
  </w:style>
  <w:style w:type="character" w:styleId="Emphasis">
    <w:name w:val="Emphasis"/>
    <w:basedOn w:val="DefaultParagraphFont"/>
    <w:uiPriority w:val="20"/>
    <w:qFormat/>
    <w:rsid w:val="00D1197D"/>
    <w:rPr>
      <w:i/>
      <w:iCs/>
    </w:r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spacing w:after="0" w:line="240" w:lineRule="auto"/>
    </w:p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table" w:styleId="TableNormal" w:default="true">
    <w:name w:val="Normal Table"/>
    <w:uiPriority w:val="99"/>
    <w:semiHidden/>
    <w:unhideWhenUsed/>
    <w:qFormat/>
    <w:tblPr>
      <w:tblInd w:w="0" w:type="dxa"/>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7109C0"/>
    <w:pPr>
      <w:spacing w:line="240" w:lineRule="auto"/>
    </w:pPr>
    <w:rPr>
      <w:b/>
      <w:bCs/>
      <w:color w:val="4F81BD" w:themeColor="accent1"/>
      <w:sz w:val="18"/>
      <w:szCs w:val="18"/>
    </w:rPr>
  </w:style>
</w:styles>
</file>

<file path=word/_rels/document.xml.rels><?xml version="1.0" encoding="UTF-8" standalone="yes"?>
<Relationships xmlns="http://schemas.openxmlformats.org/package/2006/relationships">
    <Relationship Target="styles.xml" Type="http://schemas.openxmlformats.org/officeDocument/2006/relationships/styles" Id="rId1"/>
    <Relationship Target="settings.xml" Type="http://schemas.openxmlformats.org/officeDocument/2006/relationships/settings" Id="rId2"/>
    <Relationship Target="media/document_image_rId4.jpeg" Type="http://schemas.openxmlformats.org/officeDocument/2006/relationships/image" Id="rId3"/>
    <Relationship Target="media/document_image_rId42.jpeg" Type="http://schemas.openxmlformats.org/officeDocument/2006/relationships/image" Id="rId4"/>
</Relationships>

</file>

<file path=docProps/app.xml><?xml version="1.0" encoding="utf-8"?>
<properties:Properties xmlns:vt="http://schemas.openxmlformats.org/officeDocument/2006/docPropsVTypes" xmlns:properties="http://schemas.openxmlformats.org/officeDocument/2006/extended-properties"/>
</file>

<file path=docProps/core.xml><?xml version="1.0" encoding="utf-8"?>
<cp:coreProperties xmlns:cp="http://schemas.openxmlformats.org/package/2006/metadata/core-properties" xmlns:dcterms="http://purl.org/dc/terms/" xmlns:dc="http://purl.org/dc/elements/1.1/"/>
</file>