
<file path=[Content_Types].xml><?xml version="1.0" encoding="utf-8"?>
<Types xmlns="http://schemas.openxmlformats.org/package/2006/content-types">
  <Default Extension="jpeg" ContentType="image/jpeg"/>
  <Default Extension="rels" ContentType="application/vnd.openxmlformats-package.relationships+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settings+xml" PartName="/word/settings.xml"/>
  <Override ContentType="application/vnd.openxmlformats-officedocument.wordprocessingml.styles+xml" PartName="/word/styles.xml"/>
</Types>
</file>

<file path=_rels/.rels><?xml version="1.0" encoding="UTF-8" standalone="yes"?>
<Relationships xmlns="http://schemas.openxmlformats.org/package/2006/relationships">
    <Relationship Target="word/document.xml" Type="http://schemas.openxmlformats.org/officeDocument/2006/relationships/officeDocument" Id="rId1"/>
    <Relationship Target="docProps/core.xml" Type="http://schemas.openxmlformats.org/package/2006/relationships/metadata/core-properties" Id="rId2"/>
    <Relationship Target="docProps/app.xml" Type="http://schemas.openxmlformats.org/officeDocument/2006/relationships/extended-properties" Id="rId3"/>
</Relationships>

</file>

<file path=word/document.xml><?xml version="1.0" encoding="utf-8"?>
<w:document xmlns:m="http://schemas.openxmlformats.org/officeDocument/2006/math" xmlns:w="http://schemas.openxmlformats.org/wordprocessingml/2006/main" xmlns:w14="http://schemas.microsoft.com/office/word/2010/wordml" xmlns:w15="http://schemas.microsoft.com/office/word/2012/wordml" xmlns:r="http://schemas.openxmlformats.org/officeDocument/2006/relationships" xmlns:wp="http://schemas.openxmlformats.org/drawingml/2006/wordprocessingDrawing" xmlns:a="http://schemas.openxmlformats.org/drawingml/2006/main" xmlns:wp14="http://schemas.microsoft.com/office/word/2010/wordprocessingDrawing" xmlns:mc="http://schemas.openxmlformats.org/markup-compatibility/2006" xmlns:a14="http://schemas.microsoft.com/office/drawing/2010/main"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o="urn:schemas-microsoft-com:office:office" xmlns:v="urn:schemas-microsoft-com:vml" xmlns:xvml="urn:schemas-microsoft-com:office:exce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w:body>
    <!-- Created by docx4j 8.2.9 (Apache licensed) using REFERENCE JAXB in Red Hat, Inc. Java 17.0.18 on Linux -->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 xml:space="preserve">6-K </w:t>
      </w:r>
      <w:r>
        <w:rPr>
          <w:rFonts w:ascii="Times New Roman" w:hAnsi="Times New Roman"/>
          <w:b w:val="false"/>
          <w:i w:val="false"/>
          <w:color w:val="000000"/>
          <w:sz w:val="20"/>
        </w:rPr>
        <w:t xml:space="preserve">1 </w:t>
      </w:r>
      <w:r>
        <w:rPr>
          <w:rFonts w:ascii="Times New Roman" w:hAnsi="Times New Roman"/>
          <w:b w:val="false"/>
          <w:i w:val="false"/>
          <w:color w:val="000000"/>
          <w:sz w:val="20"/>
        </w:rPr>
        <w:t xml:space="preserve">ef20071058_6k.htm </w:t>
      </w:r>
      <w:r>
        <w:rPr>
          <w:rFonts w:ascii="Times New Roman" w:hAnsi="Times New Roman"/>
          <w:b w:val="false"/>
          <w:i w:val="false"/>
          <w:color w:val="000000"/>
          <w:sz w:val="20"/>
        </w:rPr>
        <w:t xml:space="preserve">6-K </w:t>
      </w:r>
    </w:p>
    <w:p>
      <w:r>
        <w:pict>
          <v:rect style="width:0;height:1.5pt" id="_x0000_i1025" o:hr="t" o:hrstd="t" o:hralign="center" stroked="f" fillcolor="#a0a0a0"/>
        </w:pict>
      </w:r>
    </w:p>
    <w:p>
      <w:pPr>
        <w:spacing w:before="0" w:after="0"/>
        <w:ind w:left="120"/>
        <w:jc w:val="left"/>
      </w:pPr>
    </w:p>
    <w:p>
      <w:pPr>
        <w:spacing w:before="0" w:after="0"/>
        <w:ind w:left="120"/>
        <w:jc w:val="center"/>
      </w:pPr>
      <w:r>
        <w:rPr>
          <w:rFonts w:ascii="Times New Roman" w:hAnsi="Times New Roman"/>
          <w:b/>
          <w:i w:val="false"/>
          <w:color w:val="000000"/>
          <w:sz w:val="28"/>
        </w:rPr>
        <w:t xml:space="preserve"> UNITED STATES </w:t>
      </w:r>
    </w:p>
    <w:p>
      <w:pPr>
        <w:spacing w:before="0" w:after="0"/>
        <w:ind w:left="120"/>
        <w:jc w:val="center"/>
      </w:pPr>
      <w:r>
        <w:rPr>
          <w:rFonts w:ascii="Times New Roman" w:hAnsi="Times New Roman"/>
          <w:b/>
          <w:i w:val="false"/>
          <w:color w:val="000000"/>
          <w:sz w:val="28"/>
        </w:rPr>
        <w:t xml:space="preserve"> SECURITIES AND EXCHANGE COMMISSION </w:t>
      </w:r>
    </w:p>
    <w:p>
      <w:pPr>
        <w:spacing w:before="0" w:after="0"/>
        <w:ind w:left="120"/>
        <w:jc w:val="center"/>
      </w:pPr>
      <w:r>
        <w:rPr>
          <w:rFonts w:ascii="Times New Roman" w:hAnsi="Times New Roman"/>
          <w:b/>
          <w:i w:val="false"/>
          <w:color w:val="000000"/>
          <w:sz w:val="24"/>
        </w:rPr>
        <w:t xml:space="preserve"> Washington, D.C. 20549 </w:t>
      </w:r>
    </w:p>
    <w:p>
      <w:pPr>
        <w:spacing w:before="0" w:after="0"/>
        <w:ind w:left="120"/>
        <w:jc w:val="center"/>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i w:val="false"/>
          <w:color w:val="000000"/>
          <w:sz w:val="36"/>
        </w:rPr>
        <w:t xml:space="preserve"> FORM 6-K </w:t>
      </w:r>
    </w:p>
    <w:p>
      <w:pPr>
        <w:spacing w:before="0" w:after="0"/>
        <w:ind w:left="120"/>
        <w:jc w:val="center"/>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i w:val="false"/>
          <w:color w:val="000000"/>
          <w:sz w:val="20"/>
        </w:rPr>
        <w:t xml:space="preserve"> Report of Foreign Private Issuer </w:t>
      </w:r>
    </w:p>
    <w:p>
      <w:pPr>
        <w:spacing w:before="0" w:after="0"/>
        <w:ind w:left="120"/>
        <w:jc w:val="center"/>
      </w:pPr>
      <w:r>
        <w:rPr>
          <w:rFonts w:ascii="Times New Roman" w:hAnsi="Times New Roman"/>
          <w:b/>
          <w:i w:val="false"/>
          <w:color w:val="000000"/>
          <w:sz w:val="20"/>
        </w:rPr>
        <w:t xml:space="preserve"> Pursuant to Rule 13a-16 or 15d-16 </w:t>
      </w:r>
    </w:p>
    <w:p>
      <w:pPr>
        <w:spacing w:before="0" w:after="0"/>
        <w:ind w:left="120"/>
        <w:jc w:val="center"/>
      </w:pPr>
      <w:r>
        <w:rPr>
          <w:rFonts w:ascii="Times New Roman" w:hAnsi="Times New Roman"/>
          <w:b/>
          <w:i w:val="false"/>
          <w:color w:val="000000"/>
          <w:sz w:val="20"/>
        </w:rPr>
        <w:t xml:space="preserve"> of the Securities Exchange Act of 1934 </w:t>
      </w:r>
    </w:p>
    <w:p>
      <w:pPr>
        <w:spacing w:before="0" w:after="0"/>
        <w:ind w:left="120"/>
        <w:jc w:val="center"/>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i w:val="false"/>
          <w:color w:val="000000"/>
          <w:sz w:val="20"/>
        </w:rPr>
        <w:t xml:space="preserve"> For the month of April 2026 </w:t>
      </w:r>
    </w:p>
    <w:p>
      <w:pPr>
        <w:spacing w:before="0" w:after="0"/>
        <w:ind w:left="120"/>
        <w:jc w:val="center"/>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i w:val="false"/>
          <w:color w:val="000000"/>
          <w:sz w:val="20"/>
        </w:rPr>
        <w:t xml:space="preserve"> Commission File Number: 001-38283 </w:t>
      </w:r>
    </w:p>
    <w:p>
      <w:pPr>
        <w:spacing w:before="0" w:after="0"/>
        <w:ind w:left="120"/>
        <w:jc w:val="center"/>
      </w:pPr>
      <w:r>
        <w:rPr>
          <w:rFonts w:ascii="Times New Roman" w:hAnsi="Times New Roman"/>
          <w:b/>
          <w:i w:val="false"/>
          <w:color w:val="000000"/>
          <w:sz w:val="20"/>
        </w:rPr>
        <w:t xml:space="preserve"> </w:t>
      </w:r>
      <w:r>
        <w:br/>
      </w:r>
      <w:r>
        <w:rPr>
          <w:rFonts w:ascii="Times New Roman" w:hAnsi="Times New Roman"/>
          <w:b/>
          <w:i w:val="false"/>
          <w:color w:val="000000"/>
          <w:sz w:val="20"/>
        </w:rPr>
        <w:t xml:space="preserve"> </w:t>
      </w:r>
    </w:p>
    <w:p>
      <w:pPr>
        <w:spacing w:before="0" w:after="0"/>
        <w:ind w:left="120"/>
        <w:jc w:val="center"/>
      </w:pPr>
    </w:p>
    <w:p>
      <w:r>
        <w:pict>
          <v:rect style="width:0;height:1.5pt" id="_x0000_i1025" o:hr="t" o:hrstd="t" o:hralign="center" stroked="f" fillcolor="#a0a0a0"/>
        </w:pic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i w:val="false"/>
          <w:color w:val="000000"/>
          <w:sz w:val="48"/>
        </w:rPr>
        <w:t xml:space="preserve"> InflaRx N.V. </w:t>
      </w:r>
    </w:p>
    <w:p>
      <w:pPr>
        <w:spacing w:before="0" w:after="0"/>
        <w:ind w:left="120"/>
        <w:jc w:val="center"/>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(Translation of registrant’s name into English) </w:t>
      </w:r>
    </w:p>
    <w:p>
      <w:pPr>
        <w:spacing w:before="0" w:after="0"/>
        <w:ind w:left="120"/>
        <w:jc w:val="center"/>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i w:val="false"/>
          <w:color w:val="000000"/>
          <w:sz w:val="20"/>
        </w:rPr>
        <w:t xml:space="preserve"> Winzerlaer Str. 2 </w:t>
      </w:r>
    </w:p>
    <w:p>
      <w:pPr>
        <w:spacing w:before="0" w:after="0"/>
        <w:ind w:left="120"/>
        <w:jc w:val="center"/>
      </w:pPr>
      <w:r>
        <w:rPr>
          <w:rFonts w:ascii="Times New Roman" w:hAnsi="Times New Roman"/>
          <w:b/>
          <w:i w:val="false"/>
          <w:color w:val="000000"/>
          <w:sz w:val="20"/>
        </w:rPr>
        <w:t xml:space="preserve"> 07745 Jena, Germany </w:t>
      </w:r>
    </w:p>
    <w:p>
      <w:pPr>
        <w:spacing w:before="0" w:after="0"/>
        <w:ind w:left="120"/>
        <w:jc w:val="center"/>
      </w:pPr>
      <w:r>
        <w:rPr>
          <w:rFonts w:ascii="Times New Roman" w:hAnsi="Times New Roman"/>
          <w:b w:val="false"/>
          <w:i w:val="false"/>
          <w:color w:val="000000"/>
          <w:sz w:val="20"/>
        </w:rPr>
        <w:t xml:space="preserve"> (Address of principal executive office) </w:t>
      </w:r>
    </w:p>
    <w:p>
      <w:pPr>
        <w:spacing w:before="0" w:after="0"/>
        <w:ind w:left="120"/>
        <w:jc w:val="center"/>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Indicate by check mark whether the registrant files or will file annual reports under cover of Form 20-F or Form 40-F.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Form 20-F ☒ Form 40-F ☐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i w:val="false"/>
          <w:color w:val="000000"/>
          <w:sz w:val="20"/>
        </w:rPr>
        <w:t xml:space="preserve"> INFLARX N.V.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i w:val="false"/>
          <w:color w:val="000000"/>
          <w:sz w:val="20"/>
        </w:rPr>
        <w:t xml:space="preserve"> Results of Annual General Meeting of Shareholders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On April 23, 2026, InflaRx N.V. (the “Company”) held its Annual General Meeting of Shareholders (the “Annual General Meeting”). The final results of each of the agenda items submitted to a vote of the shareholders are as follows: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u w:val="single"/>
        </w:rPr>
        <w:t>Agenda Item 3.</w:t>
      </w:r>
      <w:r>
        <w:rPr>
          <w:rFonts w:ascii="Times New Roman" w:hAnsi="Times New Roman"/>
          <w:b w:val="false"/>
          <w:i w:val="false"/>
          <w:color w:val="000000"/>
          <w:sz w:val="20"/>
        </w:rPr>
        <w:t xml:space="preserve"> Adoption of Dutch statutory annual accounts for the financial year ended December 31, 2025.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The Company shareholders approved the adoption of Dutch statutory annual accounts for the financial year ended December 31, 2025.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u w:val="single"/>
        </w:rPr>
        <w:t>Agenda Item 5.</w:t>
      </w:r>
      <w:r>
        <w:rPr>
          <w:rFonts w:ascii="Times New Roman" w:hAnsi="Times New Roman"/>
          <w:b w:val="false"/>
          <w:i w:val="false"/>
          <w:color w:val="000000"/>
          <w:sz w:val="20"/>
        </w:rPr>
        <w:t xml:space="preserve"> Instruction to KPMG Accountants N.V. for the external audit of the Company’s statutory annual accounts for the financial year 2026.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The Company shareholders approved the instruction to KPMG Accountants N.V. for the external audit of the Company’s statutory annual accounts for the financial year 2026.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u w:val="single"/>
        </w:rPr>
        <w:t>Agenda Item 6.</w:t>
      </w:r>
      <w:r>
        <w:rPr>
          <w:rFonts w:ascii="Times New Roman" w:hAnsi="Times New Roman"/>
          <w:b w:val="false"/>
          <w:i w:val="false"/>
          <w:color w:val="000000"/>
          <w:sz w:val="20"/>
        </w:rPr>
        <w:t xml:space="preserve"> Release from liability for the Company’s directors with respect to the performance of their duties during the financial year ended December 31, 2025.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The Company shareholders approved the release from liability for the Company’s directors with respect to the performance of their duties during the financial year ended December 31, 2025.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u w:val="single"/>
        </w:rPr>
        <w:t>Agenda Item 7.</w:t>
      </w:r>
      <w:r>
        <w:rPr>
          <w:rFonts w:ascii="Times New Roman" w:hAnsi="Times New Roman"/>
          <w:b w:val="false"/>
          <w:i w:val="false"/>
          <w:color w:val="000000"/>
          <w:sz w:val="20"/>
        </w:rPr>
        <w:t xml:space="preserve"> Re-appointment of Mr. Niels Riedemann as executive director of the Company.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The Company shareholders approved the re-appointment of Mr. Niels Riedemann as executive director of the Company.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u w:val="single"/>
        </w:rPr>
        <w:t>Agenda Item 8.</w:t>
      </w:r>
      <w:r>
        <w:rPr>
          <w:rFonts w:ascii="Times New Roman" w:hAnsi="Times New Roman"/>
          <w:b w:val="false"/>
          <w:i w:val="false"/>
          <w:color w:val="000000"/>
          <w:sz w:val="20"/>
        </w:rPr>
        <w:t xml:space="preserve"> Re-appointment of Mr. Renfeng Guo as executive director of the Company.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The Company shareholders approved the re-appointment of Mr. Renfeng Guo as executive director of the Company.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u w:val="single"/>
        </w:rPr>
        <w:t>Agenda Item 9.</w:t>
      </w:r>
      <w:r>
        <w:rPr>
          <w:rFonts w:ascii="Times New Roman" w:hAnsi="Times New Roman"/>
          <w:b w:val="false"/>
          <w:i w:val="false"/>
          <w:color w:val="000000"/>
          <w:sz w:val="20"/>
        </w:rPr>
        <w:t xml:space="preserve"> Re-appointment of Mr. Nicolas Fulpius as non-executive director of the Company.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The Company shareholders approved the re-appointment of Mr. Nicolas Fulpius as non-executive director of the Company.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u w:val="single"/>
        </w:rPr>
        <w:t>Agenda Item 10.</w:t>
      </w:r>
      <w:r>
        <w:rPr>
          <w:rFonts w:ascii="Times New Roman" w:hAnsi="Times New Roman"/>
          <w:b w:val="false"/>
          <w:i w:val="false"/>
          <w:color w:val="000000"/>
          <w:sz w:val="20"/>
        </w:rPr>
        <w:t xml:space="preserve"> Re-appointment of Mr. Richard Brudnick as non-executive director of the Company.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The Company shareholders approved the re-appointment of Mr. Richard Brudnick as non-executive director of the Company.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u w:val="single"/>
        </w:rPr>
        <w:t>Agenda Item 11.</w:t>
      </w:r>
      <w:r>
        <w:rPr>
          <w:rFonts w:ascii="Times New Roman" w:hAnsi="Times New Roman"/>
          <w:b w:val="false"/>
          <w:i w:val="false"/>
          <w:color w:val="000000"/>
          <w:sz w:val="20"/>
        </w:rPr>
        <w:t xml:space="preserve"> Re-appointment of Ms. Hege Hellstrom as non-executive director of the Company.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The Company shareholders approved the re-appointment of Ms. Hege Hellstrom as non-executive director of the Company.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u w:val="single"/>
        </w:rPr>
        <w:t>Agenda Item 12.</w:t>
      </w:r>
      <w:r>
        <w:rPr>
          <w:rFonts w:ascii="Times New Roman" w:hAnsi="Times New Roman"/>
          <w:b w:val="false"/>
          <w:i w:val="false"/>
          <w:color w:val="000000"/>
          <w:sz w:val="20"/>
        </w:rPr>
        <w:t xml:space="preserve"> Extension of authorization for the Company’s board of directors (the “Board”) to issue shares and grant rights to subscribe for shares.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r>
        <w:rPr>
          <w:rFonts w:ascii="Times New Roman" w:hAnsi="Times New Roman"/>
          <w:b w:val="false"/>
          <w:i w:val="false"/>
          <w:color w:val="000000"/>
          <w:sz w:val="20"/>
        </w:rPr>
        <w:t xml:space="preserve"> The Company shareholders approved the extension of authorization for the Company’s Board to issue shares and grant rights to subscribe for shares.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u w:val="single"/>
        </w:rPr>
        <w:t>Agenda Item 13.</w:t>
      </w:r>
      <w:r>
        <w:rPr>
          <w:rFonts w:ascii="Times New Roman" w:hAnsi="Times New Roman"/>
          <w:b w:val="false"/>
          <w:i w:val="false"/>
          <w:color w:val="000000"/>
          <w:sz w:val="20"/>
        </w:rPr>
        <w:t xml:space="preserve"> Extension of authorization for the Board to limit and exclude pre-emption rights.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The Company shareholders approved the extension of authorization for the Board to limit and exclude pre-emption rights.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u w:val="single"/>
        </w:rPr>
        <w:t>Agenda Item 14.</w:t>
      </w:r>
      <w:r>
        <w:rPr>
          <w:rFonts w:ascii="Times New Roman" w:hAnsi="Times New Roman"/>
          <w:b w:val="false"/>
          <w:i w:val="false"/>
          <w:color w:val="000000"/>
          <w:sz w:val="20"/>
        </w:rPr>
        <w:t xml:space="preserve"> Extension of authorization for the Board to acquire shares and depository receipts for shares in the Company’s capital.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The Company shareholders approved the extension of authorization for the Board to acquire shares and depository receipts for shares in the Company’s capital.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u w:val="single"/>
        </w:rPr>
        <w:t>Agenda Item 15.</w:t>
      </w:r>
      <w:r>
        <w:rPr>
          <w:rFonts w:ascii="Times New Roman" w:hAnsi="Times New Roman"/>
          <w:b w:val="false"/>
          <w:i w:val="false"/>
          <w:color w:val="000000"/>
          <w:sz w:val="20"/>
        </w:rPr>
        <w:t xml:space="preserve"> Amendment to the Company’s articles of association.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The Company shareholders approved the amendment to the Company’s articles of association.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u w:val="single"/>
        </w:rPr>
        <w:t>Agenda Item 16.</w:t>
      </w:r>
      <w:r>
        <w:rPr>
          <w:rFonts w:ascii="Times New Roman" w:hAnsi="Times New Roman"/>
          <w:b w:val="false"/>
          <w:i w:val="false"/>
          <w:color w:val="000000"/>
          <w:sz w:val="20"/>
        </w:rPr>
        <w:t xml:space="preserve"> Approval of a new Long-Term Incentive Plan (the “LTIP 2026”).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The Company shareholders approved the LTIP 2026.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i w:val="false"/>
          <w:color w:val="000000"/>
          <w:sz w:val="20"/>
        </w:rPr>
        <w:t>SIGNATURES</w:t>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Pursuant to the requirements of the Securities Exchange Act of 1934, the registrant has duly caused this report to be signed on its behalf by the undersigned, thereunto duly authorized.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bookmarkStart w:name="zf575e47935fb40ce81fb7260343a811f" w:id="0"/>
    <w:tbl>
      <w:tblPr>
        <w:tblW w:w="0" w:type="auto"/>
        <w:tblCellSpacing w:w="0" w:type="auto"/>
        <w:tblBorders>
          <w:top w:val="none"/>
          <w:left w:val="none"/>
          <w:bottom w:val="none"/>
          <w:right w:val="none"/>
          <w:insideH w:val="none"/>
          <w:insideV w:val="none"/>
        </w:tblBorders>
      </w:tblPr>
      <w:tblGrid>
        <w:gridCol w:w="5371"/>
        <w:gridCol w:w="1927"/>
        <w:gridCol w:w="6336"/>
      </w:tblGrid>
      <w:tr>
        <w:trPr>
          <w:trHeight w:val="225" w:hRule="atLeast"/>
        </w:trPr>
        <w:tc>
          <w:tcPr>
            <w:tcW w:w="5371"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INFLARX N.V. </w:t>
            </w:r>
          </w:p>
        </w:tc>
      </w:tr>
      <w:tr>
        <w:trPr>
          <w:trHeight w:val="210" w:hRule="atLeast"/>
        </w:trPr>
        <w:tc>
          <w:tcPr>
            <w:tcW w:w="5371"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r>
        <w:trPr>
          <w:trHeight w:val="225" w:hRule="atLeast"/>
        </w:trPr>
        <w:tc>
          <w:tcPr>
            <w:tcW w:w="5371"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Date: April 23, 2026 </w:t>
            </w:r>
          </w:p>
        </w:tc>
        <w:tc>
          <w:tcPr>
            <w:tcW w:w="1927"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By: </w:t>
            </w:r>
          </w:p>
        </w:tc>
        <w:tc>
          <w:tcPr>
            <w:tcW w:w="6336" w:type="dxa"/>
            <w:tcBorders>
              <w:bottom w:val="single" w:color="000000" w:sz="16"/>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/s/ Niels Riedemann </w:t>
            </w:r>
          </w:p>
        </w:tc>
      </w:tr>
      <w:tr>
        <w:trPr>
          <w:trHeight w:val="225" w:hRule="atLeast"/>
        </w:trPr>
        <w:tc>
          <w:tcPr>
            <w:tcW w:w="5371"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927"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Name: </w:t>
            </w:r>
          </w:p>
        </w:tc>
        <w:tc>
          <w:tcPr>
            <w:tcW w:w="6336"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Niels Riedemann </w:t>
            </w:r>
          </w:p>
        </w:tc>
      </w:tr>
      <w:tr>
        <w:trPr>
          <w:trHeight w:val="210" w:hRule="atLeast"/>
        </w:trPr>
        <w:tc>
          <w:tcPr>
            <w:tcW w:w="5371"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927"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Title: </w:t>
            </w:r>
          </w:p>
        </w:tc>
        <w:tc>
          <w:tcPr>
            <w:tcW w:w="6336"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Chief Executive Officer </w:t>
            </w:r>
          </w:p>
        </w:tc>
      </w:tr>
    </w:tbl>
    <w:bookmarkEnd w:id="0"/>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2</w:t>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i w:val="false"/>
          <w:color w:val="000000"/>
          <w:sz w:val="20"/>
        </w:rPr>
        <w:t xml:space="preserve"> EXHIBIT INDEX </w:t>
      </w:r>
    </w:p>
    <w:p>
      <w:pPr>
        <w:spacing w:before="0" w:after="0"/>
        <w:ind w:left="120"/>
        <w:jc w:val="center"/>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bookmarkStart w:name="ze5f384d3d1b84925964df1adce39d206" w:id="1"/>
    <w:tbl>
      <w:tblPr>
        <w:tblW w:w="0" w:type="auto"/>
        <w:tblCellSpacing w:w="0" w:type="auto"/>
        <w:tblBorders>
          <w:top w:val="none"/>
          <w:left w:val="none"/>
          <w:bottom w:val="none"/>
          <w:right w:val="none"/>
          <w:insideH w:val="none"/>
          <w:insideV w:val="none"/>
        </w:tblBorders>
      </w:tblPr>
      <w:tblGrid>
        <w:gridCol w:w="1927"/>
        <w:gridCol w:w="137"/>
        <w:gridCol w:w="11570"/>
      </w:tblGrid>
      <w:tr>
        <w:trPr>
          <w:trHeight w:val="240" w:hRule="atLeast"/>
        </w:trPr>
        <w:tc>
          <w:tcPr>
            <w:tcW w:w="1927" w:type="dxa"/>
            <w:tcBorders>
              <w:bottom w:val="single" w:color="000000" w:sz="16"/>
            </w:tcBorders>
            <w:tcMar>
              <w:top w:w="15" w:type="dxa"/>
              <w:left w:w="15" w:type="dxa"/>
              <w:bottom w:w="15" w:type="dxa"/>
              <w:right w:w="15" w:type="dxa"/>
            </w:tcMar>
            <w:vAlign w:val="bottom"/>
          </w:tcPr>
          <w:p>
            <w:pPr>
              <w:spacing w:before="0" w:after="0"/>
              <w:ind w:left="120"/>
              <w:jc w:val="left"/>
            </w:pPr>
            <w:r>
              <w:rPr>
                <w:rFonts w:ascii="Times New Roman" w:hAnsi="Times New Roman"/>
                <w:b/>
                <w:i w:val="false"/>
                <w:color w:val="000000"/>
                <w:sz w:val="20"/>
              </w:rPr>
              <w:t xml:space="preserve"> Exhibit No. </w:t>
            </w:r>
          </w:p>
        </w:tc>
        <w:tc>
          <w:tcPr>
            <w:tcW w:w="137" w:type="dxa"/>
            <w:tcBorders/>
            <w:tcMar>
              <w:top w:w="15" w:type="dxa"/>
              <w:left w:w="15" w:type="dxa"/>
              <w:bottom w:w="15" w:type="dxa"/>
              <w:right w:w="15" w:type="dxa"/>
            </w:tcMar>
            <w:vAlign w:val="bottom"/>
          </w:tcPr>
          <w:p>
            <w:pPr>
              <w:spacing w:before="0" w:after="0"/>
              <w:ind w:left="0"/>
              <w:jc w:val="left"/>
            </w:pPr>
            <w:r>
              <w:rPr>
                <w:rFonts w:ascii="Times New Roman" w:hAnsi="Times New Roman"/>
                <w:b w:val="false"/>
                <w:i w:val="false"/>
                <w:color w:val="000000"/>
                <w:sz w:val="20"/>
              </w:rPr>
              <w:t> </w:t>
            </w:r>
          </w:p>
        </w:tc>
        <w:tc>
          <w:tcPr>
            <w:tcW w:w="11570" w:type="dxa"/>
            <w:tcBorders>
              <w:bottom w:val="single" w:color="000000" w:sz="16"/>
            </w:tcBorders>
            <w:tcMar>
              <w:top w:w="15" w:type="dxa"/>
              <w:left w:w="15" w:type="dxa"/>
              <w:bottom w:w="15" w:type="dxa"/>
              <w:right w:w="15" w:type="dxa"/>
            </w:tcMar>
            <w:vAlign w:val="bottom"/>
          </w:tcPr>
          <w:p>
            <w:pPr>
              <w:spacing w:before="0" w:after="0"/>
              <w:ind w:left="120"/>
              <w:jc w:val="left"/>
            </w:pPr>
            <w:r>
              <w:rPr>
                <w:rFonts w:ascii="Times New Roman" w:hAnsi="Times New Roman"/>
                <w:b/>
                <w:i w:val="false"/>
                <w:color w:val="000000"/>
                <w:sz w:val="20"/>
              </w:rPr>
              <w:t xml:space="preserve"> Description </w:t>
            </w:r>
          </w:p>
        </w:tc>
      </w:tr>
      <w:tr>
        <w:trPr>
          <w:trHeight w:val="240" w:hRule="atLeast"/>
        </w:trPr>
        <w:tc>
          <w:tcPr>
            <w:tcW w:w="1927"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99.1 </w:t>
            </w:r>
          </w:p>
        </w:tc>
        <w:tc>
          <w:tcPr>
            <w:tcW w:w="137" w:type="dxa"/>
            <w:tcBorders/>
            <w:shd w:fill="cceeff"/>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11570" w:type="dxa"/>
            <w:tcBorders/>
            <w:shd w:fill="cceeff"/>
            <w:tcMar>
              <w:top w:w="15" w:type="dxa"/>
              <w:left w:w="15" w:type="dxa"/>
              <w:bottom w:w="15" w:type="dxa"/>
              <w:right w:w="15" w:type="dxa"/>
            </w:tcMar>
            <w:vAlign w:val="bottom"/>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Deed of Amendment to the Articles of Association, dated April 23, 2026.</w:t>
            </w:r>
            <w:r>
              <w:rPr>
                <w:rFonts w:ascii="Times New Roman" w:hAnsi="Times New Roman"/>
                <w:b w:val="false"/>
                <w:i w:val="false"/>
                <w:color w:val="000000"/>
                <w:sz w:val="20"/>
              </w:rPr>
              <w:t xml:space="preserve"> </w:t>
            </w:r>
          </w:p>
        </w:tc>
      </w:tr>
    </w:tbl>
    <w:bookmarkEnd w:id="1"/>
    <w:p>
      <w:pPr>
        <w:spacing w:before="0" w:after="0"/>
        <w:ind w:left="120"/>
        <w:jc w:val="center"/>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center"/>
      </w:pPr>
      <w:r>
        <w:rPr>
          <w:rFonts w:ascii="Times New Roman" w:hAnsi="Times New Roman"/>
          <w:b w:val="false"/>
          <w:i w:val="false"/>
          <w:color w:val="000000"/>
          <w:sz w:val="20"/>
        </w:rPr>
        <w:t xml:space="preserve"> </w:t>
      </w:r>
      <w:r>
        <w:rPr>
          <w:rFonts w:ascii="Times New Roman" w:hAnsi="Times New Roman"/>
          <w:b w:val="false"/>
          <w:i w:val="false"/>
          <w:color w:val="000000"/>
          <w:sz w:val="16"/>
        </w:rPr>
        <w:t>3</w:t>
      </w:r>
      <w:r>
        <w:rPr>
          <w:rFonts w:ascii="Times New Roman" w:hAnsi="Times New Roman"/>
          <w:b w:val="false"/>
          <w:i w:val="false"/>
          <w:color w:val="000000"/>
          <w:sz w:val="20"/>
        </w:rPr>
        <w:t xml:space="preserve"> </w:t>
      </w:r>
    </w:p>
    <w:p>
      <w:pPr>
        <w:spacing w:before="0" w:after="0"/>
        <w:ind w:left="120"/>
        <w:jc w:val="left"/>
      </w:pPr>
    </w:p>
    <w:p>
      <w:pPr>
        <w:spacing w:before="0" w:after="0"/>
        <w:ind w:left="120"/>
        <w:jc w:val="center"/>
      </w:pPr>
    </w:p>
    <w:p>
      <w:r>
        <w:pict>
          <v:rect style="width:0;height:1.5pt" id="_x0000_i1025" o:hr="t" o:hrstd="t" o:hralign="center" stroked="f" fillcolor="#a0a0a0"/>
        </w:pict>
      </w:r>
    </w:p>
    <w:p>
      <w:pPr>
        <w:spacing w:before="0" w:after="0"/>
        <w:ind w:left="120"/>
        <w:jc w:val="center"/>
      </w:pPr>
    </w:p>
    <w:p>
      <w:pPr>
        <w:spacing w:before="0" w:after="0"/>
        <w:ind w:left="120"/>
        <w:jc w:val="left"/>
      </w:pPr>
    </w:p>
    <w:p/>
    <w:br w:type="page"/>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 xml:space="preserve">EX-99.1 </w:t>
      </w:r>
      <w:r>
        <w:rPr>
          <w:rFonts w:ascii="Times New Roman" w:hAnsi="Times New Roman"/>
          <w:b w:val="false"/>
          <w:i w:val="false"/>
          <w:color w:val="000000"/>
          <w:sz w:val="20"/>
        </w:rPr>
        <w:t xml:space="preserve">2 </w:t>
      </w:r>
      <w:r>
        <w:rPr>
          <w:rFonts w:ascii="Times New Roman" w:hAnsi="Times New Roman"/>
          <w:b w:val="false"/>
          <w:i w:val="false"/>
          <w:color w:val="000000"/>
          <w:sz w:val="20"/>
        </w:rPr>
        <w:t xml:space="preserve">ef20071058_ex99-1.htm </w:t>
      </w:r>
      <w:r>
        <w:rPr>
          <w:rFonts w:ascii="Times New Roman" w:hAnsi="Times New Roman"/>
          <w:b w:val="false"/>
          <w:i w:val="false"/>
          <w:color w:val="000000"/>
          <w:sz w:val="20"/>
        </w:rPr>
        <w:t xml:space="preserve">EXHIBIT 99.1 </w:t>
      </w:r>
    </w:p>
    <w:p>
      <w:r>
        <w:pict>
          <v:rect style="width:0;height:1.5pt" id="_x0000_i1025" o:hr="t" o:hrstd="t" o:hralign="center" stroked="f" fillcolor="#a0a0a0"/>
        </w:pict>
      </w:r>
    </w:p>
    <w:p>
      <w:pPr>
        <w:spacing w:before="0" w:after="0"/>
        <w:ind w:left="120"/>
        <w:jc w:val="left"/>
      </w:pPr>
    </w:p>
    <w:p>
      <w:pPr>
        <w:spacing w:before="0" w:after="0"/>
        <w:ind w:left="120"/>
        <w:jc w:val="right"/>
      </w:pPr>
      <w:r>
        <w:rPr>
          <w:rFonts w:ascii="Times New Roman" w:hAnsi="Times New Roman"/>
          <w:b w:val="false"/>
          <w:i w:val="false"/>
          <w:color w:val="000000"/>
          <w:sz w:val="20"/>
        </w:rPr>
        <w:t xml:space="preserve"> </w:t>
      </w:r>
      <w:r>
        <w:rPr>
          <w:rFonts w:ascii="Times New Roman" w:hAnsi="Times New Roman"/>
          <w:b/>
          <w:i w:val="false"/>
          <w:color w:val="000000"/>
          <w:sz w:val="20"/>
        </w:rPr>
        <w:t>Exhibit 99.1</w:t>
      </w: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color w:val="000000"/>
          <w:sz w:val="20"/>
        </w:rPr>
        <w:t xml:space="preserve"> </w:t>
      </w:r>
      <w:r>
        <w:br/>
      </w:r>
      <w:r>
        <w:rPr>
          <w:rFonts w:ascii="Times New Roman" w:hAnsi="Times New Roman"/>
          <w:b w:val="false"/>
          <w:i/>
          <w:color w:val="000000"/>
          <w:sz w:val="20"/>
        </w:rPr>
        <w:t xml:space="preserve"> </w:t>
      </w:r>
    </w:p>
    <w:bookmarkStart w:name="zc02da8e5f8904fb7a30ec05b7d293139" w:id="0"/>
    <w:tbl>
      <w:tblPr>
        <w:tblW w:w="0" w:type="auto"/>
        <w:tblCellSpacing w:w="0" w:type="auto"/>
        <w:tblBorders>
          <w:top w:val="none"/>
          <w:left w:val="none"/>
          <w:bottom w:val="none"/>
          <w:right w:val="none"/>
          <w:insideH w:val="none"/>
          <w:insideV w:val="none"/>
        </w:tblBorders>
      </w:tblPr>
      <w:tblGrid>
        <w:gridCol w:w="5982"/>
        <w:gridCol w:w="417"/>
        <w:gridCol w:w="7235"/>
      </w:tblGrid>
      <w:tr>
        <w:trPr>
          <w:trHeight w:val="210" w:hRule="atLeast"/>
        </w:trPr>
        <w:tc>
          <w:tcPr>
            <w:tcW w:w="598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0"/>
              </w:rPr>
              <w:t xml:space="preserve"> </w:t>
            </w:r>
            <w:bookmarkStart w:name="bmkFirmLogo1" w:id="1"/>
            <w:bookmarkEnd w:id="1"/>
            <w:r>
              <w:drawing>
                <wp:inline distT="0" distB="0" distL="0" distR="0">
                  <wp:extent cx="1981200" cy="304800"/>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3"/>
                          <a:stretch>
                            <a:fillRect/>
                          </a:stretch>
                        </pic:blipFill>
                        <pic:spPr>
                          <a:xfrm>
                            <a:off x="0" y="0"/>
                            <a:ext cx="1981200" cy="304800"/>
                          </a:xfrm>
                          <a:prstGeom prst="rect">
                            <a:avLst/>
                          </a:prstGeom>
                        </pic:spPr>
                      </pic:pic>
                    </a:graphicData>
                  </a:graphic>
                </wp:inline>
              </w:drawing>
            </w:r>
            <w:r>
              <w:rPr>
                <w:rFonts w:ascii="Times New Roman" w:hAnsi="Times New Roman"/>
                <w:b w:val="false"/>
                <w:i w:val="false"/>
                <w:color w:val="000000"/>
                <w:sz w:val="20"/>
              </w:rPr>
              <w:t xml:space="preserve"> </w:t>
            </w:r>
          </w:p>
        </w:tc>
      </w:tr>
      <w:tr>
        <w:trPr>
          <w:trHeight w:val="210" w:hRule="atLeast"/>
        </w:trPr>
        <w:tc>
          <w:tcPr>
            <w:tcW w:w="598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center"/>
          </w:tcPr>
          <w:p>
            <w:pPr>
              <w:spacing w:before="0" w:after="0"/>
              <w:ind w:left="0"/>
              <w:jc w:val="left"/>
            </w:pPr>
            <w:r>
              <w:rPr>
                <w:rFonts w:ascii="Times New Roman" w:hAnsi="Times New Roman"/>
                <w:b w:val="false"/>
                <w:i w:val="false"/>
                <w:color w:val="000000"/>
                <w:sz w:val="20"/>
              </w:rPr>
              <w:t> </w:t>
            </w:r>
          </w:p>
        </w:tc>
      </w:tr>
      <w:tr>
        <w:trPr>
          <w:trHeight w:val="210" w:hRule="atLeast"/>
        </w:trPr>
        <w:tc>
          <w:tcPr>
            <w:tcW w:w="598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417"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7235"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1</w:t>
            </w:r>
          </w:p>
        </w:tc>
      </w:tr>
    </w:tbl>
    <w:bookmarkEnd w:id="0"/>
    <w:p>
      <w:pPr>
        <w:spacing w:before="0" w:after="0"/>
        <w:ind w:left="120"/>
        <w:jc w:val="left"/>
      </w:pPr>
      <w:r>
        <w:rPr>
          <w:rFonts w:ascii="Times New Roman" w:hAnsi="Times New Roman"/>
          <w:b w:val="false"/>
          <w:i/>
          <w:color w:val="000000"/>
          <w:sz w:val="20"/>
        </w:rPr>
        <w:t xml:space="preserve"> </w:t>
      </w:r>
      <w:r>
        <w:br/>
      </w:r>
      <w:r>
        <w:rPr>
          <w:rFonts w:ascii="Times New Roman" w:hAnsi="Times New Roman"/>
          <w:b w:val="false"/>
          <w:i/>
          <w:color w:val="000000"/>
          <w:sz w:val="20"/>
        </w:rPr>
        <w:t xml:space="preserve"> </w:t>
      </w:r>
    </w:p>
    <w:p>
      <w:pPr>
        <w:spacing w:before="0" w:after="0"/>
        <w:ind w:left="120"/>
        <w:jc w:val="left"/>
      </w:pPr>
      <w:r>
        <w:rPr>
          <w:rFonts w:ascii="Times New Roman" w:hAnsi="Times New Roman"/>
          <w:b w:val="false"/>
          <w:i/>
          <w:color w:val="000000"/>
          <w:sz w:val="20"/>
        </w:rPr>
        <w:t xml:space="preserve"> This is a translation into English of the deed of amendment to the articles of association of a public limited liability company under Dutch law. In the event of a conflict between the English and Dutch texts, the Dutch text shall prevail.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i w:val="false"/>
          <w:color w:val="000000"/>
          <w:sz w:val="20"/>
        </w:rPr>
        <w:t xml:space="preserve"> DEED OF AMENDMENT TO THE ARTICLES OF ASSOCIATION OF </w:t>
      </w:r>
    </w:p>
    <w:p>
      <w:pPr>
        <w:spacing w:before="0" w:after="0"/>
        <w:ind w:left="120"/>
        <w:jc w:val="center"/>
      </w:pPr>
      <w:r>
        <w:rPr>
          <w:rFonts w:ascii="Times New Roman" w:hAnsi="Times New Roman"/>
          <w:b/>
          <w:i w:val="false"/>
          <w:color w:val="000000"/>
          <w:sz w:val="20"/>
        </w:rPr>
        <w:t xml:space="preserve"> INFLARX N.V.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On this, the [twenty-third day of April] two thousand and twenty-six, appeared before me, Paul Cornelis Simon van der Bijl, civil law notary in Amsterdam: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color w:val="000000"/>
          <w:sz w:val="20"/>
        </w:rPr>
        <w:t>ND employee, under proxy</w:t>
      </w:r>
      <w:r>
        <w:rPr>
          <w:rFonts w:ascii="Times New Roman" w:hAnsi="Times New Roman"/>
          <w:b w:val="false"/>
          <w:i w:val="false"/>
          <w:color w:val="000000"/>
          <w:sz w:val="20"/>
        </w:rPr>
        <w:t xml:space="preserve">], working at the offices of NautaDutilh N.V. located at Beethovenstraat 400, 1082 PR Amsterdam. </w:t>
      </w:r>
    </w:p>
    <w:p>
      <w:pPr>
        <w:spacing w:before="0" w:after="0"/>
        <w:ind w:left="120"/>
        <w:jc w:val="left"/>
      </w:pPr>
      <w:r>
        <w:rPr>
          <w:rFonts w:ascii="Times New Roman" w:hAnsi="Times New Roman"/>
          <w:b w:val="false"/>
          <w:i w:val="false"/>
          <w:color w:val="000000"/>
          <w:sz w:val="20"/>
        </w:rPr>
        <w:t xml:space="preserve"> The person appearing before me declared that the general meeting of shareholders of </w:t>
      </w:r>
      <w:r>
        <w:rPr>
          <w:rFonts w:ascii="Times New Roman" w:hAnsi="Times New Roman"/>
          <w:b/>
          <w:i w:val="false"/>
          <w:color w:val="000000"/>
          <w:sz w:val="20"/>
        </w:rPr>
        <w:t>InflaRx N.V.</w:t>
      </w:r>
      <w:r>
        <w:rPr>
          <w:rFonts w:ascii="Times New Roman" w:hAnsi="Times New Roman"/>
          <w:b w:val="false"/>
          <w:i w:val="false"/>
          <w:color w:val="000000"/>
          <w:sz w:val="20"/>
        </w:rPr>
        <w:t>, a public limited liability company (</w:t>
      </w:r>
      <w:r>
        <w:rPr>
          <w:rFonts w:ascii="Times New Roman" w:hAnsi="Times New Roman"/>
          <w:b w:val="false"/>
          <w:i/>
          <w:color w:val="000000"/>
          <w:sz w:val="20"/>
        </w:rPr>
        <w:t>naamloze vennootschap</w:t>
      </w:r>
      <w:r>
        <w:rPr>
          <w:rFonts w:ascii="Times New Roman" w:hAnsi="Times New Roman"/>
          <w:b w:val="false"/>
          <w:i w:val="false"/>
          <w:color w:val="000000"/>
          <w:sz w:val="20"/>
        </w:rPr>
        <w:t>) under Dutch law, having its corporate seat in Amsterdam, the Netherlands (address: Winzerlaer Strasse 2, 07745 Jena, Germany, trade register number: 68904312) (the “</w:t>
      </w:r>
      <w:r>
        <w:rPr>
          <w:rFonts w:ascii="Times New Roman" w:hAnsi="Times New Roman"/>
          <w:b/>
          <w:i w:val="false"/>
          <w:color w:val="000000"/>
          <w:sz w:val="20"/>
        </w:rPr>
        <w:t>Company</w:t>
      </w:r>
      <w:r>
        <w:rPr>
          <w:rFonts w:ascii="Times New Roman" w:hAnsi="Times New Roman"/>
          <w:b w:val="false"/>
          <w:i w:val="false"/>
          <w:color w:val="000000"/>
          <w:sz w:val="20"/>
        </w:rPr>
        <w:t>”), held at Amsterdam, the Netherlands, on the [twenty-third day of April] two thousand and twenty-six has resolved to partially amend the Company’s articles of association (the “</w:t>
      </w:r>
      <w:r>
        <w:rPr>
          <w:rFonts w:ascii="Times New Roman" w:hAnsi="Times New Roman"/>
          <w:b/>
          <w:i w:val="false"/>
          <w:color w:val="000000"/>
          <w:sz w:val="20"/>
        </w:rPr>
        <w:t>Articles of Association</w:t>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The Articles of Association were most recently amended by a deed executed on the twenty-fourth day of April two thousand and twenty-five before a deputy of Paul Cornelis Simon van der Bijl, aforementioned civil law notary. </w:t>
      </w:r>
    </w:p>
    <w:p>
      <w:pPr>
        <w:spacing w:before="0" w:after="0"/>
        <w:ind w:left="120"/>
        <w:jc w:val="left"/>
      </w:pPr>
      <w:r>
        <w:rPr>
          <w:rFonts w:ascii="Times New Roman" w:hAnsi="Times New Roman"/>
          <w:b w:val="false"/>
          <w:i w:val="false"/>
          <w:color w:val="000000"/>
          <w:sz w:val="20"/>
        </w:rPr>
        <w:t xml:space="preserve"> Further to this resolution the person appearing stated that the Articles of Association are amended as follows: </w:t>
      </w:r>
    </w:p>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I.</w:t>
      </w:r>
      <w:r>
        <w:rPr>
          <w:rFonts w:ascii="Times New Roman" w:hAnsi="Times New Roman"/>
          <w:b w:val="false"/>
          <w:i w:val="false"/>
          <w:color w:val="000000"/>
          <w:sz w:val="20"/>
        </w:rPr>
        <w:t>          </w:t>
      </w:r>
      <w:r>
        <w:rPr>
          <w:rFonts w:ascii="Times New Roman" w:hAnsi="Times New Roman"/>
          <w:b/>
          <w:i w:val="false"/>
          <w:color w:val="000000"/>
          <w:sz w:val="20"/>
        </w:rPr>
        <w:t>Article 4 paragraph 1 will be:</w:t>
      </w:r>
      <w:r>
        <w:rPr>
          <w:rFonts w:ascii="Times New Roman" w:hAnsi="Times New Roman"/>
          <w:b w:val="false"/>
          <w:i w:val="false"/>
          <w:color w:val="000000"/>
          <w:sz w:val="20"/>
        </w:rPr>
        <w:t xml:space="preserve"> </w:t>
      </w:r>
    </w:p>
    <w:bookmarkStart w:name="z67ffc3b1ef1b45f58791a8a4a4068bfe" w:id="2"/>
    <w:tbl>
      <w:tblPr>
        <w:tblW w:w="0" w:type="auto"/>
        <w:tblCellSpacing w:w="0" w:type="dxa"/>
        <w:tblBorders>
          <w:top w:val="none"/>
          <w:left w:val="none"/>
          <w:bottom w:val="none"/>
          <w:right w:val="none"/>
          <w:insideH w:val="none"/>
          <w:insideV w:val="none"/>
        </w:tblBorders>
      </w:tblPr>
      <w:tblGrid>
        <w:gridCol w:w="945"/>
        <w:gridCol w:w="975"/>
        <w:gridCol w:w="11714"/>
      </w:tblGrid>
      <w:tr>
        <w:trPr>
          <w:trHeight w:val="435" w:hRule="atLeast"/>
        </w:trPr>
        <w:tc>
          <w:tcPr>
            <w:tcW w:w="945" w:type="dxa"/>
            <w:tcBorders/>
            <w:tcMar>
              <w:top w:w="15" w:type="dxa"/>
              <w:left w:w="15" w:type="dxa"/>
              <w:bottom w:w="15" w:type="dxa"/>
              <w:right w:w="15" w:type="dxa"/>
            </w:tcMar>
            <w:vAlign w:val="center"/>
          </w:tcPr>
          <w:p>
            <w:pPr>
              <w:spacing w:before="0" w:after="0"/>
              <w:ind w:left="0"/>
              <w:jc w:val="left"/>
            </w:pPr>
            <w:r>
              <w:br/>
            </w:r>
          </w:p>
        </w:tc>
        <w:tc>
          <w:tcPr>
            <w:tcW w:w="975" w:type="dxa"/>
            <w:tcBorders/>
            <w:tcMar>
              <w:top w:w="15" w:type="dxa"/>
              <w:left w:w="15" w:type="dxa"/>
              <w:bottom w:w="15" w:type="dxa"/>
              <w:right w:w="15" w:type="dxa"/>
            </w:tcMar>
            <w:vAlign w:val="top"/>
          </w:tcPr>
          <w:bookmarkStart w:name="z_Ref496780665" w:id="3"/>
          <w:bookmarkEnd w:id="3"/>
          <w:p>
            <w:pPr>
              <w:spacing w:before="0" w:after="0"/>
              <w:ind w:left="0"/>
              <w:jc w:val="left"/>
            </w:pPr>
            <w:r>
              <w:rPr>
                <w:rFonts w:ascii="Times New Roman" w:hAnsi="Times New Roman"/>
                <w:b w:val="false"/>
                <w:i w:val="false"/>
                <w:color w:val="000000"/>
                <w:sz w:val="20"/>
              </w:rPr>
              <w:t>“</w:t>
            </w:r>
            <w:r>
              <w:rPr>
                <w:rFonts w:ascii="Times New Roman" w:hAnsi="Times New Roman"/>
                <w:b/>
                <w:i w:val="false"/>
                <w:color w:val="000000"/>
                <w:sz w:val="20"/>
              </w:rPr>
              <w:t>4.1</w:t>
            </w:r>
          </w:p>
        </w:tc>
        <w:tc>
          <w:tcPr>
            <w:tcW w:w="11714"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w:t>
            </w:r>
            <w:bookmarkStart w:name="z_Hlk196392628" w:id="4"/>
            <w:bookmarkEnd w:id="4"/>
            <w:r>
              <w:rPr>
                <w:rFonts w:ascii="Times New Roman" w:hAnsi="Times New Roman"/>
                <w:b w:val="false"/>
                <w:i w:val="false"/>
                <w:color w:val="000000"/>
                <w:sz w:val="20"/>
              </w:rPr>
              <w:t xml:space="preserve">The Company’s authorised share capital amounts to forty-three million three hundred and seventy-five thousand two hundred euro (EUR 43,375,200.00).”. </w:t>
            </w:r>
          </w:p>
        </w:tc>
      </w:tr>
    </w:tbl>
    <w:bookmarkEnd w:id="2"/>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II.</w:t>
      </w:r>
      <w:r>
        <w:rPr>
          <w:rFonts w:ascii="Times New Roman" w:hAnsi="Times New Roman"/>
          <w:b w:val="false"/>
          <w:i w:val="false"/>
          <w:color w:val="000000"/>
          <w:sz w:val="20"/>
        </w:rPr>
        <w:t>          </w:t>
      </w:r>
      <w:r>
        <w:rPr>
          <w:rFonts w:ascii="Times New Roman" w:hAnsi="Times New Roman"/>
          <w:b/>
          <w:i w:val="false"/>
          <w:color w:val="000000"/>
          <w:sz w:val="20"/>
        </w:rPr>
        <w:t>Article 4 paragraph 2 will be:</w:t>
      </w:r>
      <w:r>
        <w:rPr>
          <w:rFonts w:ascii="Times New Roman" w:hAnsi="Times New Roman"/>
          <w:b w:val="false"/>
          <w:i w:val="false"/>
          <w:color w:val="000000"/>
          <w:sz w:val="20"/>
        </w:rPr>
        <w:t xml:space="preserve"> </w:t>
      </w:r>
    </w:p>
    <w:bookmarkStart w:name="z2744d137f4ff4c6a975bbc6d61dfbac5" w:id="5"/>
    <w:tbl>
      <w:tblPr>
        <w:tblW w:w="0" w:type="auto"/>
        <w:tblCellSpacing w:w="0" w:type="dxa"/>
        <w:tblBorders>
          <w:top w:val="none"/>
          <w:left w:val="none"/>
          <w:bottom w:val="none"/>
          <w:right w:val="none"/>
          <w:insideH w:val="none"/>
          <w:insideV w:val="none"/>
        </w:tblBorders>
      </w:tblPr>
      <w:tblGrid>
        <w:gridCol w:w="945"/>
        <w:gridCol w:w="975"/>
        <w:gridCol w:w="11714"/>
      </w:tblGrid>
      <w:tr>
        <w:trPr>
          <w:trHeight w:val="225" w:hRule="atLeast"/>
        </w:trPr>
        <w:tc>
          <w:tcPr>
            <w:tcW w:w="945"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975"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w:t>
            </w:r>
            <w:r>
              <w:rPr>
                <w:rFonts w:ascii="Times New Roman" w:hAnsi="Times New Roman"/>
                <w:b/>
                <w:i w:val="false"/>
                <w:color w:val="000000"/>
                <w:sz w:val="20"/>
              </w:rPr>
              <w:t>4.2</w:t>
            </w:r>
            <w:r>
              <w:rPr>
                <w:rFonts w:ascii="Times New Roman" w:hAnsi="Times New Roman"/>
                <w:b w:val="false"/>
                <w:i w:val="false"/>
                <w:color w:val="000000"/>
                <w:sz w:val="20"/>
              </w:rPr>
              <w:t xml:space="preserve"> </w:t>
            </w:r>
          </w:p>
        </w:tc>
        <w:tc>
          <w:tcPr>
            <w:tcW w:w="11714"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The authorised share capital is divided into: </w:t>
            </w:r>
          </w:p>
        </w:tc>
      </w:tr>
    </w:tbl>
    <w:bookmarkEnd w:id="5"/>
    <w:bookmarkStart w:name="z70ea8ffc17794eeb93b57f561b490976" w:id="6"/>
    <w:tbl>
      <w:tblPr>
        <w:tblW w:w="0" w:type="auto"/>
        <w:tblCellSpacing w:w="0" w:type="dxa"/>
        <w:tblBorders>
          <w:top w:val="none"/>
          <w:left w:val="none"/>
          <w:bottom w:val="none"/>
          <w:right w:val="none"/>
          <w:insideH w:val="none"/>
          <w:insideV w:val="none"/>
        </w:tblBorders>
      </w:tblPr>
      <w:tblGrid>
        <w:gridCol w:w="1891"/>
        <w:gridCol w:w="944"/>
        <w:gridCol w:w="10799"/>
      </w:tblGrid>
      <w:tr>
        <w:trPr>
          <w:trHeight w:val="435" w:hRule="atLeast"/>
        </w:trPr>
        <w:tc>
          <w:tcPr>
            <w:tcW w:w="1891" w:type="dxa"/>
            <w:tcBorders/>
            <w:tcMar>
              <w:top w:w="15" w:type="dxa"/>
              <w:left w:w="15" w:type="dxa"/>
              <w:bottom w:w="15" w:type="dxa"/>
              <w:right w:w="15" w:type="dxa"/>
            </w:tcMar>
            <w:vAlign w:val="center"/>
          </w:tcPr>
          <w:p>
            <w:pPr>
              <w:spacing w:before="0" w:after="0"/>
              <w:ind w:left="0"/>
              <w:jc w:val="left"/>
            </w:pPr>
            <w:r>
              <w:br/>
            </w:r>
          </w:p>
        </w:tc>
        <w:tc>
          <w:tcPr>
            <w:tcW w:w="944" w:type="dxa"/>
            <w:tcBorders/>
            <w:tcMar>
              <w:top w:w="15" w:type="dxa"/>
              <w:left w:w="15" w:type="dxa"/>
              <w:bottom w:w="15" w:type="dxa"/>
              <w:right w:w="15" w:type="dxa"/>
            </w:tcMar>
            <w:vAlign w:val="top"/>
          </w:tcPr>
          <w:p>
            <w:pPr>
              <w:spacing w:before="0" w:after="0"/>
              <w:ind w:left="0"/>
              <w:jc w:val="left"/>
            </w:pPr>
            <w:r>
              <w:rPr>
                <w:rFonts w:ascii="Times New Roman" w:hAnsi="Times New Roman"/>
                <w:b/>
                <w:i w:val="false"/>
                <w:color w:val="000000"/>
                <w:sz w:val="20"/>
              </w:rPr>
              <w:t>a.</w:t>
            </w:r>
          </w:p>
        </w:tc>
        <w:tc>
          <w:tcPr>
            <w:tcW w:w="10799"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one hundred and eighty million seven hundred and thirty thousand (180,730,000) ordinary shares; and </w:t>
            </w:r>
          </w:p>
        </w:tc>
      </w:tr>
    </w:tbl>
    <w:bookmarkEnd w:id="6"/>
    <w:bookmarkStart w:name="z47a950a0ef6f448589aae6cf4ff3979b" w:id="7"/>
    <w:tbl>
      <w:tblPr>
        <w:tblW w:w="0" w:type="auto"/>
        <w:tblCellSpacing w:w="0" w:type="dxa"/>
        <w:tblBorders>
          <w:top w:val="none"/>
          <w:left w:val="none"/>
          <w:bottom w:val="none"/>
          <w:right w:val="none"/>
          <w:insideH w:val="none"/>
          <w:insideV w:val="none"/>
        </w:tblBorders>
      </w:tblPr>
      <w:tblGrid>
        <w:gridCol w:w="1891"/>
        <w:gridCol w:w="944"/>
        <w:gridCol w:w="10799"/>
      </w:tblGrid>
      <w:tr>
        <w:trPr>
          <w:trHeight w:val="225" w:hRule="atLeast"/>
        </w:trPr>
        <w:tc>
          <w:tcPr>
            <w:tcW w:w="1891" w:type="dxa"/>
            <w:tcBorders/>
            <w:tcMar>
              <w:top w:w="15" w:type="dxa"/>
              <w:left w:w="15" w:type="dxa"/>
              <w:bottom w:w="15" w:type="dxa"/>
              <w:right w:w="15" w:type="dxa"/>
            </w:tcMar>
            <w:vAlign w:val="center"/>
          </w:tcPr>
          <w:p>
            <w:pPr>
              <w:spacing w:before="0" w:after="0"/>
              <w:ind w:left="0"/>
              <w:jc w:val="left"/>
            </w:pPr>
            <w:r>
              <w:br/>
            </w:r>
          </w:p>
        </w:tc>
        <w:tc>
          <w:tcPr>
            <w:tcW w:w="944" w:type="dxa"/>
            <w:tcBorders/>
            <w:tcMar>
              <w:top w:w="15" w:type="dxa"/>
              <w:left w:w="15" w:type="dxa"/>
              <w:bottom w:w="15" w:type="dxa"/>
              <w:right w:w="15" w:type="dxa"/>
            </w:tcMar>
            <w:vAlign w:val="top"/>
          </w:tcPr>
          <w:p>
            <w:pPr>
              <w:spacing w:before="0" w:after="0"/>
              <w:ind w:left="0"/>
              <w:jc w:val="left"/>
            </w:pPr>
            <w:r>
              <w:rPr>
                <w:rFonts w:ascii="Times New Roman" w:hAnsi="Times New Roman"/>
                <w:b/>
                <w:i w:val="false"/>
                <w:color w:val="000000"/>
                <w:sz w:val="20"/>
              </w:rPr>
              <w:t>b.</w:t>
            </w:r>
          </w:p>
        </w:tc>
        <w:tc>
          <w:tcPr>
            <w:tcW w:w="10799"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one hundred and eighty million seven hundred and thirty thousand (180,730,000) preferred shares, </w:t>
            </w:r>
          </w:p>
        </w:tc>
      </w:tr>
    </w:tbl>
    <w:bookmarkEnd w:id="7"/>
    <w:p>
      <w:pPr>
        <w:spacing w:before="0" w:after="0"/>
        <w:ind w:left="1527"/>
        <w:jc w:val="both"/>
      </w:pPr>
      <w:r>
        <w:rPr>
          <w:rFonts w:ascii="Times New Roman" w:hAnsi="Times New Roman"/>
          <w:b w:val="false"/>
          <w:i w:val="false"/>
          <w:color w:val="000000"/>
          <w:sz w:val="20"/>
        </w:rPr>
        <w:t xml:space="preserve"> each having a nominal value of twelve eurocents (EUR </w:t>
      </w:r>
      <w:r>
        <w:rPr>
          <w:rFonts w:ascii="Times New Roman" w:hAnsi="Times New Roman"/>
          <w:b w:val="false"/>
          <w:i w:val="false"/>
          <w:color w:val="000000"/>
          <w:sz w:val="20"/>
        </w:rPr>
        <w:t>0.12</w:t>
      </w:r>
      <w:r>
        <w:rPr>
          <w:rFonts w:ascii="Times New Roman" w:hAnsi="Times New Roman"/>
          <w:b w:val="false"/>
          <w:i w:val="false"/>
          <w:color w:val="000000"/>
          <w:sz w:val="20"/>
        </w:rPr>
        <w:t xml:space="preserve">).”. </w:t>
      </w:r>
    </w:p>
    <w:bookmarkStart w:name="z22319c2f27d849b2bd3c950e9dc5ba8c" w:id="8"/>
    <w:tbl>
      <w:tblPr>
        <w:tblW w:w="0" w:type="auto"/>
        <w:tblCellSpacing w:w="0" w:type="dxa"/>
        <w:tblBorders>
          <w:top w:val="none"/>
          <w:left w:val="none"/>
          <w:bottom w:val="none"/>
          <w:right w:val="none"/>
          <w:insideH w:val="none"/>
          <w:insideV w:val="none"/>
        </w:tblBorders>
      </w:tblPr>
      <w:tblGrid>
        <w:gridCol w:w="945"/>
        <w:gridCol w:w="12689"/>
      </w:tblGrid>
      <w:tr>
        <w:trPr>
          <w:trHeight w:val="225" w:hRule="atLeast"/>
        </w:trPr>
        <w:tc>
          <w:tcPr>
            <w:tcW w:w="945" w:type="dxa"/>
            <w:tcBorders/>
            <w:tcMar>
              <w:top w:w="15" w:type="dxa"/>
              <w:left w:w="15" w:type="dxa"/>
              <w:bottom w:w="15" w:type="dxa"/>
              <w:right w:w="15" w:type="dxa"/>
            </w:tcMar>
            <w:vAlign w:val="top"/>
          </w:tcPr>
          <w:p>
            <w:pPr>
              <w:spacing w:before="0" w:after="0"/>
              <w:ind w:left="0"/>
              <w:jc w:val="left"/>
            </w:pPr>
            <w:r>
              <w:rPr>
                <w:rFonts w:ascii="Times New Roman" w:hAnsi="Times New Roman"/>
                <w:b/>
                <w:i w:val="false"/>
                <w:color w:val="000000"/>
                <w:sz w:val="20"/>
              </w:rPr>
              <w:t>III.</w:t>
            </w:r>
          </w:p>
        </w:tc>
        <w:tc>
          <w:tcPr>
            <w:tcW w:w="12689" w:type="dxa"/>
            <w:tcBorders/>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A new article 34 will be inserted after article 33. The new article 34 shall come to read as follows: </w:t>
            </w:r>
          </w:p>
        </w:tc>
      </w:tr>
    </w:tbl>
    <w:bookmarkEnd w:id="8"/>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TRANSITIONAL PROVISION</w:t>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i w:val="false"/>
          <w:color w:val="000000"/>
          <w:sz w:val="20"/>
        </w:rPr>
        <w:t xml:space="preserve"> ARTICLE 34 </w:t>
      </w:r>
    </w:p>
    <w:p>
      <w:pPr>
        <w:spacing w:before="0" w:after="0"/>
        <w:ind w:left="829"/>
        <w:jc w:val="left"/>
      </w:pPr>
      <w:r>
        <w:rPr>
          <w:rFonts w:ascii="Times New Roman" w:hAnsi="Times New Roman"/>
          <w:b w:val="false"/>
          <w:i w:val="false"/>
          <w:color w:val="000000"/>
          <w:sz w:val="20"/>
        </w:rPr>
        <w:t xml:space="preserve"> </w:t>
      </w:r>
      <w:bookmarkStart w:name="z_Ref496781486" w:id="9"/>
      <w:bookmarkEnd w:id="9"/>
      <w:r>
        <w:rPr>
          <w:rFonts w:ascii="Times New Roman" w:hAnsi="Times New Roman"/>
          <w:b w:val="false"/>
          <w:i w:val="false"/>
          <w:color w:val="000000"/>
          <w:sz w:val="20"/>
        </w:rPr>
        <w:t xml:space="preserve">Upon the aggregate nominal value of the ordinary shares comprised in Company’s issued share capital increasing to an amount of at least eighteen million two hundred and seventy-five thousand one hundred and forty-two euro (EUR 18,275,142.00): </w:t>
      </w:r>
    </w:p>
    <w:p>
      <w:pPr>
        <w:spacing w:before="0" w:after="0"/>
        <w:ind w:left="829"/>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tbl>
      <w:tblPr>
        <w:tblW w:w="0" w:type="auto"/>
        <w:tblCellSpacing w:w="0" w:type="auto"/>
        <w:tblBorders>
          <w:top w:val="none"/>
          <w:left w:val="none"/>
          <w:bottom w:val="none"/>
          <w:right w:val="none"/>
          <w:insideH w:val="none"/>
          <w:insideV w:val="none"/>
        </w:tblBorders>
      </w:tblPr>
      <w:tblGrid>
        <w:gridCol w:w="5982"/>
        <w:gridCol w:w="417"/>
        <w:gridCol w:w="7235"/>
      </w:tblGrid>
      <w:tr>
        <w:trPr>
          <w:trHeight w:val="210" w:hRule="atLeast"/>
        </w:trPr>
        <w:tc>
          <w:tcPr>
            <w:tcW w:w="598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center"/>
          </w:tcPr>
          <w:p>
            <w:pPr>
              <w:spacing w:before="0" w:after="0"/>
              <w:ind w:left="120"/>
              <w:jc w:val="left"/>
            </w:pPr>
            <w:r>
              <w:rPr>
                <w:rFonts w:ascii="Times New Roman" w:hAnsi="Times New Roman"/>
                <w:b w:val="false"/>
                <w:i w:val="false"/>
                <w:color w:val="000000"/>
                <w:sz w:val="20"/>
              </w:rPr>
              <w:t xml:space="preserve"> </w:t>
            </w:r>
            <w:r>
              <w:drawing>
                <wp:inline distT="0" distB="0" distL="0" distR="0">
                  <wp:extent cx="1981200" cy="304800"/>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4"/>
                          <a:stretch>
                            <a:fillRect/>
                          </a:stretch>
                        </pic:blipFill>
                        <pic:spPr>
                          <a:xfrm>
                            <a:off x="0" y="0"/>
                            <a:ext cx="1981200" cy="304800"/>
                          </a:xfrm>
                          <a:prstGeom prst="rect">
                            <a:avLst/>
                          </a:prstGeom>
                        </pic:spPr>
                      </pic:pic>
                    </a:graphicData>
                  </a:graphic>
                </wp:inline>
              </w:drawing>
            </w:r>
            <w:r>
              <w:rPr>
                <w:rFonts w:ascii="Times New Roman" w:hAnsi="Times New Roman"/>
                <w:b w:val="false"/>
                <w:i w:val="false"/>
                <w:color w:val="000000"/>
                <w:sz w:val="20"/>
              </w:rPr>
              <w:t xml:space="preserve"> </w:t>
            </w:r>
          </w:p>
        </w:tc>
      </w:tr>
      <w:tr>
        <w:trPr>
          <w:trHeight w:val="210" w:hRule="atLeast"/>
        </w:trPr>
        <w:tc>
          <w:tcPr>
            <w:tcW w:w="598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center"/>
          </w:tcPr>
          <w:p>
            <w:pPr>
              <w:spacing w:before="0" w:after="0"/>
              <w:ind w:left="0"/>
              <w:jc w:val="left"/>
            </w:pPr>
            <w:r>
              <w:rPr>
                <w:rFonts w:ascii="Times New Roman" w:hAnsi="Times New Roman"/>
                <w:b w:val="false"/>
                <w:i w:val="false"/>
                <w:color w:val="000000"/>
                <w:sz w:val="20"/>
              </w:rPr>
              <w:t> </w:t>
            </w:r>
          </w:p>
        </w:tc>
      </w:tr>
      <w:tr>
        <w:trPr>
          <w:trHeight w:val="210" w:hRule="atLeast"/>
        </w:trPr>
        <w:tc>
          <w:tcPr>
            <w:tcW w:w="598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417"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7235"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2</w:t>
            </w:r>
          </w:p>
        </w:tc>
      </w:tr>
    </w:tbl>
    <w:bookmarkStart w:name="zc7c47aa1e83244bf91857c33e91e6f81" w:id="10"/>
    <w:tbl>
      <w:tblPr>
        <w:tblW w:w="0" w:type="auto"/>
        <w:tblCellSpacing w:w="0" w:type="dxa"/>
        <w:tblBorders>
          <w:top w:val="none"/>
          <w:left w:val="none"/>
          <w:bottom w:val="none"/>
          <w:right w:val="none"/>
          <w:insideH w:val="none"/>
          <w:insideV w:val="none"/>
        </w:tblBorders>
      </w:tblPr>
      <w:tblGrid>
        <w:gridCol w:w="945"/>
        <w:gridCol w:w="945"/>
        <w:gridCol w:w="11744"/>
      </w:tblGrid>
      <w:tr>
        <w:trPr>
          <w:trHeight w:val="660" w:hRule="atLeast"/>
        </w:trPr>
        <w:tc>
          <w:tcPr>
            <w:tcW w:w="945" w:type="dxa"/>
            <w:tcBorders/>
            <w:tcMar>
              <w:top w:w="15" w:type="dxa"/>
              <w:left w:w="15" w:type="dxa"/>
              <w:bottom w:w="15" w:type="dxa"/>
              <w:right w:w="15" w:type="dxa"/>
            </w:tcMar>
            <w:vAlign w:val="center"/>
          </w:tcPr>
          <w:p>
            <w:pPr>
              <w:spacing w:before="0" w:after="0"/>
              <w:ind w:left="0"/>
              <w:jc w:val="left"/>
            </w:pPr>
            <w:r>
              <w:br/>
            </w:r>
          </w:p>
        </w:tc>
        <w:tc>
          <w:tcPr>
            <w:tcW w:w="945" w:type="dxa"/>
            <w:tcBorders/>
            <w:tcMar>
              <w:top w:w="15" w:type="dxa"/>
              <w:left w:w="15" w:type="dxa"/>
              <w:bottom w:w="15" w:type="dxa"/>
              <w:right w:w="15" w:type="dxa"/>
            </w:tcMar>
            <w:vAlign w:val="top"/>
          </w:tcPr>
          <w:p>
            <w:pPr>
              <w:spacing w:before="0" w:after="0"/>
              <w:ind w:left="0"/>
              <w:jc w:val="left"/>
            </w:pPr>
            <w:r>
              <w:rPr>
                <w:rFonts w:ascii="Times New Roman" w:hAnsi="Times New Roman"/>
                <w:b/>
                <w:i w:val="false"/>
                <w:color w:val="000000"/>
                <w:sz w:val="20"/>
              </w:rPr>
              <w:t>a.</w:t>
            </w:r>
          </w:p>
        </w:tc>
        <w:tc>
          <w:tcPr>
            <w:tcW w:w="11744"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the Company’s authorised share capital described in Article 4.1 shall immediately and automatically increase to an amount of ninety-one million three hundred and seventy-five thousand seven hundred and ten euro (EUR 91,375,710.00); and </w:t>
            </w:r>
          </w:p>
        </w:tc>
      </w:tr>
    </w:tbl>
    <w:bookmarkEnd w:id="10"/>
    <w:bookmarkStart w:name="zf0915dbd3a7d4cde969222e414b35aa8" w:id="11"/>
    <w:tbl>
      <w:tblPr>
        <w:tblW w:w="0" w:type="auto"/>
        <w:tblCellSpacing w:w="0" w:type="dxa"/>
        <w:tblBorders>
          <w:top w:val="none"/>
          <w:left w:val="none"/>
          <w:bottom w:val="none"/>
          <w:right w:val="none"/>
          <w:insideH w:val="none"/>
          <w:insideV w:val="none"/>
        </w:tblBorders>
      </w:tblPr>
      <w:tblGrid>
        <w:gridCol w:w="945"/>
        <w:gridCol w:w="945"/>
        <w:gridCol w:w="11744"/>
      </w:tblGrid>
      <w:tr>
        <w:trPr>
          <w:trHeight w:val="435" w:hRule="atLeast"/>
        </w:trPr>
        <w:tc>
          <w:tcPr>
            <w:tcW w:w="945" w:type="dxa"/>
            <w:tcBorders/>
            <w:tcMar>
              <w:top w:w="15" w:type="dxa"/>
              <w:left w:w="15" w:type="dxa"/>
              <w:bottom w:w="15" w:type="dxa"/>
              <w:right w:w="15" w:type="dxa"/>
            </w:tcMar>
            <w:vAlign w:val="center"/>
          </w:tcPr>
          <w:p>
            <w:pPr>
              <w:spacing w:before="0" w:after="0"/>
              <w:ind w:left="0"/>
              <w:jc w:val="left"/>
            </w:pPr>
            <w:r>
              <w:br/>
            </w:r>
          </w:p>
        </w:tc>
        <w:tc>
          <w:tcPr>
            <w:tcW w:w="945" w:type="dxa"/>
            <w:tcBorders/>
            <w:tcMar>
              <w:top w:w="15" w:type="dxa"/>
              <w:left w:w="15" w:type="dxa"/>
              <w:bottom w:w="15" w:type="dxa"/>
              <w:right w:w="15" w:type="dxa"/>
            </w:tcMar>
            <w:vAlign w:val="top"/>
          </w:tcPr>
          <w:p>
            <w:pPr>
              <w:spacing w:before="0" w:after="0"/>
              <w:ind w:left="0"/>
              <w:jc w:val="left"/>
            </w:pPr>
            <w:r>
              <w:rPr>
                <w:rFonts w:ascii="Times New Roman" w:hAnsi="Times New Roman"/>
                <w:b/>
                <w:i w:val="false"/>
                <w:color w:val="000000"/>
                <w:sz w:val="20"/>
              </w:rPr>
              <w:t>b.</w:t>
            </w:r>
          </w:p>
        </w:tc>
        <w:tc>
          <w:tcPr>
            <w:tcW w:w="11744"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the composition of the authorised share capital described in Article 4.2 shall immediately and automatically be adjusted, such that the authorised share capital shall be divided </w:t>
            </w:r>
            <w:r>
              <w:rPr>
                <w:rFonts w:ascii="Times New Roman" w:hAnsi="Times New Roman"/>
                <w:b w:val="false"/>
                <w:i w:val="false"/>
                <w:color w:val="000000"/>
                <w:sz w:val="20"/>
              </w:rPr>
              <w:t>into</w:t>
            </w:r>
            <w:r>
              <w:rPr>
                <w:rFonts w:ascii="Times New Roman" w:hAnsi="Times New Roman"/>
                <w:b w:val="false"/>
                <w:i w:val="false"/>
                <w:color w:val="000000"/>
                <w:sz w:val="20"/>
              </w:rPr>
              <w:t xml:space="preserve">: </w:t>
            </w:r>
          </w:p>
        </w:tc>
      </w:tr>
    </w:tbl>
    <w:bookmarkEnd w:id="11"/>
    <w:bookmarkStart w:name="z3770ce857585498fa800c9859c209a4b" w:id="12"/>
    <w:tbl>
      <w:tblPr>
        <w:tblW w:w="0" w:type="auto"/>
        <w:tblCellSpacing w:w="0" w:type="dxa"/>
        <w:tblBorders>
          <w:top w:val="none"/>
          <w:left w:val="none"/>
          <w:bottom w:val="none"/>
          <w:right w:val="none"/>
          <w:insideH w:val="none"/>
          <w:insideV w:val="none"/>
        </w:tblBorders>
      </w:tblPr>
      <w:tblGrid>
        <w:gridCol w:w="1891"/>
        <w:gridCol w:w="944"/>
        <w:gridCol w:w="10799"/>
      </w:tblGrid>
      <w:tr>
        <w:trPr>
          <w:trHeight w:val="435" w:hRule="atLeast"/>
        </w:trPr>
        <w:tc>
          <w:tcPr>
            <w:tcW w:w="1891" w:type="dxa"/>
            <w:tcBorders/>
            <w:tcMar>
              <w:top w:w="15" w:type="dxa"/>
              <w:left w:w="15" w:type="dxa"/>
              <w:bottom w:w="15" w:type="dxa"/>
              <w:right w:w="15" w:type="dxa"/>
            </w:tcMar>
            <w:vAlign w:val="center"/>
          </w:tcPr>
          <w:p>
            <w:pPr>
              <w:spacing w:before="0" w:after="0"/>
              <w:ind w:left="0"/>
              <w:jc w:val="left"/>
            </w:pPr>
            <w:r>
              <w:br/>
            </w:r>
          </w:p>
        </w:tc>
        <w:tc>
          <w:tcPr>
            <w:tcW w:w="944" w:type="dxa"/>
            <w:tcBorders/>
            <w:tcMar>
              <w:top w:w="15" w:type="dxa"/>
              <w:left w:w="15" w:type="dxa"/>
              <w:bottom w:w="15" w:type="dxa"/>
              <w:right w:w="15" w:type="dxa"/>
            </w:tcMar>
            <w:vAlign w:val="top"/>
          </w:tcPr>
          <w:p>
            <w:pPr>
              <w:spacing w:before="0" w:after="0"/>
              <w:ind w:left="0"/>
              <w:jc w:val="left"/>
            </w:pPr>
            <w:r>
              <w:rPr>
                <w:rFonts w:ascii="Times New Roman" w:hAnsi="Times New Roman"/>
                <w:b/>
                <w:i w:val="false"/>
                <w:color w:val="000000"/>
                <w:sz w:val="20"/>
              </w:rPr>
              <w:t>a.</w:t>
            </w:r>
          </w:p>
        </w:tc>
        <w:tc>
          <w:tcPr>
            <w:tcW w:w="10799"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three hundred and eighty million seven hundred and thirty-two thousand one hundred and twenty-five (380,732,125) ordinary shares; and </w:t>
            </w:r>
          </w:p>
        </w:tc>
      </w:tr>
    </w:tbl>
    <w:bookmarkEnd w:id="12"/>
    <w:bookmarkStart w:name="zb7d522a593cd486bbba5afbce2c1509b" w:id="13"/>
    <w:tbl>
      <w:tblPr>
        <w:tblW w:w="0" w:type="auto"/>
        <w:tblCellSpacing w:w="0" w:type="dxa"/>
        <w:tblBorders>
          <w:top w:val="none"/>
          <w:left w:val="none"/>
          <w:bottom w:val="none"/>
          <w:right w:val="none"/>
          <w:insideH w:val="none"/>
          <w:insideV w:val="none"/>
        </w:tblBorders>
      </w:tblPr>
      <w:tblGrid>
        <w:gridCol w:w="1891"/>
        <w:gridCol w:w="944"/>
        <w:gridCol w:w="10799"/>
      </w:tblGrid>
      <w:tr>
        <w:trPr>
          <w:trHeight w:val="435" w:hRule="atLeast"/>
        </w:trPr>
        <w:tc>
          <w:tcPr>
            <w:tcW w:w="1891" w:type="dxa"/>
            <w:tcBorders/>
            <w:tcMar>
              <w:top w:w="15" w:type="dxa"/>
              <w:left w:w="15" w:type="dxa"/>
              <w:bottom w:w="15" w:type="dxa"/>
              <w:right w:w="15" w:type="dxa"/>
            </w:tcMar>
            <w:vAlign w:val="center"/>
          </w:tcPr>
          <w:p>
            <w:pPr>
              <w:spacing w:before="0" w:after="0"/>
              <w:ind w:left="0"/>
              <w:jc w:val="left"/>
            </w:pPr>
            <w:r>
              <w:br/>
            </w:r>
          </w:p>
        </w:tc>
        <w:tc>
          <w:tcPr>
            <w:tcW w:w="944" w:type="dxa"/>
            <w:tcBorders/>
            <w:tcMar>
              <w:top w:w="15" w:type="dxa"/>
              <w:left w:w="15" w:type="dxa"/>
              <w:bottom w:w="15" w:type="dxa"/>
              <w:right w:w="15" w:type="dxa"/>
            </w:tcMar>
            <w:vAlign w:val="top"/>
          </w:tcPr>
          <w:p>
            <w:pPr>
              <w:spacing w:before="0" w:after="0"/>
              <w:ind w:left="0"/>
              <w:jc w:val="left"/>
            </w:pPr>
            <w:r>
              <w:rPr>
                <w:rFonts w:ascii="Times New Roman" w:hAnsi="Times New Roman"/>
                <w:b/>
                <w:i w:val="false"/>
                <w:color w:val="000000"/>
                <w:sz w:val="20"/>
              </w:rPr>
              <w:t>b.</w:t>
            </w:r>
          </w:p>
        </w:tc>
        <w:tc>
          <w:tcPr>
            <w:tcW w:w="10799"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three hundred and eighty million seven hundred and thirty-two thousand one hundred and twenty-five (380,732,125) preferred shares, </w:t>
            </w:r>
          </w:p>
        </w:tc>
      </w:tr>
    </w:tbl>
    <w:bookmarkEnd w:id="13"/>
    <w:p>
      <w:pPr>
        <w:spacing w:before="0" w:after="0"/>
        <w:ind w:left="1538"/>
        <w:jc w:val="left"/>
      </w:pPr>
      <w:r>
        <w:rPr>
          <w:rFonts w:ascii="Times New Roman" w:hAnsi="Times New Roman"/>
          <w:b w:val="false"/>
          <w:i w:val="false"/>
          <w:color w:val="000000"/>
          <w:sz w:val="20"/>
        </w:rPr>
        <w:t xml:space="preserve"> each having a nominal value of twelve eurocents (EUR </w:t>
      </w:r>
      <w:r>
        <w:rPr>
          <w:rFonts w:ascii="Times New Roman" w:hAnsi="Times New Roman"/>
          <w:b w:val="false"/>
          <w:i w:val="false"/>
          <w:color w:val="000000"/>
          <w:sz w:val="20"/>
        </w:rPr>
        <w:t>0.12).</w:t>
      </w:r>
      <w:r>
        <w:rPr>
          <w:rFonts w:ascii="Times New Roman" w:hAnsi="Times New Roman"/>
          <w:b w:val="false"/>
          <w:i w:val="false"/>
          <w:color w:val="000000"/>
          <w:sz w:val="20"/>
        </w:rPr>
        <w:t xml:space="preserve"> </w:t>
      </w:r>
    </w:p>
    <w:p>
      <w:pPr>
        <w:spacing w:before="0" w:after="0"/>
        <w:ind w:left="1537"/>
        <w:jc w:val="left"/>
      </w:pPr>
      <w:r>
        <w:rPr>
          <w:rFonts w:ascii="Times New Roman" w:hAnsi="Times New Roman"/>
          <w:b w:val="false"/>
          <w:i w:val="false"/>
          <w:color w:val="000000"/>
          <w:sz w:val="20"/>
        </w:rPr>
        <w:t xml:space="preserve"> This Article 34 shall lapse and shall no longer form part of these articles of association at </w:t>
      </w:r>
    </w:p>
    <w:p>
      <w:pPr>
        <w:spacing w:before="0" w:after="0"/>
        <w:ind w:left="1537"/>
        <w:jc w:val="left"/>
      </w:pPr>
      <w:r>
        <w:rPr>
          <w:rFonts w:ascii="Times New Roman" w:hAnsi="Times New Roman"/>
          <w:b w:val="false"/>
          <w:i w:val="false"/>
          <w:color w:val="000000"/>
          <w:sz w:val="20"/>
        </w:rPr>
        <w:t xml:space="preserve"> the moment immediately after the increase of the Company’s issued share capital as </w:t>
      </w:r>
    </w:p>
    <w:p>
      <w:pPr>
        <w:spacing w:before="0" w:after="0"/>
        <w:ind w:left="1537"/>
        <w:jc w:val="left"/>
      </w:pPr>
      <w:r>
        <w:rPr>
          <w:rFonts w:ascii="Times New Roman" w:hAnsi="Times New Roman"/>
          <w:b w:val="false"/>
          <w:i w:val="false"/>
          <w:color w:val="000000"/>
          <w:sz w:val="20"/>
        </w:rPr>
        <w:t xml:space="preserve"> described in the first sentence of this Article 34 shall have become effective.”. </w:t>
      </w:r>
    </w:p>
    <w:p>
      <w:pPr>
        <w:spacing w:before="0" w:after="0"/>
        <w:ind w:left="120"/>
        <w:jc w:val="left"/>
      </w:pPr>
      <w:r>
        <w:rPr>
          <w:rFonts w:ascii="Times New Roman" w:hAnsi="Times New Roman"/>
          <w:b/>
          <w:i w:val="false"/>
          <w:color w:val="000000"/>
          <w:sz w:val="20"/>
        </w:rPr>
        <w:t xml:space="preserve"> FINAL STATEMENTS </w:t>
      </w:r>
    </w:p>
    <w:p>
      <w:pPr>
        <w:spacing w:before="0" w:after="0"/>
        <w:ind w:left="120"/>
        <w:jc w:val="left"/>
      </w:pPr>
      <w:r>
        <w:rPr>
          <w:rFonts w:ascii="Times New Roman" w:hAnsi="Times New Roman"/>
          <w:b w:val="false"/>
          <w:i w:val="false"/>
          <w:color w:val="000000"/>
          <w:sz w:val="20"/>
        </w:rPr>
        <w:t xml:space="preserve"> Finally, the person appearing declared: </w:t>
      </w:r>
    </w:p>
    <w:bookmarkStart w:name="z813822f0ff29493c8b5f9a350c7555b7" w:id="14"/>
    <w:tbl>
      <w:tblPr>
        <w:tblW w:w="0" w:type="auto"/>
        <w:tblCellSpacing w:w="0" w:type="dxa"/>
        <w:tblBorders>
          <w:top w:val="none"/>
          <w:left w:val="none"/>
          <w:bottom w:val="none"/>
          <w:right w:val="none"/>
          <w:insideH w:val="none"/>
          <w:insideV w:val="none"/>
        </w:tblBorders>
      </w:tblPr>
      <w:tblGrid>
        <w:gridCol w:w="945"/>
        <w:gridCol w:w="12689"/>
      </w:tblGrid>
      <w:tr>
        <w:trPr>
          <w:trHeight w:val="885" w:hRule="atLeast"/>
        </w:trPr>
        <w:tc>
          <w:tcPr>
            <w:tcW w:w="945" w:type="dxa"/>
            <w:tcBorders/>
            <w:tcMar>
              <w:top w:w="15" w:type="dxa"/>
              <w:left w:w="15" w:type="dxa"/>
              <w:bottom w:w="15" w:type="dxa"/>
              <w:right w:w="15" w:type="dxa"/>
            </w:tcMar>
            <w:vAlign w:val="top"/>
          </w:tcPr>
          <w:p>
            <w:pPr>
              <w:spacing w:before="0" w:after="0"/>
              <w:ind w:left="0"/>
              <w:jc w:val="left"/>
            </w:pPr>
            <w:r>
              <w:rPr>
                <w:rFonts w:ascii="Times New Roman" w:hAnsi="Times New Roman"/>
                <w:b/>
                <w:i w:val="false"/>
                <w:color w:val="000000"/>
                <w:sz w:val="20"/>
              </w:rPr>
              <w:t>A.</w:t>
            </w:r>
          </w:p>
        </w:tc>
        <w:tc>
          <w:tcPr>
            <w:tcW w:w="12689"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that the Company’s issued capital amounts to eight million six hundred and seventy-five thousand one hundred and forty-three euro and eight eurocent (EUR 8,675,143.08), divided into seventy-two million two hundred and ninety-two thousand eight hundred and fifty-nine (72,292,859) ordinary shares, with a nominal value of twelve eurocent (EUR 0.12) each; and </w:t>
            </w:r>
          </w:p>
        </w:tc>
      </w:tr>
    </w:tbl>
    <w:bookmarkEnd w:id="14"/>
    <w:bookmarkStart w:name="z01d14a494c114444acafa86139ff1954" w:id="15"/>
    <w:tbl>
      <w:tblPr>
        <w:tblW w:w="0" w:type="auto"/>
        <w:tblCellSpacing w:w="0" w:type="dxa"/>
        <w:tblBorders>
          <w:top w:val="none"/>
          <w:left w:val="none"/>
          <w:bottom w:val="none"/>
          <w:right w:val="none"/>
          <w:insideH w:val="none"/>
          <w:insideV w:val="none"/>
        </w:tblBorders>
      </w:tblPr>
      <w:tblGrid>
        <w:gridCol w:w="945"/>
        <w:gridCol w:w="12689"/>
      </w:tblGrid>
      <w:tr>
        <w:trPr>
          <w:trHeight w:val="435" w:hRule="atLeast"/>
        </w:trPr>
        <w:tc>
          <w:tcPr>
            <w:tcW w:w="945" w:type="dxa"/>
            <w:tcBorders/>
            <w:tcMar>
              <w:top w:w="15" w:type="dxa"/>
              <w:left w:w="15" w:type="dxa"/>
              <w:bottom w:w="15" w:type="dxa"/>
              <w:right w:w="15" w:type="dxa"/>
            </w:tcMar>
            <w:vAlign w:val="top"/>
          </w:tcPr>
          <w:p>
            <w:pPr>
              <w:spacing w:before="0" w:after="0"/>
              <w:ind w:left="0"/>
              <w:jc w:val="left"/>
            </w:pPr>
            <w:r>
              <w:rPr>
                <w:rFonts w:ascii="Times New Roman" w:hAnsi="Times New Roman"/>
                <w:b/>
                <w:i w:val="false"/>
                <w:color w:val="000000"/>
                <w:sz w:val="20"/>
              </w:rPr>
              <w:t>B.</w:t>
            </w:r>
          </w:p>
        </w:tc>
        <w:tc>
          <w:tcPr>
            <w:tcW w:w="12689"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that the person appearing has been authorised by the abovementioned general meeting of shareholders to execute this deed. </w:t>
            </w:r>
          </w:p>
        </w:tc>
      </w:tr>
    </w:tbl>
    <w:bookmarkEnd w:id="15"/>
    <w:p>
      <w:pPr>
        <w:spacing w:before="0" w:after="0"/>
        <w:ind w:left="120"/>
        <w:jc w:val="left"/>
      </w:pPr>
      <w:r>
        <w:rPr>
          <w:rFonts w:ascii="Times New Roman" w:hAnsi="Times New Roman"/>
          <w:b w:val="false"/>
          <w:i w:val="false"/>
          <w:color w:val="000000"/>
          <w:sz w:val="20"/>
        </w:rPr>
        <w:t xml:space="preserve"> The person appearing is known to me, civil law notary. </w:t>
      </w:r>
    </w:p>
    <w:p>
      <w:pPr>
        <w:spacing w:before="0" w:after="0"/>
        <w:ind w:left="120"/>
        <w:jc w:val="left"/>
      </w:pPr>
      <w:r>
        <w:rPr>
          <w:rFonts w:ascii="Times New Roman" w:hAnsi="Times New Roman"/>
          <w:b w:val="false"/>
          <w:i w:val="false"/>
          <w:color w:val="000000"/>
          <w:sz w:val="20"/>
        </w:rPr>
        <w:t xml:space="preserve"> This Deed was executed in Amsterdam on the date mentioned in its heading. </w:t>
      </w:r>
    </w:p>
    <w:p>
      <w:pPr>
        <w:spacing w:before="0" w:after="0"/>
        <w:ind w:left="120"/>
        <w:jc w:val="left"/>
      </w:pPr>
      <w:r>
        <w:rPr>
          <w:rFonts w:ascii="Times New Roman" w:hAnsi="Times New Roman"/>
          <w:b w:val="false"/>
          <w:i w:val="false"/>
          <w:color w:val="000000"/>
          <w:sz w:val="20"/>
        </w:rPr>
        <w:t xml:space="preserve"> After I, civil law notary, had conveyed and explained the contents of the deed in substance to the person appearing, the person appearing declared to have taken note of the contents of the deed, to be in agreement with the contents and not to wish them to be read out in full. Following a partial reading, the deed was signed by the person appearing and by me, civil law notary.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p>
    <w:p/>
    <w:br w:type="page"/>
    <w:sectPr>
      <w:pgSz w:w="11907" w:h="16839" w:code="9"/>
      <w:pgMar w:top="1440" w:right="1440" w:bottom="1440" w:left="1440"/>
    </w:sectPr>
  </w:body>
</w:document>
</file>

<file path=word/settings.xml><?xml version="1.0" encoding="utf-8"?>
<w:settings xmlns:m="http://schemas.openxmlformats.org/officeDocument/2006/math" xmlns:w="http://schemas.openxmlformats.org/wordprocessingml/2006/main" xmlns:w14="http://schemas.microsoft.com/office/word/2010/wordml" xmlns:w15="http://schemas.microsoft.com/office/word/2012/wordml" xmlns:r="http://schemas.openxmlformats.org/officeDocument/2006/relationships" xmlns:wp="http://schemas.openxmlformats.org/drawingml/2006/wordprocessingDrawing" xmlns:a="http://schemas.openxmlformats.org/drawingml/2006/main" xmlns:wp14="http://schemas.microsoft.com/office/word/2010/wordprocessingDrawing" xmlns:mc="http://schemas.openxmlformats.org/markup-compatibility/2006" xmlns:a14="http://schemas.microsoft.com/office/drawing/2010/main"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o="urn:schemas-microsoft-com:office:office" xmlns:v="urn:schemas-microsoft-com:vml" xmlns:xvml="urn:schemas-microsoft-com:office:exce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mc:Ignorable="">
  <w:compat>
    <w:compatSetting w:name="overrideTableStyleFontSizeAndJustification" w:uri="http://schemas.microsoft.com/office/word" w:val="1"/>
  </w:compat>
</w:settings>
</file>

<file path=word/styles.xml><?xml version="1.0" encoding="utf-8"?>
<w:styles xmlns:m="http://schemas.openxmlformats.org/officeDocument/2006/math" xmlns:w="http://schemas.openxmlformats.org/wordprocessingml/2006/main" xmlns:w14="http://schemas.microsoft.com/office/word/2010/wordml" xmlns:w15="http://schemas.microsoft.com/office/word/2012/wordml" xmlns:r="http://schemas.openxmlformats.org/officeDocument/2006/relationships" xmlns:wp="http://schemas.openxmlformats.org/drawingml/2006/wordprocessingDrawing" xmlns:a="http://schemas.openxmlformats.org/drawingml/2006/main" xmlns:wp14="http://schemas.microsoft.com/office/word/2010/wordprocessingDrawing" xmlns:mc="http://schemas.openxmlformats.org/markup-compatibility/2006" xmlns:a14="http://schemas.microsoft.com/office/drawing/2010/main"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o="urn:schemas-microsoft-com:office:office" xmlns:v="urn:schemas-microsoft-com:vml" xmlns:xvml="urn:schemas-microsoft-com:office:exce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w:docDefaults>
    <w:rPrDefault>
      <w:rPr>
        <w:rFonts w:asciiTheme="minorHAnsi" w:hAnsiTheme="minorHAnsi" w:eastAsiaTheme="minorHAnsi" w:cstheme="minorBidi"/>
        <w:sz w:val="22"/>
        <w:szCs w:val="22"/>
        <w:lang w:val="en-US" w:eastAsia="en-US" w:bidi="ar-SA"/>
      </w:rPr>
    </w:rPrDefault>
    <w:pPrDefault>
      <w:pPr>
        <w:spacing w:after="200" w:line="276" w:lineRule="auto"/>
      </w:pPr>
    </w:pPrDefault>
  </w:docDefaults>
  <w:latentStyles w:defLockedState="false" w:defUIPriority="99" w:defSemiHidden="true" w:defUnhideWhenUsed="true" w:defQFormat="false" w:count="267">
    <w:lsdException w:name="Normal" w:uiPriority="0" w:semiHidden="false" w:unhideWhenUsed="false" w:qFormat="true"/>
    <w:lsdException w:name="heading 1" w:uiPriority="9" w:semiHidden="false" w:unhideWhenUsed="false" w:qFormat="true"/>
    <w:lsdException w:name="heading 2" w:uiPriority="9" w:qFormat="true"/>
    <w:lsdException w:name="heading 3" w:uiPriority="9" w:qFormat="true"/>
    <w:lsdException w:name="heading 4" w:uiPriority="9" w:qFormat="true"/>
    <w:lsdException w:name="Title" w:uiPriority="10" w:semiHidden="false" w:unhideWhenUsed="false" w:qFormat="true"/>
    <w:lsdException w:name="Default Paragraph Font" w:uiPriority="1"/>
    <w:lsdException w:name="Subtitle" w:uiPriority="11" w:semiHidden="false" w:unhideWhenUsed="false" w:qFormat="true"/>
    <w:lsdException w:name="Emphasis" w:uiPriority="20" w:semiHidden="false" w:unhideWhenUsed="false" w:qFormat="true"/>
    <w:lsdException w:name="Table Grid" w:uiPriority="59" w:semiHidden="false" w:unhideWhenUsed="false"/>
  </w:latentStyles>
  <w:style w:type="paragraph" w:styleId="Normal" w:default="true">
    <w:name w:val="Normal"/>
    <w:qFormat/>
    <w:rsid w:val="004A3277"/>
  </w:style>
  <w:style w:type="paragraph" w:styleId="Heading1">
    <w:name w:val="heading 1"/>
    <w:basedOn w:val="Normal"/>
    <w:next w:val="Normal"/>
    <w:link w:val="Heading1Char"/>
    <w:uiPriority w:val="9"/>
    <w:qFormat/>
    <w:rsid w:val="00841CD9"/>
    <w:pPr>
      <w:keepNext/>
      <w:keepLines/>
      <w:spacing w:before="480"/>
      <w:outlineLvl w:val="0"/>
    </w:pPr>
    <w:rPr>
      <w:rFonts w:asciiTheme="majorHAnsi" w:hAnsiTheme="majorHAnsi" w:eastAsiaTheme="majorEastAsia"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41CD9"/>
    <w:pPr>
      <w:keepNext/>
      <w:keepLines/>
      <w:spacing w:before="200"/>
      <w:outlineLvl w:val="1"/>
    </w:pPr>
    <w:rPr>
      <w:rFonts w:asciiTheme="majorHAnsi" w:hAnsiTheme="majorHAnsi" w:eastAsiaTheme="majorEastAsia" w:cstheme="majorBidi"/>
      <w:b/>
      <w:bCs/>
      <w:color w:val="4F81BD" w:themeColor="accent1"/>
      <w:sz w:val="26"/>
      <w:szCs w:val="26"/>
    </w:rPr>
  </w:style>
  <w:style w:type="paragraph" w:styleId="Heading3">
    <w:name w:val="heading 3"/>
    <w:basedOn w:val="Normal"/>
    <w:next w:val="Normal"/>
    <w:link w:val="Heading3Char"/>
    <w:uiPriority w:val="9"/>
    <w:unhideWhenUsed/>
    <w:qFormat/>
    <w:rsid w:val="00841CD9"/>
    <w:pPr>
      <w:keepNext/>
      <w:keepLines/>
      <w:spacing w:before="200"/>
      <w:outlineLvl w:val="2"/>
    </w:pPr>
    <w:rPr>
      <w:rFonts w:asciiTheme="majorHAnsi" w:hAnsiTheme="majorHAnsi" w:eastAsiaTheme="majorEastAsia" w:cstheme="majorBidi"/>
      <w:b/>
      <w:bCs/>
      <w:color w:val="4F81BD" w:themeColor="accent1"/>
    </w:rPr>
  </w:style>
  <w:style w:type="paragraph" w:styleId="Heading4">
    <w:name w:val="heading 4"/>
    <w:basedOn w:val="Normal"/>
    <w:next w:val="Normal"/>
    <w:link w:val="Heading4Char"/>
    <w:uiPriority w:val="9"/>
    <w:unhideWhenUsed/>
    <w:qFormat/>
    <w:rsid w:val="00841CD9"/>
    <w:pPr>
      <w:keepNext/>
      <w:keepLines/>
      <w:spacing w:before="200"/>
      <w:outlineLvl w:val="3"/>
    </w:pPr>
    <w:rPr>
      <w:rFonts w:asciiTheme="majorHAnsi" w:hAnsiTheme="majorHAnsi" w:eastAsiaTheme="majorEastAsia" w:cstheme="majorBidi"/>
      <w:b/>
      <w:bCs/>
      <w:i/>
      <w:iCs/>
      <w:color w:val="4F81BD" w:themeColor="accent1"/>
    </w:rPr>
  </w:style>
  <w:style w:type="character" w:styleId="DefaultParagraphFont" w:default="true">
    <w:name w:val="Default Paragraph Font"/>
    <w:uiPriority w:val="1"/>
    <w:semiHidden/>
    <w:unhideWhenUsed/>
  </w:style>
  <w:style w:type="paragraph" w:styleId="Header">
    <w:name w:val="header"/>
    <w:basedOn w:val="Normal"/>
    <w:link w:val="HeaderChar"/>
    <w:uiPriority w:val="99"/>
    <w:unhideWhenUsed/>
    <w:rsid w:val="00841CD9"/>
    <w:pPr>
      <w:tabs>
        <w:tab w:val="center" w:pos="4680"/>
        <w:tab w:val="right" w:pos="9360"/>
      </w:tabs>
    </w:pPr>
  </w:style>
  <w:style w:type="character" w:styleId="HeaderChar" w:customStyle="true">
    <w:name w:val="Header Char"/>
    <w:basedOn w:val="DefaultParagraphFont"/>
    <w:link w:val="Header"/>
    <w:uiPriority w:val="99"/>
    <w:rsid w:val="00841CD9"/>
  </w:style>
  <w:style w:type="character" w:styleId="Heading1Char" w:customStyle="true">
    <w:name w:val="Heading 1 Char"/>
    <w:basedOn w:val="DefaultParagraphFont"/>
    <w:link w:val="Heading1"/>
    <w:uiPriority w:val="9"/>
    <w:rsid w:val="00841CD9"/>
    <w:rPr>
      <w:rFonts w:asciiTheme="majorHAnsi" w:hAnsiTheme="majorHAnsi" w:eastAsiaTheme="majorEastAsia" w:cstheme="majorBidi"/>
      <w:b/>
      <w:bCs/>
      <w:color w:val="365F91" w:themeColor="accent1" w:themeShade="BF"/>
      <w:sz w:val="28"/>
      <w:szCs w:val="28"/>
    </w:rPr>
  </w:style>
  <w:style w:type="character" w:styleId="Heading2Char" w:customStyle="true">
    <w:name w:val="Heading 2 Char"/>
    <w:basedOn w:val="DefaultParagraphFont"/>
    <w:link w:val="Heading2"/>
    <w:uiPriority w:val="9"/>
    <w:rsid w:val="00841CD9"/>
    <w:rPr>
      <w:rFonts w:asciiTheme="majorHAnsi" w:hAnsiTheme="majorHAnsi" w:eastAsiaTheme="majorEastAsia" w:cstheme="majorBidi"/>
      <w:b/>
      <w:bCs/>
      <w:color w:val="4F81BD" w:themeColor="accent1"/>
      <w:sz w:val="26"/>
      <w:szCs w:val="26"/>
    </w:rPr>
  </w:style>
  <w:style w:type="character" w:styleId="Heading3Char" w:customStyle="true">
    <w:name w:val="Heading 3 Char"/>
    <w:basedOn w:val="DefaultParagraphFont"/>
    <w:link w:val="Heading3"/>
    <w:uiPriority w:val="9"/>
    <w:rsid w:val="00841CD9"/>
    <w:rPr>
      <w:rFonts w:asciiTheme="majorHAnsi" w:hAnsiTheme="majorHAnsi" w:eastAsiaTheme="majorEastAsia" w:cstheme="majorBidi"/>
      <w:b/>
      <w:bCs/>
      <w:color w:val="4F81BD" w:themeColor="accent1"/>
    </w:rPr>
  </w:style>
  <w:style w:type="character" w:styleId="Heading4Char" w:customStyle="true">
    <w:name w:val="Heading 4 Char"/>
    <w:basedOn w:val="DefaultParagraphFont"/>
    <w:link w:val="Heading4"/>
    <w:uiPriority w:val="9"/>
    <w:rsid w:val="00841CD9"/>
    <w:rPr>
      <w:rFonts w:asciiTheme="majorHAnsi" w:hAnsiTheme="majorHAnsi" w:eastAsiaTheme="majorEastAsia" w:cstheme="majorBidi"/>
      <w:b/>
      <w:bCs/>
      <w:i/>
      <w:iCs/>
      <w:color w:val="4F81BD" w:themeColor="accent1"/>
    </w:rPr>
  </w:style>
  <w:style w:type="paragraph" w:styleId="NormalIndent">
    <w:name w:val="Normal Indent"/>
    <w:basedOn w:val="Normal"/>
    <w:uiPriority w:val="99"/>
    <w:unhideWhenUsed/>
    <w:rsid w:val="00841CD9"/>
    <w:pPr>
      <w:ind w:left="720"/>
    </w:pPr>
  </w:style>
  <w:style w:type="paragraph" w:styleId="Subtitle">
    <w:name w:val="Subtitle"/>
    <w:basedOn w:val="Normal"/>
    <w:next w:val="Normal"/>
    <w:link w:val="SubtitleChar"/>
    <w:uiPriority w:val="11"/>
    <w:qFormat/>
    <w:rsid w:val="00841CD9"/>
    <w:pPr>
      <w:numPr>
        <w:ilvl w:val="1"/>
      </w:numPr>
      <w:ind w:left="86"/>
    </w:pPr>
    <w:rPr>
      <w:rFonts w:asciiTheme="majorHAnsi" w:hAnsiTheme="majorHAnsi" w:eastAsiaTheme="majorEastAsia" w:cstheme="majorBidi"/>
      <w:i/>
      <w:iCs/>
      <w:color w:val="4F81BD" w:themeColor="accent1"/>
      <w:spacing w:val="15"/>
      <w:sz w:val="24"/>
      <w:szCs w:val="24"/>
    </w:rPr>
  </w:style>
  <w:style w:type="character" w:styleId="SubtitleChar" w:customStyle="true">
    <w:name w:val="Subtitle Char"/>
    <w:basedOn w:val="DefaultParagraphFont"/>
    <w:link w:val="Subtitle"/>
    <w:uiPriority w:val="11"/>
    <w:rsid w:val="00841CD9"/>
    <w:rPr>
      <w:rFonts w:asciiTheme="majorHAnsi" w:hAnsiTheme="majorHAnsi" w:eastAsiaTheme="majorEastAsia" w:cstheme="majorBidi"/>
      <w:i/>
      <w:iCs/>
      <w:color w:val="4F81BD" w:themeColor="accent1"/>
      <w:spacing w:val="15"/>
      <w:sz w:val="24"/>
      <w:szCs w:val="24"/>
    </w:rPr>
  </w:style>
  <w:style w:type="paragraph" w:styleId="Title">
    <w:name w:val="Title"/>
    <w:basedOn w:val="Normal"/>
    <w:next w:val="Normal"/>
    <w:link w:val="TitleChar"/>
    <w:uiPriority w:val="10"/>
    <w:qFormat/>
    <w:rsid w:val="00841CD9"/>
    <w:pPr>
      <w:pBdr>
        <w:bottom w:val="single" w:color="4F81BD" w:themeColor="accent1" w:sz="8" w:space="4"/>
      </w:pBdr>
      <w:spacing w:after="300"/>
      <w:contextualSpacing/>
    </w:pPr>
    <w:rPr>
      <w:rFonts w:asciiTheme="majorHAnsi" w:hAnsiTheme="majorHAnsi" w:eastAsiaTheme="majorEastAsia" w:cstheme="majorBidi"/>
      <w:color w:val="17365D" w:themeColor="text2" w:themeShade="BF"/>
      <w:spacing w:val="5"/>
      <w:kern w:val="28"/>
      <w:sz w:val="52"/>
      <w:szCs w:val="52"/>
    </w:rPr>
  </w:style>
  <w:style w:type="character" w:styleId="TitleChar" w:customStyle="true">
    <w:name w:val="Title Char"/>
    <w:basedOn w:val="DefaultParagraphFont"/>
    <w:link w:val="Title"/>
    <w:uiPriority w:val="10"/>
    <w:rsid w:val="00841CD9"/>
    <w:rPr>
      <w:rFonts w:asciiTheme="majorHAnsi" w:hAnsiTheme="majorHAnsi" w:eastAsiaTheme="majorEastAsia" w:cstheme="majorBidi"/>
      <w:color w:val="17365D" w:themeColor="text2" w:themeShade="BF"/>
      <w:spacing w:val="5"/>
      <w:kern w:val="28"/>
      <w:sz w:val="52"/>
      <w:szCs w:val="52"/>
    </w:rPr>
  </w:style>
  <w:style w:type="character" w:styleId="Emphasis">
    <w:name w:val="Emphasis"/>
    <w:basedOn w:val="DefaultParagraphFont"/>
    <w:uiPriority w:val="20"/>
    <w:qFormat/>
    <w:rsid w:val="00D1197D"/>
    <w:rPr>
      <w:i/>
      <w:iCs/>
    </w:rPr>
  </w:style>
  <w:style w:type="character" w:styleId="Hyperlink">
    <w:name w:val="Hyperlink"/>
    <w:basedOn w:val="DefaultParagraphFont"/>
    <w:uiPriority w:val="99"/>
    <w:unhideWhenUsed/>
    <w:rPr>
      <w:color w:val="0000FF" w:themeColor="hyperlink"/>
      <w:u w:val="single"/>
    </w:rPr>
  </w:style>
  <w:style w:type="table" w:styleId="TableGrid">
    <w:name w:val="Table Grid"/>
    <w:basedOn w:val="TableNormal"/>
    <w:uiPriority w:val="59"/>
    <w:pPr>
      <w:spacing w:after="0" w:line="240" w:lineRule="auto"/>
    </w:pPr>
    <w:tblPr>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table" w:styleId="TableNormal" w:default="true">
    <w:name w:val="Normal Table"/>
    <w:uiPriority w:val="99"/>
    <w:semiHidden/>
    <w:unhideWhenUsed/>
    <w:qFormat/>
    <w:tblPr>
      <w:tblInd w:w="0" w:type="dxa"/>
      <w:tblCellMar>
        <w:top w:w="0" w:type="dxa"/>
        <w:left w:w="108" w:type="dxa"/>
        <w:bottom w:w="0" w:type="dxa"/>
        <w:right w:w="108" w:type="dxa"/>
      </w:tblCellMar>
    </w:tblPr>
  </w:style>
  <w:style w:type="paragraph" w:styleId="Caption">
    <w:name w:val="caption"/>
    <w:basedOn w:val="Normal"/>
    <w:next w:val="Normal"/>
    <w:uiPriority w:val="35"/>
    <w:semiHidden/>
    <w:unhideWhenUsed/>
    <w:qFormat/>
    <w:rsid w:val="007109C0"/>
    <w:pPr>
      <w:spacing w:line="240" w:lineRule="auto"/>
    </w:pPr>
    <w:rPr>
      <w:b/>
      <w:bCs/>
      <w:color w:val="4F81BD" w:themeColor="accent1"/>
      <w:sz w:val="18"/>
      <w:szCs w:val="18"/>
    </w:rPr>
  </w:style>
</w:styles>
</file>

<file path=word/_rels/document.xml.rels><?xml version="1.0" encoding="UTF-8" standalone="yes"?>
<Relationships xmlns="http://schemas.openxmlformats.org/package/2006/relationships">
    <Relationship Target="styles.xml" Type="http://schemas.openxmlformats.org/officeDocument/2006/relationships/styles" Id="rId1"/>
    <Relationship Target="settings.xml" Type="http://schemas.openxmlformats.org/officeDocument/2006/relationships/settings" Id="rId2"/>
    <Relationship Target="media/document_image_rId4.jpeg" Type="http://schemas.openxmlformats.org/officeDocument/2006/relationships/image" Id="rId3"/>
    <Relationship Target="media/document_image_rId42.jpeg" Type="http://schemas.openxmlformats.org/officeDocument/2006/relationships/image" Id="rId4"/>
</Relationships>

</file>

<file path=docProps/app.xml><?xml version="1.0" encoding="utf-8"?>
<properties:Properties xmlns:vt="http://schemas.openxmlformats.org/officeDocument/2006/docPropsVTypes" xmlns:properties="http://schemas.openxmlformats.org/officeDocument/2006/extended-properties"/>
</file>

<file path=docProps/core.xml><?xml version="1.0" encoding="utf-8"?>
<cp:coreProperties xmlns:cp="http://schemas.openxmlformats.org/package/2006/metadata/core-properties" xmlns:dcterms="http://purl.org/dc/terms/" xmlns:dc="http://purl.org/dc/elements/1.1/"/>
</file>