
<file path=[Content_Types].xml><?xml version="1.0" encoding="utf-8"?>
<Types xmlns="http://schemas.openxmlformats.org/package/2006/content-types">
  <Default Extension="jpeg" ContentType="image/jpeg"/>
  <Default Extension="rels" ContentType="application/vnd.openxmlformats-package.relationships+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settings+xml" PartName="/word/settings.xml"/>
  <Override ContentType="application/vnd.openxmlformats-officedocument.wordprocessingml.styles+xml" PartName="/word/styles.xml"/>
</Types>
</file>

<file path=_rels/.rels><?xml version="1.0" encoding="UTF-8" standalone="yes"?>
<Relationships xmlns="http://schemas.openxmlformats.org/package/2006/relationships">
    <Relationship Target="word/document.xml" Type="http://schemas.openxmlformats.org/officeDocument/2006/relationships/officeDocument" Id="rId1"/>
    <Relationship Target="docProps/core.xml" Type="http://schemas.openxmlformats.org/package/2006/relationships/metadata/core-properties" Id="rId2"/>
    <Relationship Target="docProps/app.xml" Type="http://schemas.openxmlformats.org/officeDocument/2006/relationships/extended-properties" Id="rId3"/>
</Relationships>

</file>

<file path=word/document.xml><?xml version="1.0" encoding="utf-8"?>
<w:document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body>
    <!-- Created by docx4j 8.2.9 (Apache licensed) using REFERENCE JAXB in Red Hat, Inc. Java 17.0.8 on Linux -->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6-K </w:t>
      </w:r>
      <w:r>
        <w:rPr>
          <w:rFonts w:ascii="Times New Roman" w:hAnsi="Times New Roman"/>
          <w:b w:val="false"/>
          <w:i w:val="false"/>
          <w:color w:val="000000"/>
          <w:sz w:val="20"/>
        </w:rPr>
        <w:t xml:space="preserve">1 </w:t>
      </w:r>
      <w:r>
        <w:rPr>
          <w:rFonts w:ascii="Times New Roman" w:hAnsi="Times New Roman"/>
          <w:b w:val="false"/>
          <w:i w:val="false"/>
          <w:color w:val="000000"/>
          <w:sz w:val="20"/>
        </w:rPr>
        <w:t xml:space="preserve">ef20067722_6k.htm </w:t>
      </w:r>
      <w:r>
        <w:rPr>
          <w:rFonts w:ascii="Times New Roman" w:hAnsi="Times New Roman"/>
          <w:b w:val="false"/>
          <w:i w:val="false"/>
          <w:color w:val="000000"/>
          <w:sz w:val="20"/>
        </w:rPr>
        <w:t xml:space="preserve">6-K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8"/>
        </w:rPr>
        <w:t xml:space="preserve"> UNITED STATES </w:t>
      </w:r>
    </w:p>
    <w:p>
      <w:pPr>
        <w:spacing w:before="0" w:after="0"/>
        <w:ind w:left="120"/>
        <w:jc w:val="center"/>
      </w:pPr>
      <w:r>
        <w:rPr>
          <w:rFonts w:ascii="Times New Roman" w:hAnsi="Times New Roman"/>
          <w:b/>
          <w:i w:val="false"/>
          <w:color w:val="000000"/>
          <w:sz w:val="28"/>
        </w:rPr>
        <w:t xml:space="preserve"> SECURITIES AND EXCHANGE COMMISSION </w:t>
      </w:r>
    </w:p>
    <w:p>
      <w:pPr>
        <w:spacing w:before="0" w:after="0"/>
        <w:ind w:left="120"/>
        <w:jc w:val="center"/>
      </w:pPr>
      <w:r>
        <w:rPr>
          <w:rFonts w:ascii="Times New Roman" w:hAnsi="Times New Roman"/>
          <w:b w:val="false"/>
          <w:i w:val="false"/>
          <w:color w:val="000000"/>
          <w:sz w:val="24"/>
        </w:rPr>
        <w:t xml:space="preserve"> Washington, D.C. 20549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36"/>
        </w:rPr>
        <w:t xml:space="preserve"> FORM 6-K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Report of Foreign Private </w:t>
      </w:r>
    </w:p>
    <w:p>
      <w:pPr>
        <w:spacing w:before="0" w:after="0"/>
        <w:ind w:left="120"/>
        <w:jc w:val="center"/>
      </w:pPr>
      <w:r>
        <w:rPr>
          <w:rFonts w:ascii="Times New Roman" w:hAnsi="Times New Roman"/>
          <w:b/>
          <w:i w:val="false"/>
          <w:color w:val="000000"/>
          <w:sz w:val="20"/>
        </w:rPr>
        <w:t xml:space="preserve"> Issuer Pursuant to Rule </w:t>
      </w:r>
    </w:p>
    <w:p>
      <w:pPr>
        <w:spacing w:before="0" w:after="0"/>
        <w:ind w:left="120"/>
        <w:jc w:val="center"/>
      </w:pPr>
      <w:r>
        <w:rPr>
          <w:rFonts w:ascii="Times New Roman" w:hAnsi="Times New Roman"/>
          <w:b/>
          <w:i w:val="false"/>
          <w:color w:val="000000"/>
          <w:sz w:val="20"/>
        </w:rPr>
        <w:t xml:space="preserve"> 13a-16 or 15d-16 under the </w:t>
      </w:r>
    </w:p>
    <w:p>
      <w:pPr>
        <w:spacing w:before="0" w:after="0"/>
        <w:ind w:left="120"/>
        <w:jc w:val="center"/>
      </w:pPr>
      <w:r>
        <w:rPr>
          <w:rFonts w:ascii="Times New Roman" w:hAnsi="Times New Roman"/>
          <w:b/>
          <w:i w:val="false"/>
          <w:color w:val="000000"/>
          <w:sz w:val="20"/>
        </w:rPr>
        <w:t xml:space="preserve"> Securities Exchange Act </w:t>
      </w:r>
    </w:p>
    <w:p>
      <w:pPr>
        <w:spacing w:before="0" w:after="0"/>
        <w:ind w:left="120"/>
        <w:jc w:val="center"/>
      </w:pPr>
      <w:r>
        <w:rPr>
          <w:rFonts w:ascii="Times New Roman" w:hAnsi="Times New Roman"/>
          <w:b/>
          <w:i w:val="false"/>
          <w:color w:val="000000"/>
          <w:sz w:val="20"/>
        </w:rPr>
        <w:t xml:space="preserve"> of 1934 </w:t>
      </w:r>
    </w:p>
    <w:p>
      <w:pPr>
        <w:spacing w:before="0" w:after="0"/>
        <w:ind w:left="120"/>
        <w:jc w:val="center"/>
      </w:pPr>
      <w:r>
        <w:rPr>
          <w:rFonts w:ascii="Times New Roman" w:hAnsi="Times New Roman"/>
          <w:b/>
          <w:i w:val="false"/>
          <w:color w:val="000000"/>
          <w:sz w:val="20"/>
        </w:rPr>
        <w:t xml:space="preserve"> For the month of March 2026 </w:t>
      </w:r>
    </w:p>
    <w:p>
      <w:pPr>
        <w:spacing w:before="0" w:after="0"/>
        <w:ind w:left="120"/>
        <w:jc w:val="center"/>
      </w:pPr>
      <w:r>
        <w:rPr>
          <w:rFonts w:ascii="Times New Roman" w:hAnsi="Times New Roman"/>
          <w:b w:val="false"/>
          <w:i w:val="false"/>
          <w:color w:val="000000"/>
          <w:sz w:val="20"/>
        </w:rPr>
        <w:t xml:space="preserve"> Commission File </w:t>
      </w:r>
    </w:p>
    <w:p>
      <w:pPr>
        <w:spacing w:before="0" w:after="0"/>
        <w:ind w:left="120"/>
        <w:jc w:val="center"/>
      </w:pPr>
      <w:r>
        <w:rPr>
          <w:rFonts w:ascii="Times New Roman" w:hAnsi="Times New Roman"/>
          <w:b w:val="false"/>
          <w:i w:val="false"/>
          <w:color w:val="000000"/>
          <w:sz w:val="20"/>
        </w:rPr>
        <w:t xml:space="preserve"> Number: 001-38283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48"/>
        </w:rPr>
        <w:t xml:space="preserve"> InflaRx N.V.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Winzerlaer Str. 2 </w:t>
      </w:r>
    </w:p>
    <w:p>
      <w:pPr>
        <w:spacing w:before="0" w:after="0"/>
        <w:ind w:left="120"/>
        <w:jc w:val="center"/>
      </w:pPr>
      <w:r>
        <w:rPr>
          <w:rFonts w:ascii="Times New Roman" w:hAnsi="Times New Roman"/>
          <w:b/>
          <w:i w:val="false"/>
          <w:color w:val="000000"/>
          <w:sz w:val="20"/>
        </w:rPr>
        <w:t xml:space="preserve"> 07745 Jena, </w:t>
      </w:r>
    </w:p>
    <w:p>
      <w:pPr>
        <w:spacing w:before="0" w:after="0"/>
        <w:ind w:left="120"/>
        <w:jc w:val="center"/>
      </w:pPr>
      <w:r>
        <w:rPr>
          <w:rFonts w:ascii="Times New Roman" w:hAnsi="Times New Roman"/>
          <w:b/>
          <w:i w:val="false"/>
          <w:color w:val="000000"/>
          <w:sz w:val="20"/>
        </w:rPr>
        <w:t xml:space="preserve"> Germany </w:t>
      </w:r>
    </w:p>
    <w:p>
      <w:pPr>
        <w:spacing w:before="0" w:after="0"/>
        <w:ind w:left="120"/>
        <w:jc w:val="center"/>
      </w:pPr>
      <w:r>
        <w:rPr>
          <w:rFonts w:ascii="Times New Roman" w:hAnsi="Times New Roman"/>
          <w:b/>
          <w:i w:val="false"/>
          <w:color w:val="000000"/>
          <w:sz w:val="20"/>
        </w:rPr>
        <w:t xml:space="preserve"> (+49) 3641508180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(Address of principal executive offices)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Indicate by check mark whether the registrant files or will file annual reports under cover of Form 20-F or Form 40-F.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Form 20-F ☒ Form 40-F  ☐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EXPLANATORY NOTE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On March 13, 2026, InflaRx N.V. (the “Company”) issued a press release announcing that it had received a written notice (the “Notice”), dated as of March 11, 2026, from the Listing Qualifications Department of The Nasdaq Stock Market LLC (“Nasdaq”) indicating that, for the last thirty (30) consecutive business days, the bid price for the Company’s ordinary shares had closed below the minimum $1.00 per share requirement for continued listing on the Nasdaq under Nasdaq Listing Rule 5450(a)(1) (the “Minimum Bid Price Rule”). Pursuant to Nasdaq Listing Rule 5810(c)(3)(A), the Company has an initial period of 180 calendar days, or until September 7, 2026, to regain compliance. If the Company fails to regain compliance with the Minimum Bid Price Rule during this period, the Company may consider applying to transfer its securities from The Nasdaq Global Select Market to The Nasdaq Capital Market, provided that the Company meets the applicable market value of publicly held shares required for continued listing and all other applicable requirements for initial listing on The Nasdaq Capital Market (except for the bid price requirement). Such transfer would provide the Company with an additional 180 calendar days, or until March 8, 2027, to regain compliance. There can be no assurance that the Company would be eligible for the additional 180 calendar day compliance period, if applicable, or that the Nasdaq staff would grant the Company’s request for continued listing.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Notice has no immediate effect on the listing or trading of the Company’s ordinary shares.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Company intends to monitor the bid price of its ordinary shares and consider available options to regain compliance with the Minimum Bid Price Rule.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This report on Form 6-K (the “Report”) shall be deemed to be incorporated by reference into (i) the registration statements on Form S-8 (File No. 333-221656 and 333-240185) and (ii) the registration statement on Form F-3 (File No. 333-273058) of the Company and to be a part thereof from the date on which this Report is submitted, to the extent not superseded by documents or reports subsequently filed or furnished.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 copy of the press release is attached as Exhibit 99.1 to this Report. Exhibit 99.1 shall not be deemed “filed” for purposes of Section 18 of the Securities Exchange Act of 1934, as amended (the “Exchange Act”), or otherwise subject to the liabilities of that section, nor shall it be deemed incorporated by reference in any filing under the Securities Act of 1933, as amended, or the Exchange Act.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FORWARD-LOOKING STATEMENTS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This Report contains forward-looking statements. All statements other than statements of historical fact are forward-looking statements, which are often indicated by terms such as “may,” “will,” “should,” “expect,” “plan,” “anticipate,” “could,” “intend,” “target,” “project,” “estimate,” “believe,” “predict,” “potential” or “continue,” among others, statements regarding our compliance with the Minimum Bid Price Rule and listing or trading of our ordinary shares. Forward-looking statements appear in a number of places throughout this Report and may include statements regarding our intentions, beliefs, projections, outlook, analyses, current expectations and the risks, uncertainties and other factors described under the headings, “Risk factors” and “Cautionary statement regarding forward looking statements,” in our periodic filings with the U.S. Securities and Exchange Commission. These statements speak only as of the date of this Report and involve known and unknown risks, uncertainties and other important factors that may cause our actual results, performance or achievements to be materially different from any future results, performance or achievements expressed or implied by the forward-looking statements. Given these risks, uncertainties and other factors, you should not place undue reliance on these forward-looking statements, and we assume no obligation to update these forward-looking statements, even if new information becomes available in the future, except as required by law.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EXHIBIT INDEX </w:t>
      </w:r>
    </w:p>
    <w:p>
      <w:pPr>
        <w:spacing w:before="0" w:after="0"/>
        <w:ind w:left="120"/>
        <w:jc w:val="left"/>
      </w:pPr>
      <w:r>
        <w:rPr>
          <w:rFonts w:ascii="Times New Roman" w:hAnsi="Times New Roman"/>
          <w:b w:val="false"/>
          <w:i w:val="false"/>
          <w:color w:val="000000"/>
          <w:sz w:val="20"/>
        </w:rPr>
        <w:t xml:space="preserve">   </w:t>
      </w:r>
    </w:p>
    <w:bookmarkStart w:name="z5fc468ff7c37482b9b2607682b43921a" w:id="0"/>
    <w:tbl>
      <w:tblPr>
        <w:tblW w:w="0" w:type="auto"/>
        <w:tblCellSpacing w:w="0" w:type="auto"/>
        <w:tblBorders>
          <w:top w:val="none"/>
          <w:left w:val="none"/>
          <w:bottom w:val="none"/>
          <w:right w:val="none"/>
          <w:insideH w:val="none"/>
          <w:insideV w:val="none"/>
        </w:tblBorders>
      </w:tblPr>
      <w:tblGrid>
        <w:gridCol w:w="1637"/>
        <w:gridCol w:w="11997"/>
      </w:tblGrid>
      <w:tr>
        <w:trPr>
          <w:trHeight w:val="240" w:hRule="atLeast"/>
        </w:trPr>
        <w:tc>
          <w:tcPr>
            <w:tcW w:w="1637" w:type="dxa"/>
            <w:tcBorders>
              <w:bottom w:val="single" w:color="000000" w:sz="16"/>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Exhibit No. </w:t>
            </w:r>
          </w:p>
        </w:tc>
        <w:tc>
          <w:tcPr>
            <w:tcW w:w="11997" w:type="dxa"/>
            <w:tcBorders>
              <w:bottom w:val="single" w:color="000000" w:sz="16"/>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Description </w:t>
            </w:r>
          </w:p>
        </w:tc>
      </w:tr>
      <w:tr>
        <w:trPr>
          <w:trHeight w:val="240" w:hRule="atLeast"/>
        </w:trPr>
        <w:tc>
          <w:tcPr>
            <w:tcW w:w="163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99.1</w:t>
            </w:r>
            <w:r>
              <w:rPr>
                <w:rFonts w:ascii="Times New Roman" w:hAnsi="Times New Roman"/>
                <w:b w:val="false"/>
                <w:i w:val="false"/>
                <w:color w:val="000000"/>
                <w:sz w:val="20"/>
              </w:rPr>
              <w:t xml:space="preserve"> </w:t>
            </w:r>
          </w:p>
        </w:tc>
        <w:tc>
          <w:tcPr>
            <w:tcW w:w="11997"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Press Release, dated March 13, 2026 </w:t>
            </w:r>
          </w:p>
        </w:tc>
      </w:tr>
    </w:tbl>
    <w:bookmarkEnd w:id="0"/>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SIGNATURES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Pursuant to the requirements of the Securities Exchange Act of 1934, the registrant has duly caused this report to be signed on its behalf by the undersigned, thereunto duly authorized. </w:t>
      </w:r>
    </w:p>
    <w:p>
      <w:pPr>
        <w:spacing w:before="0" w:after="0"/>
        <w:ind w:left="120"/>
        <w:jc w:val="left"/>
      </w:pPr>
      <w:r>
        <w:rPr>
          <w:rFonts w:ascii="Times New Roman" w:hAnsi="Times New Roman"/>
          <w:b w:val="false"/>
          <w:i w:val="false"/>
          <w:color w:val="000000"/>
          <w:sz w:val="20"/>
        </w:rPr>
        <w:t xml:space="preserve">   </w:t>
      </w:r>
    </w:p>
    <w:bookmarkStart w:name="zc89c2bd96a174f5eaea4be2f9e8795e1" w:id="1"/>
    <w:tbl>
      <w:tblPr>
        <w:tblW w:w="0" w:type="auto"/>
        <w:tblCellSpacing w:w="0" w:type="auto"/>
        <w:tblBorders>
          <w:top w:val="none"/>
          <w:left w:val="none"/>
          <w:bottom w:val="none"/>
          <w:right w:val="none"/>
          <w:insideH w:val="none"/>
          <w:insideV w:val="none"/>
        </w:tblBorders>
      </w:tblPr>
      <w:tblGrid>
        <w:gridCol w:w="6818"/>
        <w:gridCol w:w="1363"/>
        <w:gridCol w:w="5453"/>
      </w:tblGrid>
      <w:tr>
        <w:trPr>
          <w:trHeight w:val="225" w:hRule="atLeast"/>
        </w:trPr>
        <w:tc>
          <w:tcPr>
            <w:tcW w:w="6818"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INFLARX N.V. </w:t>
            </w:r>
          </w:p>
        </w:tc>
      </w:tr>
      <w:tr>
        <w:trPr>
          <w:trHeight w:val="210" w:hRule="atLeast"/>
        </w:trPr>
        <w:tc>
          <w:tcPr>
            <w:tcW w:w="6818"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6818"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Date: March 13, 2026 </w:t>
            </w:r>
          </w:p>
        </w:tc>
        <w:tc>
          <w:tcPr>
            <w:tcW w:w="1363"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By: </w:t>
            </w:r>
          </w:p>
        </w:tc>
        <w:tc>
          <w:tcPr>
            <w:tcW w:w="5453" w:type="dxa"/>
            <w:tcBorders>
              <w:bottom w:val="single" w:color="000000" w:sz="16"/>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/s/ Niels Riedemann </w:t>
            </w:r>
          </w:p>
        </w:tc>
      </w:tr>
      <w:tr>
        <w:trPr>
          <w:trHeight w:val="225" w:hRule="atLeast"/>
        </w:trPr>
        <w:tc>
          <w:tcPr>
            <w:tcW w:w="6818"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3"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Name: </w:t>
            </w:r>
          </w:p>
        </w:tc>
        <w:tc>
          <w:tcPr>
            <w:tcW w:w="5453"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Niels Riedemann </w:t>
            </w:r>
          </w:p>
        </w:tc>
      </w:tr>
      <w:tr>
        <w:trPr>
          <w:trHeight w:val="210" w:hRule="atLeast"/>
        </w:trPr>
        <w:tc>
          <w:tcPr>
            <w:tcW w:w="6818"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363"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Title: </w:t>
            </w:r>
          </w:p>
        </w:tc>
        <w:tc>
          <w:tcPr>
            <w:tcW w:w="5453"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Chief Executive Officer </w:t>
            </w:r>
          </w:p>
        </w:tc>
      </w:tr>
    </w:tbl>
    <w:bookmarkEnd w:id="1"/>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br w:type="page"/>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EX-99.1 </w:t>
      </w:r>
      <w:r>
        <w:rPr>
          <w:rFonts w:ascii="Times New Roman" w:hAnsi="Times New Roman"/>
          <w:b w:val="false"/>
          <w:i w:val="false"/>
          <w:color w:val="000000"/>
          <w:sz w:val="20"/>
        </w:rPr>
        <w:t xml:space="preserve">2 </w:t>
      </w:r>
      <w:r>
        <w:rPr>
          <w:rFonts w:ascii="Times New Roman" w:hAnsi="Times New Roman"/>
          <w:b w:val="false"/>
          <w:i w:val="false"/>
          <w:color w:val="000000"/>
          <w:sz w:val="20"/>
        </w:rPr>
        <w:t xml:space="preserve">ef20067722_ex99-1.htm </w:t>
      </w:r>
      <w:r>
        <w:rPr>
          <w:rFonts w:ascii="Times New Roman" w:hAnsi="Times New Roman"/>
          <w:b w:val="false"/>
          <w:i w:val="false"/>
          <w:color w:val="000000"/>
          <w:sz w:val="20"/>
        </w:rPr>
        <w:t xml:space="preserve">EXHIBIT 99.1 </w:t>
      </w:r>
    </w:p>
    <w:p>
      <w:pPr>
        <w:spacing w:before="0" w:after="0"/>
        <w:ind w:left="120"/>
        <w:jc w:val="left"/>
      </w:pPr>
    </w:p>
    <w:p>
      <w:r>
        <w:pict>
          <v:rect style="width:0;height:1.5pt" id="_x0000_i1025" o:hr="t" o:hrstd="t" o:hralign="center" stroked="f" fillcolor="#a0a0a0"/>
        </w:pict>
      </w:r>
    </w:p>
    <w:p>
      <w:pPr>
        <w:spacing w:before="0" w:after="0"/>
        <w:ind w:left="120"/>
        <w:jc w:val="right"/>
      </w:pPr>
      <w:r>
        <w:rPr>
          <w:rFonts w:ascii="Times New Roman" w:hAnsi="Times New Roman"/>
          <w:b w:val="false"/>
          <w:i w:val="false"/>
          <w:color w:val="000000"/>
          <w:sz w:val="20"/>
        </w:rPr>
        <w:t xml:space="preserve"> </w:t>
      </w:r>
      <w:r>
        <w:rPr>
          <w:rFonts w:ascii="Times New Roman" w:hAnsi="Times New Roman"/>
          <w:b/>
          <w:i w:val="false"/>
          <w:color w:val="000000"/>
          <w:sz w:val="20"/>
        </w:rPr>
        <w:t>Exhibit 99.1</w:t>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drawing>
          <wp:inline distT="0" distB="0" distL="0" distR="0">
            <wp:extent cx="1514475" cy="48577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
                    <a:stretch>
                      <a:fillRect/>
                    </a:stretch>
                  </pic:blipFill>
                  <pic:spPr>
                    <a:xfrm>
                      <a:off x="0" y="0"/>
                      <a:ext cx="1514475" cy="485775"/>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InflaRx Announces Receipt of Nasdaq Deficiency Notice Regarding Minimum Bid Price Requirement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 xml:space="preserve">Jena, Germany, March 13, 2026 </w:t>
      </w:r>
      <w:r>
        <w:rPr>
          <w:rFonts w:ascii="Times New Roman" w:hAnsi="Times New Roman"/>
          <w:b w:val="false"/>
          <w:i w:val="false"/>
          <w:color w:val="000000"/>
          <w:sz w:val="20"/>
        </w:rPr>
        <w:t xml:space="preserve">– InflaRx N.V. (Nasdaq: IFRX), a biopharmaceutical company pioneering anti-inflammatory therapeutics by targeting the complement system, today announced that it has received a written notice (the “Notice”), dated March 11, 2026, from the Listing Qualifications Department of The Nasdaq Stock Market LLC (“Nasdaq”) indicating that, for the last thirty (30) consecutive business days, the bid price for the Company’s ordinary shares had closed below the minimum $1.00 per share requirement for continued listing on the Nasdaq under Nasdaq Listing Rule 5450(a)(1) (the “Minimum Bid Price Rule”).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 accordance with Nasdaq Listing Rule 5810(c)(3)(A), the Company has been provided an initial period of 180 calendar days, or until September 7, 2026, to regain compliance. If the Company fails to regain compliance with the Minimum Bid Price Rule during this period, the Company may consider applying to transfer its securities from The Nasdaq Global Select Market to The Nasdaq Capital Market, provided that the Company meets the applicable market value of publicly held shares required for continued listing and all other applicable requirements for initial listing on The Nasdaq Capital Market (except for the bid price requirement). Such transfer would provide the Company with an additional 180 calendar days, or until March 8, 2027, to regain compliance. There can be no assurance that the Company would be eligible for the additional 180 calendar day compliance period, if applicable, or that the Nasdaq staff would grant the Company’s request for continued listing.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w:t>
      </w:r>
      <w:r>
        <w:drawing>
          <wp:inline distT="0" distB="0" distL="0" distR="0">
            <wp:extent cx="1514475" cy="48577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
                    <a:stretch>
                      <a:fillRect/>
                    </a:stretch>
                  </pic:blipFill>
                  <pic:spPr>
                    <a:xfrm>
                      <a:off x="0" y="0"/>
                      <a:ext cx="1514475" cy="485775"/>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The Notice has no immediate effect on the listing or trading of the Company’s ordinary shares. The Company intends to monitor the bid price of its common shares and consider available options to regain compliance with the Minimum Bid Price Rule.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color w:val="000000"/>
          <w:sz w:val="20"/>
        </w:rPr>
        <w:t xml:space="preserve"> </w:t>
      </w:r>
      <w:bookmarkStart w:name="z_Hlk138704591" w:id="0"/>
      <w:bookmarkEnd w:id="0"/>
      <w:r>
        <w:rPr>
          <w:rFonts w:ascii="Times New Roman" w:hAnsi="Times New Roman"/>
          <w:b/>
          <w:i/>
          <w:color w:val="000000"/>
          <w:sz w:val="20"/>
        </w:rPr>
        <w:t xml:space="preserve">About InflaRx N.V.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InflaRx (Nasdaq: IFRX) is a biopharmaceutical company pioneering anti-inflammatory therapeutics by applying its proprietary anti-C5a and anti-C5aR technologies to discover, develop and commercialize highly potent and specific inhibitors of the complement activation factor C5a and its receptor, C5aR. C5a is a powerful inflammatory mediator involved in the progression of a wide variety of inflammatory diseases. </w:t>
      </w:r>
      <w:bookmarkStart w:name="z_Int_Ly0ooSxz" w:id="1"/>
      <w:bookmarkEnd w:id="1"/>
      <w:r>
        <w:rPr>
          <w:rFonts w:ascii="Times New Roman" w:hAnsi="Times New Roman"/>
          <w:b w:val="false"/>
          <w:i w:val="false"/>
          <w:color w:val="000000"/>
          <w:sz w:val="20"/>
        </w:rPr>
        <w:t xml:space="preserve">InflaRx’s lead program is izicopan (INF904), an orally administered small molecule inhibitor of C5a-induced signaling via the C5a receptor, which has shown promising PK/PD characteristics as well as therapeutic potential in Phase 1 and Phase 2a clinical studies. The company is developing izicopan for the treatment of several inflammatory diseases, including hidradenitis suppurativa (HS). The Company has also developed vilobelimab, a novel, intravenously delivered, first-in-class, anti-C5a monoclonal antibody that selectively binds to free C5a and has demonstrated disease-modifying clinical activity and tolerability in multiple clinical studies.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InflaRx was founded in 2007, and the group has offices and subsidiaries in Jena and Munich, Germany, as well as Ann Arbor, MI, USA. For further information, please visit www.inflarx.de. InflaRx GmbH (Germany) and InflaRx Pharmaceuticals Inc. (USA) are wholly owned subsidiaries of InflaRx N.V. (together, InflaRx).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color w:val="000000"/>
          <w:sz w:val="20"/>
        </w:rPr>
        <w:t xml:space="preserve"> Contacts: </w:t>
      </w:r>
    </w:p>
    <w:p>
      <w:pPr>
        <w:spacing w:before="0" w:after="0"/>
        <w:ind w:left="120"/>
        <w:jc w:val="left"/>
      </w:pPr>
      <w:r>
        <w:rPr>
          <w:rFonts w:ascii="Times New Roman" w:hAnsi="Times New Roman"/>
          <w:b w:val="false"/>
          <w:i w:val="false"/>
          <w:color w:val="000000"/>
          <w:sz w:val="20"/>
        </w:rPr>
        <w:t xml:space="preserve">   </w:t>
      </w:r>
    </w:p>
    <w:bookmarkStart w:name="ze78eaddf47bb4819bf9bcc6c0b69e6a3" w:id="2"/>
    <w:tbl>
      <w:tblPr>
        <w:tblW w:w="0" w:type="auto"/>
        <w:tblCellSpacing w:w="0" w:type="auto"/>
        <w:tblBorders>
          <w:top w:val="none"/>
          <w:left w:val="none"/>
          <w:bottom w:val="none"/>
          <w:right w:val="none"/>
          <w:insideH w:val="none"/>
          <w:insideV w:val="none"/>
        </w:tblBorders>
      </w:tblPr>
      <w:tblGrid>
        <w:gridCol w:w="6817"/>
        <w:gridCol w:w="6817"/>
      </w:tblGrid>
      <w:tr>
        <w:trPr>
          <w:trHeight w:val="225" w:hRule="atLeast"/>
        </w:trPr>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InflaRx N.V. </w:t>
            </w:r>
          </w:p>
        </w:tc>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MC Services AG </w:t>
            </w:r>
          </w:p>
        </w:tc>
      </w:tr>
      <w:tr>
        <w:trPr>
          <w:trHeight w:val="885" w:hRule="atLeast"/>
        </w:trPr>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Jan Medina, CFA </w:t>
            </w:r>
          </w:p>
          <w:p>
            <w:pPr>
              <w:spacing w:before="0" w:after="0"/>
              <w:ind w:left="120"/>
              <w:jc w:val="both"/>
            </w:pPr>
            <w:r>
              <w:rPr>
                <w:rFonts w:ascii="Times New Roman" w:hAnsi="Times New Roman"/>
                <w:b w:val="false"/>
                <w:i w:val="false"/>
                <w:color w:val="000000"/>
                <w:sz w:val="20"/>
              </w:rPr>
              <w:t xml:space="preserve"> Vice President, Head of Investor Relations </w:t>
            </w:r>
          </w:p>
          <w:p>
            <w:pPr>
              <w:spacing w:before="0" w:after="0"/>
              <w:ind w:left="120"/>
              <w:jc w:val="both"/>
            </w:pPr>
            <w:r>
              <w:rPr>
                <w:rFonts w:ascii="Times New Roman" w:hAnsi="Times New Roman"/>
                <w:b w:val="false"/>
                <w:i w:val="false"/>
                <w:color w:val="000000"/>
                <w:sz w:val="20"/>
              </w:rPr>
              <w:t xml:space="preserve"> Email: </w:t>
            </w:r>
            <w:r>
              <w:rPr>
                <w:rFonts w:ascii="Times New Roman" w:hAnsi="Times New Roman"/>
                <w:b w:val="false"/>
                <w:i w:val="false"/>
                <w:color w:val="000000"/>
                <w:sz w:val="20"/>
                <w:u w:val="single"/>
              </w:rPr>
              <w:t>IR@inflarx.de</w:t>
            </w:r>
            <w:r>
              <w:rPr>
                <w:rFonts w:ascii="Times New Roman" w:hAnsi="Times New Roman"/>
                <w:b w:val="false"/>
                <w:i w:val="false"/>
                <w:color w:val="000000"/>
                <w:sz w:val="20"/>
              </w:rPr>
              <w:t xml:space="preserve"> </w:t>
            </w:r>
          </w:p>
        </w:tc>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Katja Arnold, Laurie Doyle, Dr. Regina Lutz </w:t>
            </w:r>
          </w:p>
          <w:p>
            <w:pPr>
              <w:spacing w:before="0" w:after="0"/>
              <w:ind w:left="120"/>
              <w:jc w:val="both"/>
            </w:pPr>
            <w:r>
              <w:rPr>
                <w:rFonts w:ascii="Times New Roman" w:hAnsi="Times New Roman"/>
                <w:b w:val="false"/>
                <w:i w:val="false"/>
                <w:color w:val="000000"/>
                <w:sz w:val="20"/>
              </w:rPr>
              <w:t xml:space="preserve"> Email: </w:t>
            </w:r>
            <w:r>
              <w:rPr>
                <w:rFonts w:ascii="Times New Roman" w:hAnsi="Times New Roman"/>
                <w:b w:val="false"/>
                <w:i w:val="false"/>
                <w:color w:val="000000"/>
                <w:sz w:val="20"/>
                <w:u w:val="single"/>
              </w:rPr>
              <w:t>inflarx@mc-services.eu</w:t>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Europe: +49 89-210 2280 </w:t>
            </w:r>
          </w:p>
          <w:p>
            <w:pPr>
              <w:spacing w:before="0" w:after="0"/>
              <w:ind w:left="120"/>
              <w:jc w:val="both"/>
            </w:pPr>
            <w:r>
              <w:rPr>
                <w:rFonts w:ascii="Times New Roman" w:hAnsi="Times New Roman"/>
                <w:b w:val="false"/>
                <w:i w:val="false"/>
                <w:color w:val="000000"/>
                <w:sz w:val="20"/>
              </w:rPr>
              <w:t xml:space="preserve"> U.S.: +1-339-832-0752 </w:t>
            </w:r>
          </w:p>
        </w:tc>
      </w:tr>
    </w:tbl>
    <w:bookmarkEnd w:id="2"/>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val="false"/>
          <w:color w:val="000000"/>
          <w:sz w:val="20"/>
        </w:rPr>
        <w:t xml:space="preserve"> FORWARD-LOOKING STATEMENTS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This press release contains forward-looking statements. All statements other than statements of historical fact are forward-looking statements, which are often indicated by terms such as “may,” “will,” “should,” “expect,” “plan,” “anticipate,” “could,” “intend,” “target,” “project,” “estimate,” “believe,” “predict,” “potential” or “continue,” among others, statements regarding our compliance with the Minimum Bid Price Rule and listing or trading of our ordinary shares. Forward-looking statements appear in a number of places throughout this release and may include statements regarding our intentions, beliefs, projections, outlook, analyses, current expectations and the risks, uncertainties and other factors described under the headings, “Risk factors” and “Cautionary statement regarding forward looking statements”, in our periodic filings with the SEC. These statements speak only as of the date of this press release and involve known and unknown risks, uncertainties and other important factors that may cause our actual results, performance or achievements to be materially different from any future results, performance or achievements expressed or implied by the forward-looking statements. Given these risks, uncertainties and other factors, you should not place undue reliance on these forward-looking statements, and we assume no obligation to update these forward-looking statements, even if new information becomes available in the future, except as required by law.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br w:type="page"/>
    <w:sectPr>
      <w:pgSz w:w="11907" w:h="16839" w:code="9"/>
      <w:pgMar w:top="1440" w:right="1440" w:bottom="1440" w:left="1440"/>
    </w:sectPr>
  </w:body>
</w:document>
</file>

<file path=word/settings.xml><?xml version="1.0" encoding="utf-8"?>
<w:settings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
  <w:compat>
    <w:compatSetting w:name="overrideTableStyleFontSizeAndJustification" w:uri="http://schemas.microsoft.com/office/word" w:val="1"/>
  </w:compat>
</w:settings>
</file>

<file path=word/styles.xml><?xml version="1.0" encoding="utf-8"?>
<w:styles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false" w:defUIPriority="99" w:defSemiHidden="true" w:defUnhideWhenUsed="true" w:defQFormat="false" w:count="267">
    <w:lsdException w:name="Normal" w:uiPriority="0" w:semiHidden="false" w:unhideWhenUsed="false" w:qFormat="true"/>
    <w:lsdException w:name="heading 1" w:uiPriority="9" w:semiHidden="false" w:unhideWhenUsed="false" w:qFormat="true"/>
    <w:lsdException w:name="heading 2" w:uiPriority="9" w:qFormat="true"/>
    <w:lsdException w:name="heading 3" w:uiPriority="9" w:qFormat="true"/>
    <w:lsdException w:name="heading 4" w:uiPriority="9" w:qFormat="true"/>
    <w:lsdException w:name="Title" w:uiPriority="10" w:semiHidden="false" w:unhideWhenUsed="false" w:qFormat="true"/>
    <w:lsdException w:name="Default Paragraph Font" w:uiPriority="1"/>
    <w:lsdException w:name="Subtitle" w:uiPriority="11" w:semiHidden="false" w:unhideWhenUsed="false" w:qFormat="true"/>
    <w:lsdException w:name="Emphasis" w:uiPriority="20" w:semiHidden="false" w:unhideWhenUsed="false" w:qFormat="true"/>
    <w:lsdException w:name="Table Grid" w:uiPriority="59" w:semiHidden="false" w:unhideWhenUsed="false"/>
  </w:latentStyles>
  <w:style w:type="paragraph" w:styleId="Normal" w:default="true">
    <w:name w:val="Normal"/>
    <w:qFormat/>
    <w:rsid w:val="004A3277"/>
  </w:style>
  <w:style w:type="paragraph" w:styleId="Heading1">
    <w:name w:val="heading 1"/>
    <w:basedOn w:val="Normal"/>
    <w:next w:val="Normal"/>
    <w:link w:val="Heading1Char"/>
    <w:uiPriority w:val="9"/>
    <w:qFormat/>
    <w:rsid w:val="00841CD9"/>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41CD9"/>
    <w:pPr>
      <w:keepNext/>
      <w:keepLines/>
      <w:spacing w:before="200"/>
      <w:outlineLvl w:val="1"/>
    </w:pPr>
    <w:rPr>
      <w:rFonts w:asciiTheme="majorHAnsi" w:hAnsiTheme="majorHAnsi"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841CD9"/>
    <w:pPr>
      <w:keepNext/>
      <w:keepLines/>
      <w:spacing w:before="200"/>
      <w:outlineLvl w:val="2"/>
    </w:pPr>
    <w:rPr>
      <w:rFonts w:asciiTheme="majorHAnsi" w:hAnsiTheme="majorHAnsi" w:eastAsiaTheme="majorEastAsia" w:cstheme="majorBidi"/>
      <w:b/>
      <w:bCs/>
      <w:color w:val="4F81BD" w:themeColor="accent1"/>
    </w:rPr>
  </w:style>
  <w:style w:type="paragraph" w:styleId="Heading4">
    <w:name w:val="heading 4"/>
    <w:basedOn w:val="Normal"/>
    <w:next w:val="Normal"/>
    <w:link w:val="Heading4Char"/>
    <w:uiPriority w:val="9"/>
    <w:unhideWhenUsed/>
    <w:qFormat/>
    <w:rsid w:val="00841CD9"/>
    <w:pPr>
      <w:keepNext/>
      <w:keepLines/>
      <w:spacing w:before="200"/>
      <w:outlineLvl w:val="3"/>
    </w:pPr>
    <w:rPr>
      <w:rFonts w:asciiTheme="majorHAnsi" w:hAnsiTheme="majorHAnsi" w:eastAsiaTheme="majorEastAsia" w:cstheme="majorBidi"/>
      <w:b/>
      <w:bCs/>
      <w:i/>
      <w:iCs/>
      <w:color w:val="4F81BD" w:themeColor="accent1"/>
    </w:rPr>
  </w:style>
  <w:style w:type="character" w:styleId="DefaultParagraphFont" w:default="true">
    <w:name w:val="Default Paragraph Font"/>
    <w:uiPriority w:val="1"/>
    <w:semiHidden/>
    <w:unhideWhenUsed/>
  </w:style>
  <w:style w:type="paragraph" w:styleId="Header">
    <w:name w:val="header"/>
    <w:basedOn w:val="Normal"/>
    <w:link w:val="HeaderChar"/>
    <w:uiPriority w:val="99"/>
    <w:unhideWhenUsed/>
    <w:rsid w:val="00841CD9"/>
    <w:pPr>
      <w:tabs>
        <w:tab w:val="center" w:pos="4680"/>
        <w:tab w:val="right" w:pos="9360"/>
      </w:tabs>
    </w:pPr>
  </w:style>
  <w:style w:type="character" w:styleId="HeaderChar" w:customStyle="true">
    <w:name w:val="Header Char"/>
    <w:basedOn w:val="DefaultParagraphFont"/>
    <w:link w:val="Header"/>
    <w:uiPriority w:val="99"/>
    <w:rsid w:val="00841CD9"/>
  </w:style>
  <w:style w:type="character" w:styleId="Heading1Char" w:customStyle="true">
    <w:name w:val="Heading 1 Char"/>
    <w:basedOn w:val="DefaultParagraphFont"/>
    <w:link w:val="Heading1"/>
    <w:uiPriority w:val="9"/>
    <w:rsid w:val="00841CD9"/>
    <w:rPr>
      <w:rFonts w:asciiTheme="majorHAnsi" w:hAnsiTheme="majorHAnsi" w:eastAsiaTheme="majorEastAsia" w:cstheme="majorBidi"/>
      <w:b/>
      <w:bCs/>
      <w:color w:val="365F91" w:themeColor="accent1" w:themeShade="BF"/>
      <w:sz w:val="28"/>
      <w:szCs w:val="28"/>
    </w:rPr>
  </w:style>
  <w:style w:type="character" w:styleId="Heading2Char" w:customStyle="true">
    <w:name w:val="Heading 2 Char"/>
    <w:basedOn w:val="DefaultParagraphFont"/>
    <w:link w:val="Heading2"/>
    <w:uiPriority w:val="9"/>
    <w:rsid w:val="00841CD9"/>
    <w:rPr>
      <w:rFonts w:asciiTheme="majorHAnsi" w:hAnsiTheme="majorHAnsi" w:eastAsiaTheme="majorEastAsia" w:cstheme="majorBidi"/>
      <w:b/>
      <w:bCs/>
      <w:color w:val="4F81BD" w:themeColor="accent1"/>
      <w:sz w:val="26"/>
      <w:szCs w:val="26"/>
    </w:rPr>
  </w:style>
  <w:style w:type="character" w:styleId="Heading3Char" w:customStyle="true">
    <w:name w:val="Heading 3 Char"/>
    <w:basedOn w:val="DefaultParagraphFont"/>
    <w:link w:val="Heading3"/>
    <w:uiPriority w:val="9"/>
    <w:rsid w:val="00841CD9"/>
    <w:rPr>
      <w:rFonts w:asciiTheme="majorHAnsi" w:hAnsiTheme="majorHAnsi" w:eastAsiaTheme="majorEastAsia" w:cstheme="majorBidi"/>
      <w:b/>
      <w:bCs/>
      <w:color w:val="4F81BD" w:themeColor="accent1"/>
    </w:rPr>
  </w:style>
  <w:style w:type="character" w:styleId="Heading4Char" w:customStyle="true">
    <w:name w:val="Heading 4 Char"/>
    <w:basedOn w:val="DefaultParagraphFont"/>
    <w:link w:val="Heading4"/>
    <w:uiPriority w:val="9"/>
    <w:rsid w:val="00841CD9"/>
    <w:rPr>
      <w:rFonts w:asciiTheme="majorHAnsi" w:hAnsiTheme="majorHAnsi" w:eastAsiaTheme="majorEastAsia" w:cstheme="majorBidi"/>
      <w:b/>
      <w:bCs/>
      <w:i/>
      <w:iCs/>
      <w:color w:val="4F81BD" w:themeColor="accent1"/>
    </w:rPr>
  </w:style>
  <w:style w:type="paragraph" w:styleId="NormalIndent">
    <w:name w:val="Normal Indent"/>
    <w:basedOn w:val="Normal"/>
    <w:uiPriority w:val="99"/>
    <w:unhideWhenUsed/>
    <w:rsid w:val="00841CD9"/>
    <w:pPr>
      <w:ind w:left="720"/>
    </w:pPr>
  </w:style>
  <w:style w:type="paragraph" w:styleId="Subtitle">
    <w:name w:val="Subtitle"/>
    <w:basedOn w:val="Normal"/>
    <w:next w:val="Normal"/>
    <w:link w:val="SubtitleChar"/>
    <w:uiPriority w:val="11"/>
    <w:qFormat/>
    <w:rsid w:val="00841CD9"/>
    <w:pPr>
      <w:numPr>
        <w:ilvl w:val="1"/>
      </w:numPr>
      <w:ind w:left="86"/>
    </w:pPr>
    <w:rPr>
      <w:rFonts w:asciiTheme="majorHAnsi" w:hAnsiTheme="majorHAnsi" w:eastAsiaTheme="majorEastAsia" w:cstheme="majorBidi"/>
      <w:i/>
      <w:iCs/>
      <w:color w:val="4F81BD" w:themeColor="accent1"/>
      <w:spacing w:val="15"/>
      <w:sz w:val="24"/>
      <w:szCs w:val="24"/>
    </w:rPr>
  </w:style>
  <w:style w:type="character" w:styleId="SubtitleChar" w:customStyle="true">
    <w:name w:val="Subtitle Char"/>
    <w:basedOn w:val="DefaultParagraphFont"/>
    <w:link w:val="Subtitle"/>
    <w:uiPriority w:val="11"/>
    <w:rsid w:val="00841CD9"/>
    <w:rPr>
      <w:rFonts w:asciiTheme="majorHAnsi" w:hAnsiTheme="majorHAnsi" w:eastAsiaTheme="majorEastAsia" w:cstheme="majorBidi"/>
      <w:i/>
      <w:iCs/>
      <w:color w:val="4F81BD" w:themeColor="accent1"/>
      <w:spacing w:val="15"/>
      <w:sz w:val="24"/>
      <w:szCs w:val="24"/>
    </w:rPr>
  </w:style>
  <w:style w:type="paragraph" w:styleId="Title">
    <w:name w:val="Title"/>
    <w:basedOn w:val="Normal"/>
    <w:next w:val="Normal"/>
    <w:link w:val="TitleChar"/>
    <w:uiPriority w:val="10"/>
    <w:qFormat/>
    <w:rsid w:val="00841CD9"/>
    <w:pPr>
      <w:pBdr>
        <w:bottom w:val="single" w:color="4F81BD" w:themeColor="accent1" w:sz="8" w:space="4"/>
      </w:pBdr>
      <w:spacing w:after="300"/>
      <w:contextualSpacing/>
    </w:pPr>
    <w:rPr>
      <w:rFonts w:asciiTheme="majorHAnsi" w:hAnsiTheme="majorHAnsi" w:eastAsiaTheme="majorEastAsia" w:cstheme="majorBidi"/>
      <w:color w:val="17365D" w:themeColor="text2" w:themeShade="BF"/>
      <w:spacing w:val="5"/>
      <w:kern w:val="28"/>
      <w:sz w:val="52"/>
      <w:szCs w:val="52"/>
    </w:rPr>
  </w:style>
  <w:style w:type="character" w:styleId="TitleChar" w:customStyle="true">
    <w:name w:val="Title Char"/>
    <w:basedOn w:val="DefaultParagraphFont"/>
    <w:link w:val="Title"/>
    <w:uiPriority w:val="10"/>
    <w:rsid w:val="00841CD9"/>
    <w:rPr>
      <w:rFonts w:asciiTheme="majorHAnsi" w:hAnsiTheme="majorHAnsi" w:eastAsiaTheme="majorEastAsia" w:cstheme="majorBidi"/>
      <w:color w:val="17365D" w:themeColor="text2" w:themeShade="BF"/>
      <w:spacing w:val="5"/>
      <w:kern w:val="28"/>
      <w:sz w:val="52"/>
      <w:szCs w:val="52"/>
    </w:rPr>
  </w:style>
  <w:style w:type="character" w:styleId="Emphasis">
    <w:name w:val="Emphasis"/>
    <w:basedOn w:val="DefaultParagraphFont"/>
    <w:uiPriority w:val="20"/>
    <w:qFormat/>
    <w:rsid w:val="00D1197D"/>
    <w:rPr>
      <w:i/>
      <w:iCs/>
    </w:r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table" w:styleId="TableNormal" w:default="true">
    <w:name w:val="Normal Table"/>
    <w:uiPriority w:val="99"/>
    <w:semiHidden/>
    <w:unhideWhenUsed/>
    <w:qFormat/>
    <w:tblPr>
      <w:tblInd w:w="0" w:type="dxa"/>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7109C0"/>
    <w:pPr>
      <w:spacing w:line="240" w:lineRule="auto"/>
    </w:pPr>
    <w:rPr>
      <w:b/>
      <w:bCs/>
      <w:color w:val="4F81BD" w:themeColor="accent1"/>
      <w:sz w:val="18"/>
      <w:szCs w:val="18"/>
    </w:rPr>
  </w:style>
</w:styles>
</file>

<file path=word/_rels/document.xml.rels><?xml version="1.0" encoding="UTF-8" standalone="yes"?>
<Relationships xmlns="http://schemas.openxmlformats.org/package/2006/relationships">
    <Relationship Target="styles.xml" Type="http://schemas.openxmlformats.org/officeDocument/2006/relationships/styles" Id="rId1"/>
    <Relationship Target="settings.xml" Type="http://schemas.openxmlformats.org/officeDocument/2006/relationships/settings" Id="rId2"/>
    <Relationship Target="media/document_image_rId4.jpeg" Type="http://schemas.openxmlformats.org/officeDocument/2006/relationships/image" Id="rId3"/>
    <Relationship Target="media/document_image_rId42.jpeg" Type="http://schemas.openxmlformats.org/officeDocument/2006/relationships/image" Id="rId4"/>
</Relationships>

</file>

<file path=docProps/app.xml><?xml version="1.0" encoding="utf-8"?>
<properties:Properties xmlns:vt="http://schemas.openxmlformats.org/officeDocument/2006/docPropsVTypes" xmlns:properties="http://schemas.openxmlformats.org/officeDocument/2006/extended-properties"/>
</file>

<file path=docProps/core.xml><?xml version="1.0" encoding="utf-8"?>
<cp:coreProperties xmlns:cp="http://schemas.openxmlformats.org/package/2006/metadata/core-properties" xmlns:dcterms="http://purl.org/dc/terms/" xmlns:dc="http://purl.org/dc/elements/1.1/"/>
</file>