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w15="http://schemas.microsoft.com/office/word/2012/wordml"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ef20058026_6k.htm </w:t>
      </w:r>
      <w:r>
        <w:rPr>
          <w:rFonts w:ascii="Times New Roman" w:hAnsi="Times New Roman"/>
          <w:b w:val="false"/>
          <w:i w:val="false"/>
          <w:color w:val="000000"/>
          <w:sz w:val="20"/>
        </w:rPr>
        <w:t xml:space="preserve">6-K </w:t>
      </w:r>
    </w:p>
    <w:p>
      <w:r>
        <w:pict>
          <v:rect style="width:0;height:1.5pt" id="_x0000_i1025" o:hr="t" o:hrstd="t" o:hralign="center" stroked="f" fillcolor="#a0a0a0"/>
        </w:pict>
      </w:r>
    </w:p>
    <w:p>
      <w:pPr>
        <w:spacing w:before="0" w:after="0"/>
        <w:ind w:left="120"/>
        <w:jc w:val="left"/>
      </w:pPr>
    </w:p>
    <w:p>
      <w:pPr>
        <w:spacing w:before="0" w:after="0"/>
        <w:ind w:left="120"/>
        <w:jc w:val="center"/>
      </w:pPr>
      <w:r>
        <w:rPr>
          <w:rFonts w:ascii="Times New Roman" w:hAnsi="Times New Roman"/>
          <w:b/>
          <w:i w:val="false"/>
          <w:color w:val="000000"/>
          <w:sz w:val="20"/>
        </w:rPr>
        <w:t xml:space="preserve"> </w:t>
      </w:r>
      <w:bookmarkStart w:name="z_Hlk201328336" w:id="0"/>
      <w:bookmarkEnd w:id="0"/>
      <w:bookmarkStart w:name="z_Hlk209298423" w:id="1"/>
      <w:bookmarkEnd w:id="1"/>
      <w:r>
        <w:rPr>
          <w:rFonts w:ascii="Times New Roman" w:hAnsi="Times New Roman"/>
          <w:b/>
          <w:i w:val="false"/>
          <w:color w:val="000000"/>
          <w:sz w:val="28"/>
        </w:rPr>
        <w:t>UNITED STATES</w:t>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8"/>
        </w:rPr>
        <w:t xml:space="preserve"> SECURITIES AND EXCHANGE COMMISSION </w:t>
      </w:r>
    </w:p>
    <w:p>
      <w:pPr>
        <w:spacing w:before="0" w:after="0"/>
        <w:ind w:left="120"/>
        <w:jc w:val="center"/>
      </w:pPr>
      <w:r>
        <w:rPr>
          <w:rFonts w:ascii="Times New Roman" w:hAnsi="Times New Roman"/>
          <w:b/>
          <w:i w:val="false"/>
          <w:color w:val="000000"/>
          <w:sz w:val="24"/>
        </w:rPr>
        <w:t xml:space="preserve"> WASHINGTON, D.C. 20549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36"/>
        </w:rPr>
        <w:t xml:space="preserve"> FORM 6-K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w:t>
      </w:r>
    </w:p>
    <w:p>
      <w:pPr>
        <w:spacing w:before="0" w:after="0"/>
        <w:ind w:left="120"/>
        <w:jc w:val="center"/>
      </w:pPr>
      <w:r>
        <w:rPr>
          <w:rFonts w:ascii="Times New Roman" w:hAnsi="Times New Roman"/>
          <w:b/>
          <w:i w:val="false"/>
          <w:color w:val="000000"/>
          <w:sz w:val="20"/>
        </w:rPr>
        <w:t xml:space="preserve"> Issuer Pursuant to Rule </w:t>
      </w:r>
    </w:p>
    <w:p>
      <w:pPr>
        <w:spacing w:before="0" w:after="0"/>
        <w:ind w:left="120"/>
        <w:jc w:val="center"/>
      </w:pPr>
      <w:r>
        <w:rPr>
          <w:rFonts w:ascii="Times New Roman" w:hAnsi="Times New Roman"/>
          <w:b/>
          <w:i w:val="false"/>
          <w:color w:val="000000"/>
          <w:sz w:val="20"/>
        </w:rPr>
        <w:t xml:space="preserve"> 13a-16 or 15d-16 of the </w:t>
      </w:r>
    </w:p>
    <w:p>
      <w:pPr>
        <w:spacing w:before="0" w:after="0"/>
        <w:ind w:left="120"/>
        <w:jc w:val="center"/>
      </w:pPr>
      <w:r>
        <w:rPr>
          <w:rFonts w:ascii="Times New Roman" w:hAnsi="Times New Roman"/>
          <w:b/>
          <w:i w:val="false"/>
          <w:color w:val="000000"/>
          <w:sz w:val="20"/>
        </w:rPr>
        <w:t xml:space="preserve"> Securities Exchange Act </w:t>
      </w:r>
    </w:p>
    <w:p>
      <w:pPr>
        <w:spacing w:before="0" w:after="0"/>
        <w:ind w:left="120"/>
        <w:jc w:val="center"/>
      </w:pPr>
      <w:r>
        <w:rPr>
          <w:rFonts w:ascii="Times New Roman" w:hAnsi="Times New Roman"/>
          <w:b/>
          <w:i w:val="false"/>
          <w:color w:val="000000"/>
          <w:sz w:val="20"/>
        </w:rPr>
        <w:t xml:space="preserve"> of 1934 </w:t>
      </w:r>
    </w:p>
    <w:p>
      <w:pPr>
        <w:spacing w:before="0" w:after="0"/>
        <w:ind w:left="120"/>
        <w:jc w:val="center"/>
      </w:pPr>
      <w:r>
        <w:rPr>
          <w:rFonts w:ascii="Times New Roman" w:hAnsi="Times New Roman"/>
          <w:b/>
          <w:i w:val="false"/>
          <w:color w:val="000000"/>
          <w:sz w:val="20"/>
        </w:rPr>
        <w:t xml:space="preserve"> For the month of May 2025 </w:t>
      </w:r>
    </w:p>
    <w:p>
      <w:pPr>
        <w:spacing w:before="0" w:after="0"/>
        <w:ind w:left="120"/>
        <w:jc w:val="center"/>
      </w:pPr>
      <w:r>
        <w:rPr>
          <w:rFonts w:ascii="Times New Roman" w:hAnsi="Times New Roman"/>
          <w:b w:val="false"/>
          <w:i w:val="false"/>
          <w:color w:val="000000"/>
          <w:sz w:val="20"/>
        </w:rPr>
        <w:t xml:space="preserve"> Commission File </w:t>
      </w:r>
    </w:p>
    <w:p>
      <w:pPr>
        <w:spacing w:before="0" w:after="0"/>
        <w:ind w:left="120"/>
        <w:jc w:val="center"/>
      </w:pPr>
      <w:r>
        <w:rPr>
          <w:rFonts w:ascii="Times New Roman" w:hAnsi="Times New Roman"/>
          <w:b w:val="false"/>
          <w:i w:val="false"/>
          <w:color w:val="000000"/>
          <w:sz w:val="20"/>
        </w:rPr>
        <w:t xml:space="preserve"> Number: 001-38283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48"/>
        </w:rPr>
        <w:t xml:space="preserve"> InflaRx N.V. </w:t>
      </w:r>
    </w:p>
    <w:p>
      <w:pPr>
        <w:spacing w:before="0" w:after="0"/>
        <w:ind w:left="120"/>
        <w:jc w:val="center"/>
      </w:pPr>
      <w:r>
        <w:rPr>
          <w:rFonts w:ascii="Times New Roman" w:hAnsi="Times New Roman"/>
          <w:b/>
          <w:i w:val="false"/>
          <w:color w:val="000000"/>
          <w:sz w:val="20"/>
        </w:rPr>
        <w:t xml:space="preserve"> (Exact name of Registrant as Specified in Its Charter)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Winzerlaer Str. 2 </w:t>
      </w:r>
    </w:p>
    <w:p>
      <w:pPr>
        <w:spacing w:before="0" w:after="0"/>
        <w:ind w:left="120"/>
        <w:jc w:val="center"/>
      </w:pPr>
      <w:r>
        <w:rPr>
          <w:rFonts w:ascii="Times New Roman" w:hAnsi="Times New Roman"/>
          <w:b/>
          <w:i w:val="false"/>
          <w:color w:val="000000"/>
          <w:sz w:val="20"/>
        </w:rPr>
        <w:t xml:space="preserve"> 07745 Jena, </w:t>
      </w:r>
    </w:p>
    <w:p>
      <w:pPr>
        <w:spacing w:before="0" w:after="0"/>
        <w:ind w:left="120"/>
        <w:jc w:val="center"/>
      </w:pPr>
      <w:r>
        <w:rPr>
          <w:rFonts w:ascii="Times New Roman" w:hAnsi="Times New Roman"/>
          <w:b/>
          <w:i w:val="false"/>
          <w:color w:val="000000"/>
          <w:sz w:val="20"/>
        </w:rPr>
        <w:t xml:space="preserve"> Germany </w:t>
      </w:r>
    </w:p>
    <w:p>
      <w:pPr>
        <w:spacing w:before="0" w:after="0"/>
        <w:ind w:left="120"/>
        <w:jc w:val="center"/>
      </w:pPr>
      <w:r>
        <w:rPr>
          <w:rFonts w:ascii="Times New Roman" w:hAnsi="Times New Roman"/>
          <w:b/>
          <w:i w:val="false"/>
          <w:color w:val="000000"/>
          <w:sz w:val="20"/>
        </w:rPr>
        <w:t xml:space="preserve"> (+49) 3641508180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(Address of principal executive offices)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z_Hlk203088204" w:id="2"/>
      <w:bookmarkEnd w:id="2"/>
      <w:r>
        <w:rPr>
          <w:rFonts w:ascii="Times New Roman" w:hAnsi="Times New Roman"/>
          <w:b w:val="false"/>
          <w:i w:val="false"/>
          <w:color w:val="000000"/>
          <w:sz w:val="20"/>
        </w:rPr>
        <w:t xml:space="preserve">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Form 20-F ☒ Form 40-F  ☐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INCORPORATION BY REFERENCE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On November 10, 2025, InflaRx N.V. (the “Company”) issued a press release titled “InflaRx Reports Positive Phase 2a Data for INF904 in Hidradenitis Suppurative (HS) and Chronic Spontaneous Urticaria (CSU).”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The Company previously announced that it is developing INF904, an orally administered small-molecule C5aR inhibitor, for which the Company has completed a Phase 1 study in healthy volunteers. The Company initially focused on hidradenitis suppurativa (“HS”), and chronic spontaneous urticaria (“CSU”). On November 10, 2025, the Company announced topline results for INF904 from the Company’s Phase 2a basket study in these indications. The study is evaluating the safety and pharmacokinetics/ pharmacodynamics profile of INF904,</w:t>
      </w:r>
      <w:r>
        <w:rPr>
          <w:rFonts w:ascii="Times New Roman" w:hAnsi="Times New Roman"/>
          <w:b w:val="false"/>
          <w:i w:val="false"/>
          <w:color w:val="000000"/>
          <w:sz w:val="20"/>
        </w:rPr>
        <w:t xml:space="preserve"> with efficacy evaluated as an exploratory endpoint</w:t>
      </w:r>
      <w:r>
        <w:rPr>
          <w:rFonts w:ascii="Times New Roman" w:hAnsi="Times New Roman"/>
          <w:b w:val="false"/>
          <w:i w:val="false"/>
          <w:color w:val="000000"/>
          <w:sz w:val="20"/>
        </w:rPr>
        <w:t xml:space="preserve">. Efficacy data were data reported for 29 of 31 patients in HS and 30 of 31 patients in CSU. </w:t>
      </w:r>
      <w:r>
        <w:rPr>
          <w:rFonts w:ascii="Times New Roman" w:hAnsi="Times New Roman"/>
          <w:b w:val="false"/>
          <w:i w:val="false"/>
          <w:color w:val="000000"/>
          <w:sz w:val="20"/>
        </w:rPr>
        <w:t xml:space="preserve">Safety data were reported from a total of 33 patients in each indication. </w:t>
      </w:r>
      <w:r>
        <w:rPr>
          <w:rFonts w:ascii="Times New Roman" w:hAnsi="Times New Roman"/>
          <w:b w:val="false"/>
          <w:i w:val="false"/>
          <w:color w:val="000000"/>
          <w:sz w:val="20"/>
        </w:rPr>
        <w:t>Doses being studied are 60 mg, 90 mg and 120 mg twice daily for HS and 60 mg and 120 mg twice daily for CSU.</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HS, clinical endpoints included reduction in abscesses and nodule (“AN”) counts draining tunnel (“dT”) counts, pain reduction (measured per the Numeric Rating Scale 30 or NRS30), improvement in Dermatology Life Quality Index (“DLQI”) and measurement of the Hidradenitis Suppurativa Clinical Response (“HiSCR”). Patients in the trial demonstrated rapid and clinically meaningful reductions in AN and DT counts, improvements in NRS30 and DLQI, and  HiSCR improvements observed at the end of treatment that continued to deepen four weeks after the treatment period. Efficacy data at 4 weeks were largely in line with data reported for a similar timepoint from clinical studies for approved HS therapies. No serious adverse events or safety signals were reported across all doses.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In CSU, endpoints included change from baseline in Urticaria Activity Score over 7 days (“UAS7”) and Urticaria Control Test (“UCT7”), and responder rate analyses, with additional subset analyses conducted in several study subpopulations. Reported improvements in clinical measures such as UAS7 achieved the highest reduction in the 60 mg dosing cohort (UAS7 change from baseline of -13.7 points at week 4), and indicate a level of activity that exceeds average historically reported placebo levels and is generally within the range of existing approved CSU drugs. Furthermore, in patients with severe CSU at baseline (</w:t>
      </w:r>
      <w:r>
        <w:rPr>
          <w:rFonts w:ascii="Times New Roman" w:hAnsi="Times New Roman"/>
          <w:b w:val="false"/>
          <w:i w:val="false"/>
          <w:color w:val="000000"/>
          <w:sz w:val="20"/>
        </w:rPr>
        <w:t xml:space="preserve">defined as UAS7 of 28–42; </w:t>
      </w:r>
      <w:r>
        <w:rPr>
          <w:rFonts w:ascii="Times New Roman" w:hAnsi="Times New Roman"/>
          <w:b w:val="false"/>
          <w:i w:val="false"/>
          <w:color w:val="000000"/>
          <w:sz w:val="20"/>
        </w:rPr>
        <w:t>n=23), the 60 mg dose reduced UAS7 by 15.4 points, and in patients who presented with angioedema at baseline (n=3) the reduction of UAS7 was 18.7 points.  Additional efficacy analyses in patients with high IgE (n=22) and low IgE (n=6) at baseline showed that INF904 appeared equally effective in both patient populations. Improvements in efficacy measures were generally rapid beginning from Week 1 and generally deepened over the four 4 -week treatment period. Patients continued to benefit from INF904 four weeks after the last dose, as measured by reduction in UAS7. Across all doses, no serious adverse events or safety signals were reported.</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color w:val="000000"/>
          <w:sz w:val="20"/>
        </w:rPr>
        <w:t xml:space="preserve"> InflaRx Data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These topline results are based on the number of patients indicated and are subject to final data review and quality checks. For HS, two patients (one in the 60 mg bid dosing group and one in the 90 mg bid dosing group) are still completing treatment and are excluded from the data presented. For CSU, one patient in the 120 mg bid dosing group is still under treatment and is excluded from the data presented. While the Company does not expect the pending data from such patients to materially change the overall efficacy trends, particularly as the most pronounced efficacy in HS was observed in the 120 mg bid dosing group, which is unaffected, minor changes may occur.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Final changes and corrections may occur upon full data review and quality checks, but the Company does not believe any such changes or corrections will have a material impact on the reported efficacy or safety trends. All data should be considered preliminary until the full dataset is available and final analyses are complete. The Company expects to provide an update as soon as the remaining data are incorporated.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i/>
          <w:color w:val="000000"/>
          <w:sz w:val="20"/>
        </w:rPr>
        <w:t xml:space="preserve"> Third-Party Data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We have not conducted head-to-head clinical trial comparisons between INF904 and any third-party drug candidate or approved drug. Any third-party data displayed or referenced are intended solely for comparative orientation and are based on published data from various sources, including original publications, press releases, abstracts, posters, approval reviews and others. Except for a separate comparison to reported data from the use of avacopan in HS, all comparisons are focused on available data from drug candidates that are approved. These comparisons are not derived from head-to-head trials and the data displayed are from studies conducted under different protocols, with different inclusion and exclusion criteria, at different sites and at different times, among other differences. As such, the value of any such comparison may be limited, and we are unable to make direct comparative claims between INF904 and third-party drug candidates or approved drugs. We make no representation regarding the completeness of such comparative data and reference the sources of our comparisons where applicable.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 copy of the press release and a copy of the Company’s presentation announcing the results are attached as Exhibit 99.1 and Exhibit 99.2, respectively. Both Exhibit 99.1 and 99.2 shall not be deemed “filed” for purposes of Section 18 of the Securities Exchange Act of 1934, as amended (the “Exchange Act”), or otherwise subject to the liabilities of that section, nor shall it be deemed incorporated by reference in any filing under the Securities Act of 1933, as amended, or the Exchange Act.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u w:val="single"/>
        </w:rPr>
        <w:t>FORWARD-LOOKING STATEMENTS</w:t>
      </w:r>
      <w:r>
        <w:rPr>
          <w:rFonts w:ascii="Times New Roman" w:hAnsi="Times New Roman"/>
          <w:b/>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Report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Forward-looking statements appear in a number of places throughout this Report and may include statements regarding our intentions, beliefs, projections, outlook, analyses, current expectations and the risks, uncertainties and other factors described under the headings, “Risk factors” and “Cautionary statement regarding forward looking statements,” in our periodic filings with the U.S. Securities and Exchange Commission. These statements speak only as of the date of this Report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EXHIBIT INDEX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7f30a3dfc2a64f81ac2921d9e18cc242" w:id="3"/>
    <w:tbl>
      <w:tblPr>
        <w:tblW w:w="0" w:type="auto"/>
        <w:tblCellSpacing w:w="0" w:type="auto"/>
        <w:tblBorders>
          <w:top w:val="none"/>
          <w:left w:val="none"/>
          <w:bottom w:val="none"/>
          <w:right w:val="none"/>
          <w:insideH w:val="none"/>
          <w:insideV w:val="none"/>
        </w:tblBorders>
      </w:tblPr>
      <w:tblGrid>
        <w:gridCol w:w="1364"/>
        <w:gridCol w:w="12270"/>
      </w:tblGrid>
      <w:tr>
        <w:trPr>
          <w:trHeight w:val="270" w:hRule="atLeast"/>
        </w:trPr>
        <w:tc>
          <w:tcPr>
            <w:tcW w:w="1364"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4"/>
              </w:rPr>
              <w:t xml:space="preserve"> </w:t>
            </w:r>
            <w:r>
              <w:rPr>
                <w:rFonts w:ascii="Times New Roman" w:hAnsi="Times New Roman"/>
                <w:b/>
                <w:i w:val="false"/>
                <w:color w:val="000000"/>
                <w:sz w:val="20"/>
              </w:rPr>
              <w:t>Exhibit No.</w:t>
            </w:r>
            <w:r>
              <w:rPr>
                <w:rFonts w:ascii="Times New Roman" w:hAnsi="Times New Roman"/>
                <w:b/>
                <w:i w:val="false"/>
                <w:color w:val="000000"/>
                <w:sz w:val="24"/>
              </w:rPr>
              <w:t xml:space="preserve"> </w:t>
            </w:r>
          </w:p>
        </w:tc>
        <w:tc>
          <w:tcPr>
            <w:tcW w:w="12270"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Description </w:t>
            </w:r>
          </w:p>
        </w:tc>
      </w:tr>
      <w:tr>
        <w:trPr>
          <w:trHeight w:val="210" w:hRule="atLeast"/>
        </w:trPr>
        <w:tc>
          <w:tcPr>
            <w:tcW w:w="1364"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1227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25" w:hRule="atLeast"/>
        </w:trPr>
        <w:tc>
          <w:tcPr>
            <w:tcW w:w="136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99.1</w:t>
            </w:r>
            <w:r>
              <w:rPr>
                <w:rFonts w:ascii="Times New Roman" w:hAnsi="Times New Roman"/>
                <w:b w:val="false"/>
                <w:i w:val="false"/>
                <w:color w:val="000000"/>
                <w:sz w:val="20"/>
              </w:rPr>
              <w:t xml:space="preserve"> </w:t>
            </w:r>
          </w:p>
        </w:tc>
        <w:tc>
          <w:tcPr>
            <w:tcW w:w="1227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Press Release, dated November 10, 2025. </w:t>
            </w:r>
          </w:p>
        </w:tc>
      </w:tr>
      <w:tr>
        <w:trPr>
          <w:trHeight w:val="225" w:hRule="atLeast"/>
        </w:trPr>
        <w:tc>
          <w:tcPr>
            <w:tcW w:w="136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99.2</w:t>
            </w:r>
            <w:r>
              <w:rPr>
                <w:rFonts w:ascii="Times New Roman" w:hAnsi="Times New Roman"/>
                <w:b w:val="false"/>
                <w:i w:val="false"/>
                <w:color w:val="000000"/>
                <w:sz w:val="20"/>
              </w:rPr>
              <w:t xml:space="preserve"> </w:t>
            </w:r>
          </w:p>
        </w:tc>
        <w:tc>
          <w:tcPr>
            <w:tcW w:w="12270"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Corporate Presentation, dated November 10, 2025. </w:t>
            </w:r>
          </w:p>
        </w:tc>
      </w:tr>
    </w:tbl>
    <w:bookmarkEnd w:id="3"/>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SIGNATURES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519e0ef7c0fa4474af89aa8fc38f0886" w:id="4"/>
    <w:tbl>
      <w:tblPr>
        <w:tblW w:w="0" w:type="auto"/>
        <w:tblCellSpacing w:w="0" w:type="auto"/>
        <w:tblBorders>
          <w:top w:val="none"/>
          <w:left w:val="none"/>
          <w:bottom w:val="none"/>
          <w:right w:val="none"/>
          <w:insideH w:val="none"/>
          <w:insideV w:val="none"/>
        </w:tblBorders>
      </w:tblPr>
      <w:tblGrid>
        <w:gridCol w:w="6818"/>
        <w:gridCol w:w="1363"/>
        <w:gridCol w:w="5453"/>
      </w:tblGrid>
      <w:tr>
        <w:trPr>
          <w:trHeight w:val="225" w:hRule="atLeast"/>
        </w:trPr>
        <w:tc>
          <w:tcPr>
            <w:tcW w:w="6818"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INFLARX N.V. </w:t>
            </w:r>
          </w:p>
        </w:tc>
      </w:tr>
      <w:tr>
        <w:trPr>
          <w:trHeight w:val="210" w:hRule="atLeast"/>
        </w:trPr>
        <w:tc>
          <w:tcPr>
            <w:tcW w:w="6818"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1363"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5453"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40" w:hRule="atLeast"/>
        </w:trPr>
        <w:tc>
          <w:tcPr>
            <w:tcW w:w="6818"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Date: November 10, 2025 </w:t>
            </w:r>
          </w:p>
        </w:tc>
        <w:tc>
          <w:tcPr>
            <w:tcW w:w="1363"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By: </w:t>
            </w:r>
          </w:p>
        </w:tc>
        <w:tc>
          <w:tcPr>
            <w:tcW w:w="5453"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/s/ Niels Riedemann </w:t>
            </w:r>
          </w:p>
        </w:tc>
      </w:tr>
      <w:tr>
        <w:trPr>
          <w:trHeight w:val="225" w:hRule="atLeast"/>
        </w:trPr>
        <w:tc>
          <w:tcPr>
            <w:tcW w:w="6818"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1363"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5453"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Name: Niels Riedemann </w:t>
            </w:r>
          </w:p>
        </w:tc>
      </w:tr>
      <w:tr>
        <w:trPr>
          <w:trHeight w:val="210" w:hRule="atLeast"/>
        </w:trPr>
        <w:tc>
          <w:tcPr>
            <w:tcW w:w="6818"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1363"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5453"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Title: </w:t>
            </w:r>
            <w:r>
              <w:rPr>
                <w:rFonts w:ascii="Times New Roman" w:hAnsi="Times New Roman"/>
                <w:b w:val="false"/>
                <w:i/>
                <w:color w:val="000000"/>
                <w:sz w:val="20"/>
              </w:rPr>
              <w:t>Chief Executive Officer</w:t>
            </w:r>
            <w:r>
              <w:rPr>
                <w:rFonts w:ascii="Times New Roman" w:hAnsi="Times New Roman"/>
                <w:b w:val="false"/>
                <w:i w:val="false"/>
                <w:color w:val="000000"/>
                <w:sz w:val="20"/>
              </w:rPr>
              <w:t xml:space="preserve"> </w:t>
            </w:r>
          </w:p>
        </w:tc>
      </w:tr>
    </w:tbl>
    <w:bookmarkEnd w:id="4"/>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ef20058026_ex99-1.htm </w:t>
      </w:r>
      <w:r>
        <w:rPr>
          <w:rFonts w:ascii="Times New Roman" w:hAnsi="Times New Roman"/>
          <w:b w:val="false"/>
          <w:i w:val="false"/>
          <w:color w:val="000000"/>
          <w:sz w:val="20"/>
        </w:rPr>
        <w:t xml:space="preserve">EXHIBIT 99.1 </w:t>
      </w:r>
    </w:p>
    <w:p>
      <w:pPr>
        <w:spacing w:before="0" w:after="0"/>
        <w:ind w:left="120"/>
        <w:jc w:val="left"/>
      </w:pPr>
    </w:p>
    <w:p>
      <w:r>
        <w:pict>
          <v:rect style="width:0;height:1.5pt" id="_x0000_i1025" o:hr="t" o:hrstd="t" o:hralign="center" stroked="f" fillcolor="#a0a0a0"/>
        </w:pict>
      </w: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99.1</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righ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71625" cy="54292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571625" cy="542925"/>
                    </a:xfrm>
                    <a:prstGeom prst="rect">
                      <a:avLst/>
                    </a:prstGeom>
                  </pic:spPr>
                </pic:pic>
              </a:graphicData>
            </a:graphic>
          </wp:inline>
        </w:drawing>
      </w:r>
      <w:r>
        <w:rPr>
          <w:rFonts w:ascii="Times New Roman" w:hAnsi="Times New Roman"/>
          <w:b/>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480"/>
        <w:jc w:val="center"/>
      </w:pPr>
      <w:r>
        <w:rPr>
          <w:rFonts w:ascii="Times New Roman" w:hAnsi="Times New Roman"/>
          <w:b w:val="false"/>
          <w:i w:val="false"/>
          <w:color w:val="000000"/>
          <w:sz w:val="20"/>
        </w:rPr>
        <w:t xml:space="preserve"> </w:t>
      </w:r>
      <w:bookmarkStart w:name="z_Int_9XBTnTD5" w:id="0"/>
      <w:bookmarkEnd w:id="0"/>
      <w:r>
        <w:rPr>
          <w:rFonts w:ascii="Times New Roman" w:hAnsi="Times New Roman"/>
          <w:b w:val="false"/>
          <w:i w:val="false"/>
          <w:color w:val="000000"/>
          <w:sz w:val="20"/>
        </w:rPr>
        <w:t xml:space="preserve">InflaRx Reports Positive Phase 2a Data for INF904 in </w:t>
      </w:r>
    </w:p>
    <w:p>
      <w:pPr>
        <w:spacing w:before="0" w:after="0"/>
        <w:ind w:left="480"/>
        <w:jc w:val="center"/>
      </w:pPr>
      <w:r>
        <w:rPr>
          <w:rFonts w:ascii="Times New Roman" w:hAnsi="Times New Roman"/>
          <w:b w:val="false"/>
          <w:i w:val="false"/>
          <w:color w:val="000000"/>
          <w:sz w:val="20"/>
        </w:rPr>
        <w:t xml:space="preserve"> Hidradenitis Suppurative (HS) and </w:t>
      </w:r>
    </w:p>
    <w:p>
      <w:pPr>
        <w:spacing w:before="0" w:after="0"/>
        <w:ind w:left="480"/>
        <w:jc w:val="center"/>
      </w:pPr>
      <w:r>
        <w:rPr>
          <w:rFonts w:ascii="Times New Roman" w:hAnsi="Times New Roman"/>
          <w:b w:val="false"/>
          <w:i w:val="false"/>
          <w:color w:val="000000"/>
          <w:sz w:val="20"/>
        </w:rPr>
        <w:t xml:space="preserve"> Chronic Spontaneous Urticaria (CSU)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300592a01e164167b2f415f15217a372" w:id="1"/>
    <w:tbl>
      <w:tblPr>
        <w:tblW w:w="0" w:type="auto"/>
        <w:tblCellSpacing w:w="0" w:type="dxa"/>
        <w:tblBorders>
          <w:top w:val="none"/>
          <w:left w:val="none"/>
          <w:bottom w:val="none"/>
          <w:right w:val="none"/>
          <w:insideH w:val="none"/>
          <w:insideV w:val="none"/>
        </w:tblBorders>
      </w:tblPr>
      <w:tblGrid>
        <w:gridCol w:w="96"/>
        <w:gridCol w:w="480"/>
        <w:gridCol w:w="13058"/>
      </w:tblGrid>
      <w:tr>
        <w:trPr>
          <w:trHeight w:val="435" w:hRule="atLeast"/>
        </w:trPr>
        <w:tc>
          <w:tcPr>
            <w:tcW w:w="96" w:type="dxa"/>
            <w:tcBorders/>
            <w:tcMar>
              <w:top w:w="15" w:type="dxa"/>
              <w:left w:w="15" w:type="dxa"/>
              <w:bottom w:w="15" w:type="dxa"/>
              <w:right w:w="15" w:type="dxa"/>
            </w:tcMar>
            <w:vAlign w:val="center"/>
          </w:tcPr>
          <w:p>
            <w:pPr>
              <w:spacing w:before="0" w:after="0"/>
              <w:ind w:left="0"/>
              <w:jc w:val="left"/>
            </w:pPr>
            <w:r>
              <w:br/>
            </w: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058"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Phase 2a data support oral C5aR inhibitor INF904 as a potentially transformational and best-in-class immunomodulatory agent, indicating strong potential for efficacy and no safety signals of concern </w:t>
            </w:r>
          </w:p>
        </w:tc>
      </w:tr>
    </w:tbl>
    <w:bookmarkEnd w:id="1"/>
    <w:bookmarkStart w:name="zaf3b74fc55e4488d84fad06ea833ead0" w:id="2"/>
    <w:tbl>
      <w:tblPr>
        <w:tblW w:w="0" w:type="auto"/>
        <w:tblCellSpacing w:w="0" w:type="dxa"/>
        <w:tblBorders>
          <w:top w:val="none"/>
          <w:left w:val="none"/>
          <w:bottom w:val="none"/>
          <w:right w:val="none"/>
          <w:insideH w:val="none"/>
          <w:insideV w:val="none"/>
        </w:tblBorders>
      </w:tblPr>
      <w:tblGrid>
        <w:gridCol w:w="96"/>
        <w:gridCol w:w="480"/>
        <w:gridCol w:w="13058"/>
      </w:tblGrid>
      <w:tr>
        <w:trPr>
          <w:trHeight w:val="885" w:hRule="atLeast"/>
        </w:trPr>
        <w:tc>
          <w:tcPr>
            <w:tcW w:w="96" w:type="dxa"/>
            <w:tcBorders/>
            <w:tcMar>
              <w:top w:w="15" w:type="dxa"/>
              <w:left w:w="15" w:type="dxa"/>
              <w:bottom w:w="15" w:type="dxa"/>
              <w:right w:w="15" w:type="dxa"/>
            </w:tcMar>
            <w:vAlign w:val="center"/>
          </w:tcPr>
          <w:p>
            <w:pPr>
              <w:spacing w:before="0" w:after="0"/>
              <w:ind w:left="0"/>
              <w:jc w:val="left"/>
            </w:pPr>
            <w:r>
              <w:br/>
            </w: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058"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 HS, over 4 weeks of therapy, InflaRx observed rapid and clinically meaningful reductions in abscesses and nodules (ANs) and draining tunnels (dTs), robust HiSCR responses that continued to deepen four weeks after the treatment period, with substantial reductions in patient reported pain scores, overall demonstrating the potential for biologic-like efficacy </w:t>
            </w:r>
          </w:p>
        </w:tc>
      </w:tr>
    </w:tbl>
    <w:bookmarkEnd w:id="2"/>
    <w:bookmarkStart w:name="z717c6b033cc44b5893213210092523d0" w:id="3"/>
    <w:tbl>
      <w:tblPr>
        <w:tblW w:w="0" w:type="auto"/>
        <w:tblCellSpacing w:w="0" w:type="dxa"/>
        <w:tblBorders>
          <w:top w:val="none"/>
          <w:left w:val="none"/>
          <w:bottom w:val="none"/>
          <w:right w:val="none"/>
          <w:insideH w:val="none"/>
          <w:insideV w:val="none"/>
        </w:tblBorders>
      </w:tblPr>
      <w:tblGrid>
        <w:gridCol w:w="96"/>
        <w:gridCol w:w="480"/>
        <w:gridCol w:w="13058"/>
      </w:tblGrid>
      <w:tr>
        <w:trPr>
          <w:trHeight w:val="660" w:hRule="atLeast"/>
        </w:trPr>
        <w:tc>
          <w:tcPr>
            <w:tcW w:w="96" w:type="dxa"/>
            <w:tcBorders/>
            <w:tcMar>
              <w:top w:w="15" w:type="dxa"/>
              <w:left w:w="15" w:type="dxa"/>
              <w:bottom w:w="15" w:type="dxa"/>
              <w:right w:w="15" w:type="dxa"/>
            </w:tcMar>
            <w:vAlign w:val="center"/>
          </w:tcPr>
          <w:p>
            <w:pPr>
              <w:spacing w:before="0" w:after="0"/>
              <w:ind w:left="0"/>
              <w:jc w:val="left"/>
            </w:pPr>
            <w:r>
              <w:br/>
            </w: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058"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 CSU, InflaRx observed substantial reductions in the 7-day Urticaria Activity Score (UAS7) broadly across patients, and particularly in those with severe disease, as well as improved disease control as measured by the Urticaria Control Test (UCT7) </w:t>
            </w:r>
          </w:p>
        </w:tc>
      </w:tr>
    </w:tbl>
    <w:bookmarkEnd w:id="3"/>
    <w:bookmarkStart w:name="zc9a75a583ff348518a25404642f99370" w:id="4"/>
    <w:tbl>
      <w:tblPr>
        <w:tblW w:w="0" w:type="auto"/>
        <w:tblCellSpacing w:w="0" w:type="dxa"/>
        <w:tblBorders>
          <w:top w:val="none"/>
          <w:left w:val="none"/>
          <w:bottom w:val="none"/>
          <w:right w:val="none"/>
          <w:insideH w:val="none"/>
          <w:insideV w:val="none"/>
        </w:tblBorders>
      </w:tblPr>
      <w:tblGrid>
        <w:gridCol w:w="96"/>
        <w:gridCol w:w="480"/>
        <w:gridCol w:w="13058"/>
      </w:tblGrid>
      <w:tr>
        <w:trPr>
          <w:trHeight w:val="435" w:hRule="atLeast"/>
        </w:trPr>
        <w:tc>
          <w:tcPr>
            <w:tcW w:w="96" w:type="dxa"/>
            <w:tcBorders/>
            <w:tcMar>
              <w:top w:w="15" w:type="dxa"/>
              <w:left w:w="15" w:type="dxa"/>
              <w:bottom w:w="15" w:type="dxa"/>
              <w:right w:w="15" w:type="dxa"/>
            </w:tcMar>
            <w:vAlign w:val="center"/>
          </w:tcPr>
          <w:p>
            <w:pPr>
              <w:spacing w:before="0" w:after="0"/>
              <w:ind w:left="0"/>
              <w:jc w:val="left"/>
            </w:pPr>
            <w:r>
              <w:br/>
            </w: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058"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With a priority of enabling Phase 2b development for INF904 in HS, InflaRx continues ongoing clinical trial preparation towards its goal of Phase 2b initiation in 2026 </w:t>
            </w:r>
          </w:p>
        </w:tc>
      </w:tr>
    </w:tbl>
    <w:bookmarkEnd w:id="4"/>
    <w:bookmarkStart w:name="za2e395e2d16a470b96a17213ac1b77d9" w:id="5"/>
    <w:tbl>
      <w:tblPr>
        <w:tblW w:w="0" w:type="auto"/>
        <w:tblCellSpacing w:w="0" w:type="dxa"/>
        <w:tblBorders>
          <w:top w:val="none"/>
          <w:left w:val="none"/>
          <w:bottom w:val="none"/>
          <w:right w:val="none"/>
          <w:insideH w:val="none"/>
          <w:insideV w:val="none"/>
        </w:tblBorders>
      </w:tblPr>
      <w:tblGrid>
        <w:gridCol w:w="96"/>
        <w:gridCol w:w="480"/>
        <w:gridCol w:w="13058"/>
      </w:tblGrid>
      <w:tr>
        <w:trPr>
          <w:trHeight w:val="660" w:hRule="atLeast"/>
        </w:trPr>
        <w:tc>
          <w:tcPr>
            <w:tcW w:w="96" w:type="dxa"/>
            <w:tcBorders/>
            <w:tcMar>
              <w:top w:w="15" w:type="dxa"/>
              <w:left w:w="15" w:type="dxa"/>
              <w:bottom w:w="15" w:type="dxa"/>
              <w:right w:w="15" w:type="dxa"/>
            </w:tcMar>
            <w:vAlign w:val="center"/>
          </w:tcPr>
          <w:p>
            <w:pPr>
              <w:spacing w:before="0" w:after="0"/>
              <w:ind w:left="0"/>
              <w:jc w:val="left"/>
            </w:pPr>
            <w:r>
              <w:br/>
            </w: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058"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Given INF904’s potential as a pipeline-in-a-product and increased industry interest in the C5aR mechanism of action, InflaRx continues to foster active dialog with potential collaborators in an effort to expedite the Company’s total development goals with INF904, and to also drive development in CSU and additional inflammatory disorders </w:t>
            </w:r>
          </w:p>
        </w:tc>
      </w:tr>
    </w:tbl>
    <w:bookmarkEnd w:id="5"/>
    <w:bookmarkStart w:name="z557496d859c0453cbd3cddcf2a38c540" w:id="6"/>
    <w:tbl>
      <w:tblPr>
        <w:tblW w:w="0" w:type="auto"/>
        <w:tblCellSpacing w:w="0" w:type="dxa"/>
        <w:tblBorders>
          <w:top w:val="none"/>
          <w:left w:val="none"/>
          <w:bottom w:val="none"/>
          <w:right w:val="none"/>
          <w:insideH w:val="none"/>
          <w:insideV w:val="none"/>
        </w:tblBorders>
      </w:tblPr>
      <w:tblGrid>
        <w:gridCol w:w="96"/>
        <w:gridCol w:w="480"/>
        <w:gridCol w:w="13058"/>
      </w:tblGrid>
      <w:tr>
        <w:trPr>
          <w:trHeight w:val="210" w:hRule="atLeast"/>
        </w:trPr>
        <w:tc>
          <w:tcPr>
            <w:tcW w:w="96" w:type="dxa"/>
            <w:tcBorders/>
            <w:tcMar>
              <w:top w:w="15" w:type="dxa"/>
              <w:left w:w="15" w:type="dxa"/>
              <w:bottom w:w="15" w:type="dxa"/>
              <w:right w:w="15" w:type="dxa"/>
            </w:tcMar>
            <w:vAlign w:val="center"/>
          </w:tcPr>
          <w:p>
            <w:pPr>
              <w:spacing w:before="0" w:after="0"/>
              <w:ind w:left="0"/>
              <w:jc w:val="left"/>
            </w:pPr>
            <w:r>
              <w:br/>
            </w: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058"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InflaRx will host a webcast to discuss the topline data today at 8:00 AM EST / 2:00 PM CET </w:t>
            </w:r>
          </w:p>
        </w:tc>
      </w:tr>
    </w:tbl>
    <w:bookmarkEnd w:id="6"/>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Jena, Germany, November 10, 2025</w:t>
      </w:r>
      <w:r>
        <w:rPr>
          <w:rFonts w:ascii="Times New Roman" w:hAnsi="Times New Roman"/>
          <w:b w:val="false"/>
          <w:i w:val="false"/>
          <w:color w:val="000000"/>
          <w:sz w:val="20"/>
        </w:rPr>
        <w:t xml:space="preserve"> – InflaRx N.V. (Nasdaq: IFRX), a biopharmaceutical company pioneering anti-inflammatory therapeutics by targeting the complement system, today announced positive topline data from a Phase 2a basket study exploring INF904 in HS and CSU. Efficacy data were reported from 29 of 31 HS patients and from 30 of 31 CSU patients. The study is evaluating the safety and pharmacokinetics / pharmacodynamics profile of INF904, with efficacy measures evaluated as exploratory endpoints. InflaRx believes these data provide strong rationale for further development in both indications. The Phase 2a study continues toward completion of the 4-week post-treatment observation period, with the final results targeted for release at major scientific meetings. In addition, InflaRx intends to host a Capital Markets Event showcasing the promise of INF904 in the near future.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Prof. Niels C. Riedemann, Chief Executive Officer and Founder of InflaRx</w:t>
      </w:r>
      <w:r>
        <w:rPr>
          <w:rFonts w:ascii="Times New Roman" w:hAnsi="Times New Roman"/>
          <w:b w:val="false"/>
          <w:i w:val="false"/>
          <w:color w:val="000000"/>
          <w:sz w:val="20"/>
        </w:rPr>
        <w:t>, commented: “</w:t>
      </w:r>
      <w:r>
        <w:rPr>
          <w:rFonts w:ascii="Times New Roman" w:hAnsi="Times New Roman"/>
          <w:b w:val="false"/>
          <w:i/>
          <w:color w:val="000000"/>
          <w:sz w:val="20"/>
        </w:rPr>
        <w:t xml:space="preserve">The success of our Phase 2a trial with INF904 in hidradenitis suppurativa (HS) and chronic spontaneous urticaria (CSU) is a crucial milestone in demonstrating the compound’s strong safety profile and clinical activity as a potent anti-inflammatory agent. </w:t>
      </w:r>
      <w:bookmarkStart w:name="z_Int_7cfILpcD" w:id="7"/>
      <w:bookmarkEnd w:id="7"/>
      <w:r>
        <w:rPr>
          <w:rFonts w:ascii="Times New Roman" w:hAnsi="Times New Roman"/>
          <w:b w:val="false"/>
          <w:i/>
          <w:color w:val="000000"/>
          <w:sz w:val="20"/>
        </w:rPr>
        <w:t>These data represent a pivotal moment for the company, underscoring the therapeutic promise of INF904 as a pipeline-in-a-product. As we move toward initiating Phase 2b in HS and broadening the INF904 clinical program in CSU and beyond, we look forward to further validating INF904’s differentiated profile and advancing its development for patients in need</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71625" cy="54292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571625" cy="542925"/>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Camilla Chong, MD, Chief Medical Officer of InflaRx</w:t>
      </w:r>
      <w:r>
        <w:rPr>
          <w:rFonts w:ascii="Times New Roman" w:hAnsi="Times New Roman"/>
          <w:b w:val="false"/>
          <w:i w:val="false"/>
          <w:color w:val="000000"/>
          <w:sz w:val="20"/>
        </w:rPr>
        <w:t>, commented: "</w:t>
      </w:r>
      <w:r>
        <w:rPr>
          <w:rFonts w:ascii="Times New Roman" w:hAnsi="Times New Roman"/>
          <w:b w:val="false"/>
          <w:i/>
          <w:color w:val="000000"/>
          <w:sz w:val="20"/>
        </w:rPr>
        <w:t>Results from our Phase 2a study indicate INF904’s positive safety profile to date and show promising signals of clinical benefit in both hidradenitis suppurativa and chronic spontaneous urticaria. We are particularly proud to have advanced</w:t>
      </w:r>
      <w:r>
        <w:rPr>
          <w:rFonts w:ascii="Times New Roman" w:hAnsi="Times New Roman"/>
          <w:b/>
          <w:i/>
          <w:color w:val="000000"/>
          <w:sz w:val="20"/>
        </w:rPr>
        <w:t> </w:t>
      </w:r>
      <w:r>
        <w:rPr>
          <w:rFonts w:ascii="Times New Roman" w:hAnsi="Times New Roman"/>
          <w:b w:val="false"/>
          <w:i/>
          <w:color w:val="000000"/>
          <w:sz w:val="20"/>
        </w:rPr>
        <w:t>this study to this stage in less than a year from study start, which was made possible thanks to the dedication of our clinical team and the excellent collaboration with investigators and their patients.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Phase 2a data in HS </w:t>
      </w:r>
    </w:p>
    <w:p>
      <w:pPr>
        <w:spacing w:before="0" w:after="0"/>
        <w:ind w:left="120"/>
        <w:jc w:val="both"/>
      </w:pPr>
      <w:r>
        <w:rPr>
          <w:rFonts w:ascii="Times New Roman" w:hAnsi="Times New Roman"/>
          <w:b w:val="false"/>
          <w:i w:val="false"/>
          <w:color w:val="000000"/>
          <w:sz w:val="20"/>
        </w:rPr>
        <w:t xml:space="preserve"> The Phase 2a trial is a multi-center, open-label study evaluating multiple INF904 dosing regimens over 4 weeks of treatment, with an additional 4-week follow-up period during which time patients are not dosed with INF904 (trial is 8 weeks total). The efficacy data reported today are from 29 patients from all three HS dosing cohorts who completed all 4 weeks of treatment (10 patients on 60 mg BID, 11 patients on 90 mg BID, and 8 patients on 120 mg BID), with additional data from patients (n=25) who to-date, have also completed the subsequent 4-week follow-up observation period off drug.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HS, clinical endpoints included reduction in AN and dT counts, achievement of HiSCR, pain reduction (Numeric Rating Scale 30 (NRS30)) and improvement in Dermatology Life Quality Index (DLQI).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Across all dosing groups, INF904 induced rapid, meaningful and consistent reductions in ANs and dTs; in addition to improvements in measures such as HiSCR, IHS4, NRS30, and DLQI. Improvements in reported efficacy measures were largely rapid and consistent, beginning from Week 1, and deepened over the 4-week treatment period. All doses showed positive clinical activity and appeared strongest in the highest dosing cohort. The company believes efficacy data for INF904 at 4 weeks are largely in line with data reported for the same timepoint from clinical studies for approved HS therapies and compared favorably for reductions in dT and improvement in NRS30 response.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Furthermore, initial data reported from 25 HS patients who completed the 4-week off-drug follow-up period showed that HiSCR responses continued to deepen 4 weeks after the treatment period. Preliminary PK results from Week 8 indicate INF904 levels 4 weeks off drug may still offer C5aR blocking potential. In addition, InflaRx believes inhibiting C5aR may drive an improvement in the inflammatory environment which may confer longer lasting benefit.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Safety data from 33 HS patients were reported. No signal of safety concern was detected, with no reported serious adverse events (SAEs) and three adverse events in two patients reported as possibly-to-likely related to drug which all were mild (Grade 1) in nature.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Overall, InflaRx believes these data are strong evidence that INF904 is highly active in HS, with improvements in efficacy measures largely differentiated from historically reported placebo, and in line with reported improvements at the 4-week time point for therapies which have successfully completed Phase 3 trials or received approval.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Given this positive biologic-like emerging clinical profile, with rapid, consistent and significant reductions in all lesion counts, total inflammatory burden (TIB), and patient reported outcomes (in particular NRS30 Skin Pain), as well as an addressable market for INF904 that InflaRx believes could well exceed $1 billion, the Company has a goal of progressing clinical development into a Phase 2b trial in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71625" cy="54292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
                    <a:stretch>
                      <a:fillRect/>
                    </a:stretch>
                  </pic:blipFill>
                  <pic:spPr>
                    <a:xfrm>
                      <a:off x="0" y="0"/>
                      <a:ext cx="1571625" cy="542925"/>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Exhibit 1: INF904 in HS at 4 weeks, unless otherwise noted.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afd29a86c7c74d28b06ca40cb1c40f4b" w:id="8"/>
    <w:tbl>
      <w:tblPr>
        <w:tblW w:w="0" w:type="auto"/>
        <w:tblCellSpacing w:w="0" w:type="auto"/>
        <w:tblBorders>
          <w:top w:val="none"/>
          <w:left w:val="none"/>
          <w:bottom w:val="none"/>
          <w:right w:val="none"/>
          <w:insideH w:val="none"/>
          <w:insideV w:val="none"/>
        </w:tblBorders>
      </w:tblPr>
      <w:tblGrid>
        <w:gridCol w:w="3167"/>
        <w:gridCol w:w="2616"/>
        <w:gridCol w:w="2617"/>
        <w:gridCol w:w="2617"/>
        <w:gridCol w:w="2617"/>
      </w:tblGrid>
      <w:tr>
        <w:trPr>
          <w:trHeight w:val="450" w:hRule="atLeast"/>
        </w:trPr>
        <w:tc>
          <w:tcPr>
            <w:tcW w:w="31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2616"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60 mg BID </w:t>
            </w:r>
          </w:p>
        </w:tc>
        <w:tc>
          <w:tcPr>
            <w:tcW w:w="261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90 mg BID </w:t>
            </w:r>
          </w:p>
        </w:tc>
        <w:tc>
          <w:tcPr>
            <w:tcW w:w="261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120 mg BID </w:t>
            </w:r>
          </w:p>
        </w:tc>
        <w:tc>
          <w:tcPr>
            <w:tcW w:w="261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All doses </w:t>
            </w:r>
          </w:p>
          <w:p>
            <w:pPr>
              <w:spacing w:before="0" w:after="0"/>
              <w:ind w:left="120"/>
              <w:jc w:val="left"/>
            </w:pPr>
            <w:r>
              <w:rPr>
                <w:rFonts w:ascii="Times New Roman" w:hAnsi="Times New Roman"/>
                <w:b/>
                <w:i w:val="false"/>
                <w:color w:val="000000"/>
                <w:sz w:val="20"/>
              </w:rPr>
              <w:t xml:space="preserve"> combined </w:t>
            </w:r>
          </w:p>
        </w:tc>
      </w:tr>
      <w:tr>
        <w:trPr>
          <w:trHeight w:val="225" w:hRule="atLeast"/>
        </w:trPr>
        <w:tc>
          <w:tcPr>
            <w:tcW w:w="316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AN (CFB) </w:t>
            </w:r>
          </w:p>
        </w:tc>
        <w:tc>
          <w:tcPr>
            <w:tcW w:w="26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-4.2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-3.6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-8.1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-5.1 </w:t>
            </w:r>
          </w:p>
        </w:tc>
      </w:tr>
      <w:tr>
        <w:trPr>
          <w:trHeight w:val="210" w:hRule="atLeast"/>
        </w:trPr>
        <w:tc>
          <w:tcPr>
            <w:tcW w:w="31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2616"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450" w:hRule="atLeast"/>
        </w:trPr>
        <w:tc>
          <w:tcPr>
            <w:tcW w:w="316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dT (pts with ≥1 dT) </w:t>
            </w:r>
          </w:p>
          <w:p>
            <w:pPr>
              <w:spacing w:before="0" w:after="0"/>
              <w:ind w:left="120"/>
              <w:jc w:val="left"/>
            </w:pPr>
            <w:r>
              <w:rPr>
                <w:rFonts w:ascii="Times New Roman" w:hAnsi="Times New Roman"/>
                <w:b w:val="false"/>
                <w:i w:val="false"/>
                <w:color w:val="000000"/>
                <w:sz w:val="20"/>
              </w:rPr>
              <w:t xml:space="preserve"> n = 21 </w:t>
            </w:r>
          </w:p>
        </w:tc>
        <w:tc>
          <w:tcPr>
            <w:tcW w:w="26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-1.0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-1.3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-2.2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-1.4 </w:t>
            </w:r>
          </w:p>
        </w:tc>
      </w:tr>
      <w:tr>
        <w:trPr>
          <w:trHeight w:val="210" w:hRule="atLeast"/>
        </w:trPr>
        <w:tc>
          <w:tcPr>
            <w:tcW w:w="31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2616"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450" w:hRule="atLeast"/>
        </w:trPr>
        <w:tc>
          <w:tcPr>
            <w:tcW w:w="316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dT100 </w:t>
            </w:r>
          </w:p>
          <w:p>
            <w:pPr>
              <w:spacing w:before="0" w:after="0"/>
              <w:ind w:left="120"/>
              <w:jc w:val="left"/>
            </w:pPr>
            <w:r>
              <w:rPr>
                <w:rFonts w:ascii="Times New Roman" w:hAnsi="Times New Roman"/>
                <w:b w:val="false"/>
                <w:i w:val="false"/>
                <w:color w:val="000000"/>
                <w:sz w:val="20"/>
              </w:rPr>
              <w:t xml:space="preserve"> n = 21 </w:t>
            </w:r>
          </w:p>
        </w:tc>
        <w:tc>
          <w:tcPr>
            <w:tcW w:w="26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14%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25%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50%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29% </w:t>
            </w:r>
          </w:p>
        </w:tc>
      </w:tr>
      <w:tr>
        <w:trPr>
          <w:trHeight w:val="210" w:hRule="atLeast"/>
        </w:trPr>
        <w:tc>
          <w:tcPr>
            <w:tcW w:w="31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2616"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25" w:hRule="atLeast"/>
        </w:trPr>
        <w:tc>
          <w:tcPr>
            <w:tcW w:w="316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ANdT (CFB) </w:t>
            </w:r>
          </w:p>
        </w:tc>
        <w:tc>
          <w:tcPr>
            <w:tcW w:w="26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-4.9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-4.5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-9.8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-6.1 </w:t>
            </w:r>
          </w:p>
        </w:tc>
      </w:tr>
      <w:tr>
        <w:trPr>
          <w:trHeight w:val="210" w:hRule="atLeast"/>
        </w:trPr>
        <w:tc>
          <w:tcPr>
            <w:tcW w:w="31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2616"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25" w:hRule="atLeast"/>
        </w:trPr>
        <w:tc>
          <w:tcPr>
            <w:tcW w:w="316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HiSCR50 </w:t>
            </w:r>
          </w:p>
        </w:tc>
        <w:tc>
          <w:tcPr>
            <w:tcW w:w="26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20%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27%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38%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28% </w:t>
            </w:r>
          </w:p>
        </w:tc>
      </w:tr>
      <w:tr>
        <w:trPr>
          <w:trHeight w:val="210" w:hRule="atLeast"/>
        </w:trPr>
        <w:tc>
          <w:tcPr>
            <w:tcW w:w="31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2616"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450" w:hRule="atLeast"/>
        </w:trPr>
        <w:tc>
          <w:tcPr>
            <w:tcW w:w="316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HiSCR50 </w:t>
            </w:r>
          </w:p>
          <w:p>
            <w:pPr>
              <w:spacing w:before="0" w:after="0"/>
              <w:ind w:left="120"/>
              <w:jc w:val="left"/>
            </w:pPr>
            <w:r>
              <w:rPr>
                <w:rFonts w:ascii="Times New Roman" w:hAnsi="Times New Roman"/>
                <w:b w:val="false"/>
                <w:i w:val="false"/>
                <w:color w:val="000000"/>
                <w:sz w:val="20"/>
              </w:rPr>
              <w:t xml:space="preserve"> Week 8 (n = 25) </w:t>
            </w:r>
          </w:p>
        </w:tc>
        <w:tc>
          <w:tcPr>
            <w:tcW w:w="26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25%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44%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63%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44% </w:t>
            </w:r>
          </w:p>
        </w:tc>
      </w:tr>
      <w:tr>
        <w:trPr>
          <w:trHeight w:val="210" w:hRule="atLeast"/>
        </w:trPr>
        <w:tc>
          <w:tcPr>
            <w:tcW w:w="31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2616"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25" w:hRule="atLeast"/>
        </w:trPr>
        <w:tc>
          <w:tcPr>
            <w:tcW w:w="316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IHS4 (CFB) </w:t>
            </w:r>
          </w:p>
        </w:tc>
        <w:tc>
          <w:tcPr>
            <w:tcW w:w="26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-7.1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-8.4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-18.6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-10.8 </w:t>
            </w:r>
          </w:p>
        </w:tc>
      </w:tr>
      <w:tr>
        <w:trPr>
          <w:trHeight w:val="210" w:hRule="atLeast"/>
        </w:trPr>
        <w:tc>
          <w:tcPr>
            <w:tcW w:w="31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2616"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25" w:hRule="atLeast"/>
        </w:trPr>
        <w:tc>
          <w:tcPr>
            <w:tcW w:w="316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NRS30 </w:t>
            </w:r>
          </w:p>
        </w:tc>
        <w:tc>
          <w:tcPr>
            <w:tcW w:w="26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60%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64%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75%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66% </w:t>
            </w:r>
          </w:p>
        </w:tc>
      </w:tr>
      <w:tr>
        <w:trPr>
          <w:trHeight w:val="210" w:hRule="atLeast"/>
        </w:trPr>
        <w:tc>
          <w:tcPr>
            <w:tcW w:w="316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2616"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261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25" w:hRule="atLeast"/>
        </w:trPr>
        <w:tc>
          <w:tcPr>
            <w:tcW w:w="316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DLQI (CFB) </w:t>
            </w:r>
          </w:p>
        </w:tc>
        <w:tc>
          <w:tcPr>
            <w:tcW w:w="26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-5.0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-2.9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-10.1 </w:t>
            </w:r>
          </w:p>
        </w:tc>
        <w:tc>
          <w:tcPr>
            <w:tcW w:w="261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-5.6 </w:t>
            </w:r>
          </w:p>
        </w:tc>
      </w:tr>
    </w:tbl>
    <w:bookmarkEnd w:id="8"/>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CFB </w:t>
      </w:r>
      <w:r>
        <w:rPr>
          <w:rFonts w:ascii="Times New Roman" w:hAnsi="Times New Roman"/>
          <w:b w:val="false"/>
          <w:i w:val="false"/>
          <w:color w:val="000000"/>
          <w:sz w:val="20"/>
        </w:rPr>
        <w:t xml:space="preserve">= Change from baseline.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AN </w:t>
      </w:r>
      <w:r>
        <w:rPr>
          <w:rFonts w:ascii="Times New Roman" w:hAnsi="Times New Roman"/>
          <w:b w:val="false"/>
          <w:i w:val="false"/>
          <w:color w:val="000000"/>
          <w:sz w:val="20"/>
        </w:rPr>
        <w:t xml:space="preserve">=d Combined abscesses + nodules count.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dT </w:t>
      </w:r>
      <w:r>
        <w:rPr>
          <w:rFonts w:ascii="Times New Roman" w:hAnsi="Times New Roman"/>
          <w:b w:val="false"/>
          <w:i w:val="false"/>
          <w:color w:val="000000"/>
          <w:sz w:val="20"/>
        </w:rPr>
        <w:t xml:space="preserve">= Draining tunnel count.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dT100 </w:t>
      </w:r>
      <w:r>
        <w:rPr>
          <w:rFonts w:ascii="Times New Roman" w:hAnsi="Times New Roman"/>
          <w:b w:val="false"/>
          <w:i w:val="false"/>
          <w:color w:val="000000"/>
          <w:sz w:val="20"/>
        </w:rPr>
        <w:t xml:space="preserve">= Percent of patients with 100% reduction in </w:t>
      </w:r>
      <w:bookmarkStart w:name="z_Int_SpQEICta" w:id="9"/>
      <w:bookmarkEnd w:id="9"/>
      <w:r>
        <w:rPr>
          <w:rFonts w:ascii="Times New Roman" w:hAnsi="Times New Roman"/>
          <w:b w:val="false"/>
          <w:i w:val="false"/>
          <w:color w:val="000000"/>
          <w:sz w:val="20"/>
        </w:rPr>
        <w:t xml:space="preserve">draining tunnels.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HiSCR50</w:t>
      </w:r>
      <w:r>
        <w:rPr>
          <w:rFonts w:ascii="Times New Roman" w:hAnsi="Times New Roman"/>
          <w:b w:val="false"/>
          <w:i w:val="false"/>
          <w:color w:val="000000"/>
          <w:sz w:val="20"/>
        </w:rPr>
        <w:t xml:space="preserve"> = Hidradenitis Suppurativa Clinical Response with at least a 50% reduction.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IHS4</w:t>
      </w:r>
      <w:r>
        <w:rPr>
          <w:rFonts w:ascii="Times New Roman" w:hAnsi="Times New Roman"/>
          <w:b w:val="false"/>
          <w:i w:val="false"/>
          <w:color w:val="000000"/>
          <w:sz w:val="20"/>
        </w:rPr>
        <w:t xml:space="preserve"> = International Hidradenitis Suppurativa Severity Score System.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NRS30</w:t>
      </w:r>
      <w:r>
        <w:rPr>
          <w:rFonts w:ascii="Times New Roman" w:hAnsi="Times New Roman"/>
          <w:b w:val="false"/>
          <w:i w:val="false"/>
          <w:color w:val="000000"/>
          <w:sz w:val="20"/>
        </w:rPr>
        <w:t xml:space="preserve"> = Numerical Rating Scale with at least 30% and at least 2-point reduction in skin pain.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DLQI</w:t>
      </w:r>
      <w:r>
        <w:rPr>
          <w:rFonts w:ascii="Times New Roman" w:hAnsi="Times New Roman"/>
          <w:b w:val="false"/>
          <w:i w:val="false"/>
          <w:color w:val="000000"/>
          <w:sz w:val="20"/>
        </w:rPr>
        <w:t xml:space="preserve"> = Dermatology Quality of Life Index.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Professor John Ingram, Clinical Professor &amp; Consultant Dermatologist, Cardiff University and Specialty Lead for Dermatology, Health and Care Research Wale</w:t>
      </w:r>
      <w:r>
        <w:rPr>
          <w:rFonts w:ascii="Times New Roman" w:hAnsi="Times New Roman"/>
          <w:b w:val="false"/>
          <w:i w:val="false"/>
          <w:color w:val="000000"/>
          <w:sz w:val="20"/>
        </w:rPr>
        <w:t>s, commented: “</w:t>
      </w:r>
      <w:r>
        <w:rPr>
          <w:rFonts w:ascii="Times New Roman" w:hAnsi="Times New Roman"/>
          <w:b w:val="false"/>
          <w:i/>
          <w:color w:val="000000"/>
          <w:sz w:val="20"/>
        </w:rPr>
        <w:t>These data in hidradenitis suppurativa (HS) are encouraging, demonstrating the potential for INF904 to rapidly and substantially reduce total inflammatory burden (TIB) - abscesses, nodules, and draining tunnels. These findings suggest INF904 could meaningfully lessen the burden faced by HS patients, many of whom continue to suffer despite the relatively small set of approved therapies currently available. The improvements observed in NRS30 and DLQI further underscore INF904's potential to deliver a differentiated clinical benefit compared with currently available treatments. Given the pressing need for novel mechanisms of action, and INF904’s emerging clinical profile as a well-tolerated and potentially effective oral therapy, I am optimistic about its advancement into later-stage development and its potential to address an important unmet need in HS.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71625" cy="54292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6"/>
                    <a:stretch>
                      <a:fillRect/>
                    </a:stretch>
                  </pic:blipFill>
                  <pic:spPr>
                    <a:xfrm>
                      <a:off x="0" y="0"/>
                      <a:ext cx="1571625" cy="542925"/>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Phase 2a data in CSU </w:t>
      </w:r>
    </w:p>
    <w:p>
      <w:pPr>
        <w:spacing w:before="0" w:after="0"/>
        <w:ind w:left="120"/>
        <w:jc w:val="both"/>
      </w:pPr>
      <w:r>
        <w:rPr>
          <w:rFonts w:ascii="Times New Roman" w:hAnsi="Times New Roman"/>
          <w:b w:val="false"/>
          <w:i w:val="false"/>
          <w:color w:val="000000"/>
          <w:sz w:val="20"/>
        </w:rPr>
        <w:t xml:space="preserve"> The Phase 2a trial is a multi-center, open-label study evaluating multiple INF904 dosing regimens over 4 weeks of treatment, with an additional 4-week follow-up period during which time patients are not dosed with INF904 (trial is 8 weeks total). The efficacy data reported today are from 30 patients (14 patients on 60 mg BID and 16 patients on 120 mg BID) that completed all 4 weeks of treatment, with additional data from patients (n=23) who to-date, have also completed the subsequent 4-week follow-up observation period off drug.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CSU, clinical endpoints included change from baseline in UAS7, UCT7 and responder rate analyses, with additional subset analyses conducted in several study subpopulations.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Reported improvements in clinical measures such as UAS7 appeared generally higher in the 60 mg dosing cohort (UAS7 change from baseline of -13.7 points at Week 4) and indicate a level of activity that exceeds average historically reported placebo levels, and is within the range of existing approved CSU therapies. Furthermore, in patients with severe CSU at baseline (UAS7 of 28–42, n=23), the 60mg dose reduced UAS7 by 15.4 points, and in patients who presented with angioedema (n=3) the reduction of UAS7 was 18.7 points. Additional efficacy analyses in patients with high IgE (n=22) and low IgE (n=6) at baseline showed that INF904 appeared equally effective in both patient populations.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Furthermore, initial data reported from 23 CSU patients who completed the 4-week off-drug observational follow-up period, indicated that patients continued to benefit from INF904 four weeks after the last dose, with responses in the 60mg dosing cohort showing a mean absolute UAS7 reduction of 16.7 points. InflaRx believes that INF904’s ability to drive durable improvements within the inflammatory environment could provide deepened clinical </w:t>
      </w:r>
      <w:bookmarkStart w:name="z_Int_KqFPZUGq" w:id="10"/>
      <w:bookmarkEnd w:id="10"/>
      <w:r>
        <w:rPr>
          <w:rFonts w:ascii="Times New Roman" w:hAnsi="Times New Roman"/>
          <w:b w:val="false"/>
          <w:i w:val="false"/>
          <w:color w:val="000000"/>
          <w:sz w:val="20"/>
        </w:rPr>
        <w:t xml:space="preserve">benefit with long-term dosing.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Safety data from 33 CSU patients were reported. No signal of safety concern was detected, with no reported SAEs and one adverse event reported as possibly related to drug which was mild (Grade 1) in nature.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Overall, InflaRx believes these data suggest that INF904 is active in CSU and not only differentiated from reported historical placebo rates, but potentially within the range of currently approved CSU therapies. These data further indicate that UAS7 decreases may deepen with longer-term treatment.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Given this positive emerging clinical profile, and an addressable market for INF904 that InflaRx believes could well exceed $1 billion, the company is targeting further development for INF904 in CSU via its active engagement with potential partners.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Exhibit 2: INF904 in CSU at 4 weeks, unless otherwise noted.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a79d7288b3b2403489992275f235bcfc" w:id="11"/>
    <w:tbl>
      <w:tblPr>
        <w:tblW w:w="0" w:type="auto"/>
        <w:tblCellSpacing w:w="0" w:type="auto"/>
        <w:tblBorders>
          <w:top w:val="none"/>
          <w:left w:val="none"/>
          <w:bottom w:val="none"/>
          <w:right w:val="none"/>
          <w:insideH w:val="none"/>
          <w:insideV w:val="none"/>
        </w:tblBorders>
      </w:tblPr>
      <w:tblGrid>
        <w:gridCol w:w="4034"/>
        <w:gridCol w:w="3200"/>
        <w:gridCol w:w="3200"/>
        <w:gridCol w:w="3200"/>
      </w:tblGrid>
      <w:tr>
        <w:trPr>
          <w:trHeight w:val="450" w:hRule="atLeast"/>
        </w:trPr>
        <w:tc>
          <w:tcPr>
            <w:tcW w:w="403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60 mg BID </w:t>
            </w:r>
          </w:p>
        </w:tc>
        <w:tc>
          <w:tcPr>
            <w:tcW w:w="3200"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120 mg BID </w:t>
            </w:r>
          </w:p>
        </w:tc>
        <w:tc>
          <w:tcPr>
            <w:tcW w:w="3200"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All doses </w:t>
            </w:r>
          </w:p>
          <w:p>
            <w:pPr>
              <w:spacing w:before="0" w:after="0"/>
              <w:ind w:left="120"/>
              <w:jc w:val="left"/>
            </w:pPr>
            <w:r>
              <w:rPr>
                <w:rFonts w:ascii="Times New Roman" w:hAnsi="Times New Roman"/>
                <w:b/>
                <w:i w:val="false"/>
                <w:color w:val="000000"/>
                <w:sz w:val="20"/>
              </w:rPr>
              <w:t xml:space="preserve"> combined </w:t>
            </w:r>
          </w:p>
        </w:tc>
      </w:tr>
      <w:tr>
        <w:trPr>
          <w:trHeight w:val="225" w:hRule="atLeast"/>
        </w:trPr>
        <w:tc>
          <w:tcPr>
            <w:tcW w:w="403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UAS7 (CFB)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-13.7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-7.9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-10.4 </w:t>
            </w:r>
          </w:p>
        </w:tc>
      </w:tr>
      <w:tr>
        <w:trPr>
          <w:trHeight w:val="210" w:hRule="atLeast"/>
        </w:trPr>
        <w:tc>
          <w:tcPr>
            <w:tcW w:w="403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450" w:hRule="atLeast"/>
        </w:trPr>
        <w:tc>
          <w:tcPr>
            <w:tcW w:w="403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UAS7 (CFB) </w:t>
            </w:r>
          </w:p>
          <w:p>
            <w:pPr>
              <w:spacing w:before="0" w:after="0"/>
              <w:ind w:left="120"/>
              <w:jc w:val="left"/>
            </w:pPr>
            <w:r>
              <w:rPr>
                <w:rFonts w:ascii="Times New Roman" w:hAnsi="Times New Roman"/>
                <w:b w:val="false"/>
                <w:i w:val="false"/>
                <w:color w:val="000000"/>
                <w:sz w:val="20"/>
              </w:rPr>
              <w:t xml:space="preserve"> 8 weeks (n = 23)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-16.3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-7.1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-11.1 </w:t>
            </w:r>
          </w:p>
        </w:tc>
      </w:tr>
      <w:tr>
        <w:trPr>
          <w:trHeight w:val="210" w:hRule="atLeast"/>
        </w:trPr>
        <w:tc>
          <w:tcPr>
            <w:tcW w:w="403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450" w:hRule="atLeast"/>
        </w:trPr>
        <w:tc>
          <w:tcPr>
            <w:tcW w:w="403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UAS7 (CFB) </w:t>
            </w:r>
          </w:p>
          <w:p>
            <w:pPr>
              <w:spacing w:before="0" w:after="0"/>
              <w:ind w:left="120"/>
              <w:jc w:val="left"/>
            </w:pPr>
            <w:r>
              <w:rPr>
                <w:rFonts w:ascii="Times New Roman" w:hAnsi="Times New Roman"/>
                <w:b w:val="false"/>
                <w:i w:val="false"/>
                <w:color w:val="000000"/>
                <w:sz w:val="20"/>
              </w:rPr>
              <w:t xml:space="preserve"> Severe CSU (n = 23)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-15.4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-8.8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-12.0 </w:t>
            </w:r>
          </w:p>
        </w:tc>
      </w:tr>
      <w:tr>
        <w:trPr>
          <w:trHeight w:val="210" w:hRule="atLeast"/>
        </w:trPr>
        <w:tc>
          <w:tcPr>
            <w:tcW w:w="403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25" w:hRule="atLeast"/>
        </w:trPr>
        <w:tc>
          <w:tcPr>
            <w:tcW w:w="403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UCT7 (CFB)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4.9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4.9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4.9 </w:t>
            </w:r>
          </w:p>
        </w:tc>
      </w:tr>
      <w:tr>
        <w:trPr>
          <w:trHeight w:val="210" w:hRule="atLeast"/>
        </w:trPr>
        <w:tc>
          <w:tcPr>
            <w:tcW w:w="403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3200"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25" w:hRule="atLeast"/>
        </w:trPr>
        <w:tc>
          <w:tcPr>
            <w:tcW w:w="4034"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UCT7≥ 12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31%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25% </w:t>
            </w:r>
          </w:p>
        </w:tc>
        <w:tc>
          <w:tcPr>
            <w:tcW w:w="32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29% </w:t>
            </w:r>
          </w:p>
        </w:tc>
      </w:tr>
    </w:tbl>
    <w:bookmarkEnd w:id="1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CFB </w:t>
      </w:r>
      <w:r>
        <w:rPr>
          <w:rFonts w:ascii="Times New Roman" w:hAnsi="Times New Roman"/>
          <w:b w:val="false"/>
          <w:i w:val="false"/>
          <w:color w:val="000000"/>
          <w:sz w:val="20"/>
        </w:rPr>
        <w:t xml:space="preserve">= Change from baseline.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UAS7 </w:t>
      </w:r>
      <w:r>
        <w:rPr>
          <w:rFonts w:ascii="Times New Roman" w:hAnsi="Times New Roman"/>
          <w:b w:val="false"/>
          <w:i w:val="false"/>
          <w:color w:val="000000"/>
          <w:sz w:val="20"/>
        </w:rPr>
        <w:t xml:space="preserve">= Weekly Urticaria Activity Score over a 7-day period.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Severe CSU </w:t>
      </w:r>
      <w:r>
        <w:rPr>
          <w:rFonts w:ascii="Times New Roman" w:hAnsi="Times New Roman"/>
          <w:b w:val="false"/>
          <w:i w:val="false"/>
          <w:color w:val="000000"/>
          <w:sz w:val="20"/>
        </w:rPr>
        <w:t xml:space="preserve">= Baseline UAS7 of 28 - 42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UCT7 </w:t>
      </w:r>
      <w:r>
        <w:rPr>
          <w:rFonts w:ascii="Times New Roman" w:hAnsi="Times New Roman"/>
          <w:b w:val="false"/>
          <w:i w:val="false"/>
          <w:color w:val="000000"/>
          <w:sz w:val="20"/>
        </w:rPr>
        <w:t xml:space="preserve">= 7-day recall version of the Urticaria Control Test.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71625" cy="54292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7"/>
                    <a:stretch>
                      <a:fillRect/>
                    </a:stretch>
                  </pic:blipFill>
                  <pic:spPr>
                    <a:xfrm>
                      <a:off x="0" y="0"/>
                      <a:ext cx="1571625" cy="542925"/>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Martin Metz, MD, Professor of Dermatology and Deputy Director of the Institute of Allergology | Charité – Universitätsmedizin, Berlin, Germany</w:t>
      </w:r>
      <w:r>
        <w:rPr>
          <w:rFonts w:ascii="Times New Roman" w:hAnsi="Times New Roman"/>
          <w:b w:val="false"/>
          <w:i w:val="false"/>
          <w:color w:val="000000"/>
          <w:sz w:val="20"/>
        </w:rPr>
        <w:t>, commented: “</w:t>
      </w:r>
      <w:r>
        <w:rPr>
          <w:rFonts w:ascii="Times New Roman" w:hAnsi="Times New Roman"/>
          <w:b w:val="false"/>
          <w:i/>
          <w:color w:val="000000"/>
          <w:sz w:val="20"/>
        </w:rPr>
        <w:t>The Phase 2a data for INF904 in chronic spontaneous urticaria (CSU) are encouraging, indicating clinical activity and safety. Furthermore, by inhibiting the C5a receptor, INF904 appears to be acting on the inflammation environment underlying urticaria, which may further benefit from continued dosing. Given the unmet need in CSU, and the potential for INF904 as an effective and safe oral agent to benefit a significant number of patients, further exploration in CSU is clearly warranted.</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Efficacy data were reported from 29 of 31 HS patients and 30 of 31 CSU patients, with two HS patients (60 mg and 90 mg) and one CSU patient (120 mg) remaining. The Phase 2a study continues toward completion of the 4-week post-treatment observation period, with the final results targeted for release at major scientific meetings. Enrollment in a third CSU dosing cohort (120 mg) in patients refractory to anti-IgE therapy is ongoing. Data from this last cohort in CSU will be announced in due course.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Webcast </w:t>
      </w:r>
    </w:p>
    <w:p>
      <w:pPr>
        <w:spacing w:before="0" w:after="0"/>
        <w:ind w:left="120"/>
        <w:jc w:val="both"/>
      </w:pPr>
      <w:r>
        <w:rPr>
          <w:rFonts w:ascii="Times New Roman" w:hAnsi="Times New Roman"/>
          <w:b w:val="false"/>
          <w:i w:val="false"/>
          <w:color w:val="000000"/>
          <w:sz w:val="20"/>
        </w:rPr>
        <w:t xml:space="preserve"> InflaRx will host a webcast/conference call accompanied by a slide presentation today at 8:00 AM EST / 2:00 PM CET. To participate in the call, participants may pre-register here to receive an invite link and dial-in details. The live webcast and audio archive of the presentation can be accessed on the InflaRx website at https://www.inflarx.de/home/investors/events.html.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w:t>
      </w:r>
      <w:r>
        <w:rPr>
          <w:rFonts w:ascii="Times New Roman" w:hAnsi="Times New Roman"/>
          <w:b/>
          <w:i w:val="false"/>
          <w:color w:val="000000"/>
          <w:sz w:val="20"/>
          <w:u w:val="single"/>
        </w:rPr>
        <w:t>Third-party data</w:t>
      </w:r>
      <w:r>
        <w:rPr>
          <w:rFonts w:ascii="Times New Roman" w:hAnsi="Times New Roman"/>
          <w:b/>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We have not conducted head-to-head clinical trial comparisons between INF904 and any third-party drug candidate or approved drug. Any third-party data displayed or referenced are intended solely for comparative orientation and are based on published data from various sources, including original publications, press releases, abstracts, posters, approval reviews and others. Except for a separate comparison to reported data from the use of avacopan in HS, all comparisons are focused on available data from drug candidates that are approved. These comparisons are not derived from head-to-head trials and the data displayed are from studies conducted under different protocols, with different inclusion and exclusion criteria, at different sites and at different times, among other differences. As such, the value of any such comparison may be limited, and we are unable to make direct comparative claims between INF904 and third-party drug candidates or approved drugs. We make no representation regarding the completeness of such comparative data and reference the sources of our comparisons where applicable.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71625" cy="54292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8"/>
                    <a:stretch>
                      <a:fillRect/>
                    </a:stretch>
                  </pic:blipFill>
                  <pic:spPr>
                    <a:xfrm>
                      <a:off x="0" y="0"/>
                      <a:ext cx="1571625" cy="542925"/>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InflaRx data </w:t>
      </w:r>
    </w:p>
    <w:p>
      <w:pPr>
        <w:spacing w:before="0" w:after="0"/>
        <w:ind w:left="120"/>
        <w:jc w:val="both"/>
      </w:pPr>
      <w:r>
        <w:rPr>
          <w:rFonts w:ascii="Times New Roman" w:hAnsi="Times New Roman"/>
          <w:b w:val="false"/>
          <w:i w:val="false"/>
          <w:color w:val="000000"/>
          <w:sz w:val="20"/>
        </w:rPr>
        <w:t xml:space="preserve"> The topline results presented in this press release are based on the number of patients indicated and are subject to final data review and quality checks. For HS, two patients (one in the 60 mg bid dosing group and one in the 90 mg bid dosing group) are still completing treatment and are therefore excluded from the data presented. For CSU, one patient in the 120 mg bid dosing group is still under treatment and is therefore excluded from the data presented. While we do not expect the pending data from such patients to materially change the overall efficacy trends, particularly as the most pronounced efficacy in HS was observed in the 120 mg bid dosing group, which is unaffected, minor changes may occur. Final changes and corrections may occur upon full data review and quality checks, but we do not believe any such changes or corrections will have a material impact on the reported efficacy or safety trends.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About INF904 </w:t>
      </w:r>
    </w:p>
    <w:p>
      <w:pPr>
        <w:spacing w:before="0" w:after="0"/>
        <w:ind w:left="120"/>
        <w:jc w:val="both"/>
      </w:pPr>
      <w:r>
        <w:rPr>
          <w:rFonts w:ascii="Times New Roman" w:hAnsi="Times New Roman"/>
          <w:b w:val="false"/>
          <w:i w:val="false"/>
          <w:color w:val="000000"/>
          <w:sz w:val="20"/>
        </w:rPr>
        <w:t xml:space="preserve"> INF904 is an orally administered, small molecule inhibitor of the C5a receptor Ca5R1 that has shown anti-inflammatory therapeutic effects in several pre-clinical disease models. Further, in contrast to the marketed C5aR inhibitor, in vitro experiments demonstrated that INF904 has minimal inhibition of the cytochrome P450 3A4/5 (CYP3A4/5) enzymes, which play an important role in the metabolism of a variety of metabolites and drugs, including glucocorticoids. Reported results from a first-in-human study demonstrated that INF904 is well tolerated in treated subjects and exhibits no safety signals of concern in single doses ranging from 3 mg to 240 mg or multiple doses ranging from 30 mg once per day to 90 mg twice per day for 14 days. Pharmacokinetic / pharmacodynamic data support the best-in-class potential of INF904 with a ≥90% blockade of C5a-induced neutrophil activation achieved over the 14-day dosing period.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About InflaRx N.V. </w:t>
      </w:r>
    </w:p>
    <w:p>
      <w:pPr>
        <w:spacing w:before="0" w:after="0"/>
        <w:ind w:left="120"/>
        <w:jc w:val="both"/>
      </w:pPr>
      <w:r>
        <w:rPr>
          <w:rFonts w:ascii="Times New Roman" w:hAnsi="Times New Roman"/>
          <w:b w:val="false"/>
          <w:i w:val="false"/>
          <w:color w:val="000000"/>
          <w:sz w:val="20"/>
        </w:rPr>
        <w:t xml:space="preserve"> InflaRx (Nasdaq: IFRX) is a biopharmaceutical company pioneering anti-inflammatory therapeutics by applying its proprietary anti-C5a and anti-C5aR technologies to discover, develop and commercialize highly potent and specific inhibitors of the complement activation factor C5a and its receptor, C5aR. C5a is a powerful inflammatory mediator involved in the progression of a wide variety of inflammatory diseases. InflaRx has developed vilobelimab, a novel, intravenously delivered, first-in-class, anti-C5a monoclonal antibody that selectively binds to free C5a and has demonstrated disease-modifying clinical activity and tolerability in multiple clinical studies. InflaRx is also developing INF904, an orally administered small molecule inhibitor of C5a-induced signaling via the C5a receptor.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was founded in 2007, and the group has offices and subsidiaries in Jena and Munich, Germany, as well as Ann Arbor, MI, USA. For further information, please visit www.inflarx.de. InflaRx GmbH (Germany) and InflaRx Pharmaceuticals Inc. (USA) are wholly owned subsidiaries of InflaRx N.V. (together, InflaRx).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Contacts: </w:t>
      </w:r>
    </w:p>
    <w:bookmarkStart w:name="z66ee2bd4a1ed4dcfa0b2126ed07a7bd8" w:id="12"/>
    <w:tbl>
      <w:tblPr>
        <w:tblW w:w="0" w:type="auto"/>
        <w:tblCellSpacing w:w="0" w:type="auto"/>
        <w:tblBorders>
          <w:top w:val="none"/>
          <w:left w:val="none"/>
          <w:bottom w:val="none"/>
          <w:right w:val="none"/>
          <w:insideH w:val="none"/>
          <w:insideV w:val="none"/>
        </w:tblBorders>
      </w:tblPr>
      <w:tblGrid>
        <w:gridCol w:w="6817"/>
        <w:gridCol w:w="6817"/>
      </w:tblGrid>
      <w:tr>
        <w:trPr>
          <w:trHeight w:val="225"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InflaRx N.V.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MC Services AG </w:t>
            </w:r>
          </w:p>
        </w:tc>
      </w:tr>
      <w:tr>
        <w:trPr>
          <w:trHeight w:val="885"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Jan Medina, CFA </w:t>
            </w:r>
          </w:p>
          <w:p>
            <w:pPr>
              <w:spacing w:before="0" w:after="0"/>
              <w:ind w:left="120"/>
              <w:jc w:val="both"/>
            </w:pPr>
            <w:r>
              <w:rPr>
                <w:rFonts w:ascii="Times New Roman" w:hAnsi="Times New Roman"/>
                <w:b w:val="false"/>
                <w:i w:val="false"/>
                <w:color w:val="000000"/>
                <w:sz w:val="20"/>
              </w:rPr>
              <w:t xml:space="preserve"> Vice President, Head of Investor Relations </w:t>
            </w:r>
          </w:p>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IR@inflarx.de</w:t>
            </w:r>
            <w:r>
              <w:rPr>
                <w:rFonts w:ascii="Times New Roman" w:hAnsi="Times New Roman"/>
                <w:b w:val="false"/>
                <w:i w:val="false"/>
                <w:color w:val="000000"/>
                <w:sz w:val="20"/>
              </w:rPr>
              <w:t xml:space="preserve">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Katja Arnold, Laurie Doyle, Dr. Regina Lutz </w:t>
            </w:r>
          </w:p>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inflarx@mc-services.eu</w:t>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Europe: +49 89-210 2280 </w:t>
            </w:r>
          </w:p>
          <w:p>
            <w:pPr>
              <w:spacing w:before="0" w:after="0"/>
              <w:ind w:left="120"/>
              <w:jc w:val="both"/>
            </w:pPr>
            <w:r>
              <w:rPr>
                <w:rFonts w:ascii="Times New Roman" w:hAnsi="Times New Roman"/>
                <w:b w:val="false"/>
                <w:i w:val="false"/>
                <w:color w:val="000000"/>
                <w:sz w:val="20"/>
              </w:rPr>
              <w:t xml:space="preserve"> U.S.: +1-339-832-0752 </w:t>
            </w:r>
          </w:p>
        </w:tc>
      </w:tr>
    </w:tbl>
    <w:bookmarkEnd w:id="12"/>
    <w:p>
      <w:pPr>
        <w:spacing w:before="0" w:after="0"/>
        <w:ind w:left="120"/>
        <w:jc w:val="left"/>
      </w:pPr>
      <w:r>
        <w:rPr>
          <w:rFonts w:ascii="Times New Roman" w:hAnsi="Times New Roman"/>
          <w:b/>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71625" cy="54292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9"/>
                    <a:stretch>
                      <a:fillRect/>
                    </a:stretch>
                  </pic:blipFill>
                  <pic:spPr>
                    <a:xfrm>
                      <a:off x="0" y="0"/>
                      <a:ext cx="1571625" cy="542925"/>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FORWARD-LOOKING STATEMENTS </w:t>
      </w:r>
    </w:p>
    <w:p>
      <w:pPr>
        <w:spacing w:before="0" w:after="0"/>
        <w:ind w:left="120"/>
        <w:jc w:val="both"/>
      </w:pPr>
      <w:r>
        <w:rPr>
          <w:rFonts w:ascii="Times New Roman" w:hAnsi="Times New Roman"/>
          <w:b w:val="false"/>
          <w:i w:val="false"/>
          <w:color w:val="000000"/>
          <w:sz w:val="20"/>
        </w:rPr>
        <w:t xml:space="preserve"> This press release contains forward-looking statements. All statements other than statements of historical fact are forward-looking statements, which are often indicated by terms such as “may,” “will,” “should,” “expect,” “plan,” “anticipate,” “could,” “intend,” “target,” “estimate,” “believe,” “predict,” “potential” or “continue,” among others. Forward-looking statements appear in a number of places throughout this press release and may include statements regarding our intentions, beliefs, projections, outlook, analyses and current expectations concerning, among other things: the receptiveness of INF904 as a treatment for HS and CSU by patients and hospitals and related treatment recommendations by medical/healthcare institutes and other third-party organizations; our ability to successfully secure distribution channels and commercialize GOHIBIC (vilobelimab) as a treatment for COVID-19 patients and our ability to positively influence treatment recommendations by U.S. and European hospitals, guideline bodies and other third-party organizations; our expectations regarding the size of the patient populations for, market opportunity for, coverage and reimbursement for, estimated returns and return accruals for, and clinical utility of GOHIBIC (vilobelimab) in its approved or authorized indication or for vilobelimab and any other product candidates, under the Emergency Use Authorization and in the future if approved for commercial use in the United States, Europe or elsewhere; our ability to successfully implement The InflaRx Commitment Program, the success of our future clinical trials for vilobelimab’s treatment of debilitating or life-threatening inflammatory indications, including acute respiratory distress syndrome and other indications, and any other product candidates, including INF904, and whether such clinical results will reflect results seen in previously conducted pre-clinical studies and clinical trials; the timing, progress and results of preclinical studies and clinical trials of vilobelimab, INF904 and any other product candidates, including for the development of vilobelimab in several indications, including to obtain full approval of GOHIBIC (vilobelimab) for COVID-19 and other virally induced ARDS, to treat HS and CSU, and statements regarding the timing of initiation and completion of studies or trials and related preparatory work, the period during which the results of the trials will become available, the costs of such trials and our research and development programs generally; our interactions with and the receptiveness and approval by regulators regarding the results of clinical trials and potential regulatory approval or authorization pathways, including our biologics license application submission for GOHIBIC (vilobelimab); the timing and outcome of any discussions or submission of filings for regulatory approval or authorization of vilobelimab, INF904 or any other product candidate, and the timing of and our ability to obtain and maintain full regulatory approval, the EUA and/or market authorization of vilobelimab or GOHIBIC (vilobelimab) for any indication; our ability to leverage our proprietary anti-C5a and anti-C5aR technologies to discover and develop therapies to treat complement-mediated autoimmune and inflammatory diseases; our ability to protect, maintain and enforce our intellectual property protection for vilobelimab, INF904 and any other product candidates, and the scope of such protection; whether the U.S. Food and Drug Administration, the European Medicines Agency or any comparable foreign regulatory authority will accept or agree with the number, design, size, conduct or implementation of our clinical trials, including any proposed primary or secondary endpoints for such trials; the success of our future clinical trials for vilobelimab, INF904 and any other product candidates and whether such clinical results will reflect results seen in previously conducted preclinical studies and clinical trials; our expectations regarding the size of the patient populations for, the market opportunity for, the medical need for and clinical utility of vilobelimab, INF904 or any other product candidates, if approved or authorized for commercial use;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vilobelimab and for the finished product GOHIBIC (vilobelimab) in the United States and Europe; our estimates of our expenses, ongoing losses, future revenue, capital requirements and our needs for or ability to obtain additional financing; our expectations regarding the scope of any approved indication for vilobelimab; our ability to defend against liability claims resulting from the testing of our product candidates in the clinic or, if, approved or authorized, any commercial sales; if any of our product candidates obtain regulatory approval or authorization, our ability to comply with and satisfy ongoing drug regulatory obligations and continued regulatory overview; our ability to comply with enacted and future legislation in seeking marketing approval or authorization and commercialization; our future growth and ability to compete, which depends on our retaining key personnel and recruiting additional qualified personnel; our competitive position and the development of and projections relating to our competitors in the development of C5a and C5aR inhibitors and other therapeutic products being developed in similar medical conditions in which vilobelimab, INF904 or any other of our product candidates is being developed or our industry; and the risks, uncertainties and other factors described under the heading “Risk Factors” in our periodic filings with the U.S. Securities and Exchange Commission. These statements speak only as of the date of this press release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p>
    <w:p>
      <w:r>
        <w:pict>
          <v:rect style="width:0;height:1.5pt" id="_x0000_i1025" o:hr="t" o:hrstd="t" o:hralign="center" stroked="f" fillcolor="#a0a0a0"/>
        </w:pict>
      </w:r>
    </w:p>
    <w:p>
      <w:pPr>
        <w:spacing w:before="0" w:after="0"/>
        <w:ind w:left="120"/>
        <w:jc w:val="left"/>
      </w:pPr>
    </w:p>
    <w:p>
      <w:pPr>
        <w:spacing w:before="0" w:after="0"/>
        <w:ind w:left="120"/>
        <w:jc w:val="left"/>
      </w:pP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EX-99.2 </w:t>
      </w:r>
      <w:r>
        <w:rPr>
          <w:rFonts w:ascii="Times New Roman" w:hAnsi="Times New Roman"/>
          <w:b w:val="false"/>
          <w:i w:val="false"/>
          <w:color w:val="000000"/>
          <w:sz w:val="20"/>
        </w:rPr>
        <w:t xml:space="preserve">3 </w:t>
      </w:r>
      <w:r>
        <w:rPr>
          <w:rFonts w:ascii="Times New Roman" w:hAnsi="Times New Roman"/>
          <w:b w:val="false"/>
          <w:i w:val="false"/>
          <w:color w:val="000000"/>
          <w:sz w:val="20"/>
        </w:rPr>
        <w:t xml:space="preserve">ef20058026_ex99-2.htm </w:t>
      </w:r>
      <w:r>
        <w:rPr>
          <w:rFonts w:ascii="Times New Roman" w:hAnsi="Times New Roman"/>
          <w:b w:val="false"/>
          <w:i w:val="false"/>
          <w:color w:val="000000"/>
          <w:sz w:val="20"/>
        </w:rPr>
        <w:t xml:space="preserve">EXHIBIT 99.2 </w:t>
      </w:r>
    </w:p>
    <w:p>
      <w:r>
        <w:pict>
          <v:rect style="width:0;height:1.5pt" id="_x0000_i1025" o:hr="t" o:hrstd="t" o:hralign="center" stroked="f" fillcolor="#a0a0a0"/>
        </w:pict>
      </w:r>
    </w:p>
    <w:p>
      <w:pPr>
        <w:spacing w:before="0" w:after="0"/>
        <w:ind w:left="120"/>
        <w:jc w:val="left"/>
      </w:pP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99.2</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0"/>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Topline Phase 2a Data  Hidradenitis suppurativa (HS)  &amp; chronic spontaneous urticaria (CSU)  NOVEMBER 10, 2025  1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1"/>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Speakers  2  Niels Riedemann, M.D., Ph.D.  Chief Executive Officer, Founder, InflaRx   Camilla Chong, M.D.   Chief Medical Officer, InflaRx   Prof. John Ingram  Clinical Professor &amp; Consultant Dermatologist,  Cardiff University  &amp;  Specialty Lead for Dermatology,  Health and Care Research Wales  Thomas Taapken, Ph.D.  Chief Financial Officer, InflaRx   JAN Medina, cfa  Vice President, Head of IR, InflaRx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2"/>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Important Notice and Disclaimer  This presentation has been prepared by InflaRx N.V. (“InflaRx” or “we”). This presentation is made for informational purposes only and does not constitute an offer to sell or a solicitation of an offer to buy securities in any jurisdiction in which such offer or solicitation would be unlawful prior to the registration or qualification of such securities under the securities law of any such jurisdiction.  Forward-Looking Statements  This presentation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Forward-looking statements appear in a number of places throughout this presentation and may include statements regarding our intentions, beliefs, projections, outlook, analyses and current expectations concerning, among other things: the receptiveness of INF904 as a treatment for Hidradenitis Suppurativa (HS) and Chronic Spontaneous Urticaria (CSU) patients and U.S. hospitals and related treatment recommendations by medical/healthcare institutes and other third-party organizations; our ability to successfully secure distribution channels and commercialize GOHIBIC (vilobelimab) as a treatment for COVID-19 patients and our ability to positively influence treatment recommendations by U.S. and European hospitals, guideline bodies and other third-party organizations; our expectations regarding the size of the patient populations for, market opportunity for, coverage and reimbursement for, estimated returns and return accruals for, and clinical utility of GOHIBIC (vilobelimab) in its approved or authorized indication or for vilobelimab and any other product candidates, under the Emergency Use Authorization (EUA) and in the future if approved for commercial use in the United States, Europe or elsewhere; our ability to successfully implement The InflaRx Commitment Program, the success of our future clinical trials for vilobelimab’s treatment of debilitating or life-threatening inflammatory indications, including acute respiratory distress syndrome (ARDS) and other indications, and any other product candidates, including INF904, and whether such clinical results will reflect results seen in previously conducted pre-clinical studies and clinical trials; the timing, progress and results of preclinical studies and clinical trials of vilobelimab, INF904 and any other product candidates, including for the development of vilobelimab in several indications, including to obtain full approval of GOHIBIC (vilobelimab) for COVID-19 and other virally induced ARDS, to treat HS and CSU, and statements regarding the timing of initiation and completion of studies or trials and related preparatory work, the period during which the results of the trials will become available, the costs of such trials and our research and development programs generally; our interactions with and the receptiveness and approval by regulators regarding the results of clinical trials and potential regulatory approval or authorization pathways, including our biologics license application submission for GOHIBIC (vilobelimab); the timing and outcome of any discussions or submission of filings for regulatory approval or authorization of vilobelimab, INF904 or any other product candidate, and the timing of and our ability to obtain and maintain full regulatory approval, the EUA and/or market authorization of vilobelimab or GOHIBIC (vilobelimab) for any indication; our ability to leverage our proprietary anti-C5a and anti-C5aR technologies to discover and develop therapies to treat complement-mediated autoimmune and inflammatory diseases; our ability to protect, maintain and enforce our intellectual property protection for vilobelimab, INF904 and any other product candidates, and the scope of such protection; whether the U.S. Food and Drug Administration (FDA) the European Medicines Agency (EMA) or any comparable foreign regulatory authority will accept or agree with the number, design, size, conduct or implementation of our clinical trials, including any proposed primary or secondary endpoints for such trials; the success of our future clinical trials for vilobelimab, INF904 and any other product candidates and whether such clinical results will reflect results seen in previously conducted preclinical studies and clinical trials; our expectations regarding the size of the patient populations for, the market opportunity for, the medical need for and clinical utility of vilobelimab, INF904 or any other product candidates, if approved or authorized for commercial use;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vilobelimab and for the finished product GOHIBIC (vilobelimab) in the United States and Europe; our estimates of our expenses, ongoing losses, future revenue, capital requirements and our needs for or ability to obtain additional financing; our expectations regarding the scope of any approved indication for vilobelimab; our ability to defend against liability claims resulting from the testing of our product candidates in the clinic or, if, approved or authorized, any commercial sales; if any of our product candidates obtain regulatory approval or authorization, our ability to comply with and satisfy ongoing drug regulatory obligations and continued regulatory overview; our ability to comply with enacted and future legislation in seeking marketing approval or authorization and commercialization; our future growth and ability to compete, which depends on our retaining key personnel and recruiting additional qualified personnel; our competitive position and the development of and projections relating to our competitors in the development of C5a and C5aR inhibitors and other therapeutic products being developed in similar medical conditions in which vilobelimab, INF904 or any other of our product candidates is being developed or our industry; and the risks, uncertainties and other factors described under the heading “Risk Factors” in our periodic filings with the U.S. Securities and Exchange Commission. These statements speak only as of the date of this presentation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CONTROLLING INFLAMMATION  3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3"/>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Important Notice and Disclaimer  InflaRx data presented  The data presented herein are topline results based on the number of patients indicated and are subject to final data review and quality checks. Data from patients still completing treatment are not included in the current analysis and may result in minor changes to the reported results.  For HS, two patients (one in the 60mg bid dosing group and one in the 90mg bid dosing group) are still completing treatment and are excluded from the data presented. For CSU, one patient in the 120mg bid dosing group is still under treatment and is excluded from the data presented. Data entry and verification for these patients is ongoing at the trial sites. While we do not expect the pending data from such patients to materially change the overall efficacy trends, particularly as the most pronounced efficacy in HS was observed in the 120mg bid dosing group, which is unaffected, minor changes may occur.  Final changes and corrections may occur upon full data review and quality checks, but we do not believe any such changes or corrections will have a material impact on the reported efficacy or safety trends. All data should be considered preliminary until the full dataset is available and final analyses are complete. We are committed to providing an update as soon as the remaining data are incorporated.  Information and sources  Certain information contained in this presentation relates to or is based on studies, publications, surveys and other data obtained from third-party sources, as well as InflaRx’s own internal estimates and research. While we believe these third-party sources to be reliable as of the date of this presentation, we have not independently verified, and make no representation as to the adequacy, fairness, accuracy or completeness of, any information obtained from third-party sources. All market data and other information from third-party sources involve a number of assumptions and limitations, and there can be no guarantee as to the accuracy or reliability of such assumptions. Further, while we believe our own internal research is reliable, such research has not been verified by any independent source.  Third-Party Data  We have not conducted head-to-head clinical trial comparisons between INF904 and any third-party drug candidate or approved drug. Any third-party data displayed or referenced are intended solely for comparative orientation and are based on published data from various sources, including original publications, press releases, abstracts, posters, approval reviews and others. Except for a separate comparison to reported data from the use of avacopan in HS, all comparisons are focused on available data from drug candidates that are approved, have successfully completed Phase 3 development or have initiated Phase 3 development based on completed Phase 2 studies and have not been otherwise discontinued. These comparisons are not derived from head-to-head trials and the data displayed are from studies conducted under different protocols, with different inclusion and exclusion criteria, at different sites and at different times, among other differences. As such, the value of any such comparison may be limited, and we are unable to make comparative claims between INF904 and third-party drug candidates or approved drugs. We make no representation regarding the completeness of such comparative data and reference the sources of our comparisons where applicable.  About InflaRx  InflaRx (Nasdaq: IFRX) is a biopharmaceutical company pioneering anti-inflammatory therapeutics by applying its proprietary anti-C5a and anti-C5aR technologies to discover, develop and commercialize highly potent and specific inhibitors of the complement activation factor C5a and its receptor, C5aR. C5a is a powerful inflammatory mediator involved in the progression of a wide variety of inflammatory diseases. InflaRx has developed vilobelimab, a novel, intravenously delivered, first-in-class, anti-C5a monoclonal antibody that selectively binds to free C5a and has demonstrated disease-modifying clinical activity and tolerability in multiple clinical studies. InflaRx is also developing INF904, an orally administered small molecule inhibitor of C5a-induced signaling via the C5a receptor.  InflaRx was founded in 2007, and the group has offices and subsidiaries in Jena and Munich, Germany, as well as Ann Arbor, MI, USA. For further information, please visit www.inflarx.de. InflaRx GmbH (Germany) and InflaRx Pharmaceuticals Inc. (USA) are wholly owned subsidiaries of InflaRx N.V. (together, InflaRx).  CONTROLLING INFLAMMATION  4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4"/>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C5a/C5aR signaling inhibition: INF904 prevents binding of C5a to C5aR  Advantages of blocking C5aR with INF904  A small molecule oral compound is predicted to have good tissue penetration and to control C5a/C5aR signaling at the site of inflammation  C5aR is selectively expressed on various immune and tissue cells, and blocking C5aR will not be impacted by increasing C5a generation  scissile bond  MG7 domain  C5a  C5aR1  through C5 convertases (complement mediated)   through enzymatic cleavage at scissile bond (thrombin, trypsin, elastase, etc.)  Classical  Lectin  Alternative  Complement Pathways  Antibody binding  Mannose binding  Foreign surfaces  C3 activation  C5-convertases  1  2  C5  INF904  5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5"/>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*InflaRx data on file: PK Results From Single Ascending Dose (SAD) Phase 1 study – note: Avacopan data (Becker et al, 2016, PLoS One) are superimposed in graph for orientation. Avacopan was not included as a comparator in INF904 Phase I study.  **InflaRx data on file: PD Results from multiple ascending dose (MAD) Phase 1 study.   INF904: An oral C5aR antagonist with best-in-class potential   6  These properties allow for exploring a significantly more potent C5aR inhibition with fast onset in patients which may lead to higher clinical efficacy for INF904  This could open significant additional market opportunities  Superior PK/PD profile in Phase 1 and Phase 2 studies compared to reported data from marketed comparator avacopan (graphs at right*/**)  Phase 1 SAD: ~3-fold higher Cmax and ~10-fold higher AUClast  Significantly increased blocking activity &gt;90% blocking of C5a activity   Faster achievement of therapeutic exposure  Favorable safety profile for INF904 supported by preclinical studies, as well as data from Phase 1 (SAD and MAD trials) and Phase 2a (HS &amp; CSU) with over 180 human subjects exposed   Other favorable features compared to avacopan  30mg per capsule compared to 10mg for avacopan  Much weaker inhibitor of CYP3A4/5 in pre-clinical studies in vitro (36-fold higher in IC50)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6"/>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therapeutic exposure reached within the first week  Page 7  Lower dose of 60 mg bid projected to result in complete signal control based on Phase 1 data  Explore efficacy at the high end by adding 90 mg bid (HS) and 120 mg bid (HS and CSU)  Preliminary PK results*  * Preliminary PK results of pooled 19-21 HS patients (60, 90, 120mg bid) and 14-17 CSU patients (60, 120mg bid) at topline data release. InflaRx data on file final and full QC checked results will be reported after completion of the study  ** Steady state plasma levels of avacopan (NDA filing for ANCA-associated vasculitis) are reached by 13 weeks and the accumulation is approximately 4-fold  Initial considerations  7  High plasma exposure can be reached approximately within the first week (all doses tested), compared to 13 weeks for reported avacopan PK data  *  **  steady state (w13)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7"/>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 Preliminary safety reporting at topline data release, final and full QC checked results will be reported after completion of the study at the end of observation period (week 8) for all patients   INF904 Phase 2a data show no signals of safety concern  Safety results in HS*  No signals of safety concern detected  No reported serious adverse events  3 adverse events (AEs) in 2 patients reported as possibly-to-likely related, all were mild (Grade 1)  Safety results in CSU*  No signals of safety concern detected  No reported serious adverse events  1 AE reported as possibly related, mild (Grade 1)  8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8"/>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Phase 2a in Hidradenitis Suppurativa  9  All data presented herein for end of treatment (EOT) at week 4 show results for n=29 evaluable patients  All data presented herein for end of study (EOS) at week 8 (after 4-week follow-up period) show results for n=25 evaluable patients  Data from two additional patients (one in the 60mg bid dosing group and one in the 90mg bid dosing group) still completing treatment are excluded from the current analysis and data presented  * Data are topline and subject to final data review and quality checks. Results may change as additional patient data are incorporated.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9"/>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HS: Phase 2a trial design  Arm 1  Arm 2  Arm 3  4 weeks treatment n=10 per arm  4 weeks follow-up  INF904 60 mg BID  INF904 90 mg BID  INF904 120 mg BID  R  1:1:1  Baseline  EOT  EOS  Primary &amp; secondary objectives   Safety &amp; PK  Exploratory objectives  Clinical endpoints AN, dT, ANdT, HiSCR, NRS-Skin Pain, DLQI   10  INF904 capsules will be taken with food as described in the protocol  4  8  Weeks   3  2  1  0  Visits   no dosing  no visits  EOT = End of treatment (week 4)  EOS = End of study (week 8)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0"/>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HS: Phase 2a baseline characteristics  11  n  AN-count mean  dT-count mean  ANdT-count mean  IHS4-score mean  Pain Score mean  DLQI mean  Hurley III (%)  mean HS diagnosis (years)   mean age (years)  % pts with ≥ 1 dT  prior biologic use  mean BMI  % female  60 mg bid  10  12.5  4.2  16.7  33.7  7.1  12.4  50%  14.6  42.2  70%  20%  36.7  60%  90 mg bid  11  14.7  4.5  19.3  36.3  6.6  14.2  36%  11.4  40.5  73%  18%  27.8  36%  120 mg bid  8  18.3  3.3  21.5  38.0  5.9  14.1  13%  8.1  35.9  75%  13%  28.9  38%  All  29  14.9  4.1  19.0  35.9  6.6  13.6  35%  11.5  39.8  72%  17%  31.2  45%  Baseline characteristics are overall balanced and in line with recent HS data sets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1"/>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drives meaningful and consistent AN count reductions  12  A  N  AN  A  N  AN  A  N  AN  A  N  AN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2"/>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13  Comparison to average of reported successfully completed Phase 2 (moved into Phase 3) and all available completed Phase 3 drug data*  * Data are derived from different completed Phase 3 clinical trials and averages were created using the data available at each timepoint:   Adalimumab Phase 3 PIONEER I &amp; II: week 12 data for all tested dose groups and placebo as reported by Kimball et al., N Engl J Med 2016; 375:422-34.  Secukinumab Phase 3 SUNSHINE &amp; SUNRISE: week 2, 4, 8, 12, 16 data from all tested dosing regimens and placebo as reported by Kimball et al., Lancet 2023; 401(10378):747-761, absolute mean CFB were calculated from reported relative CFB means (assessed from graphs per timepoint).  Bimekizumab Phase 3 BE HEARD I &amp; II: week 2, 4, 8, 12 and 16 data for all tested dose groups and placebo as reported from Kimball at al., Lancet 2024; 403(10443):2504-2519, absolute mean CFB data for week 2, 4, 8 and 12 are approx. numbers from graphs (data set with multiple imputations, HS-Antibiotics).   For Phase 2 data from   Povorcitinib Phase 2 : week 2, 4, 8, 12, and 16 data from the best reported doses (45mg QD &amp; 75mg QD) and placebo as reported by Kirby et al. J Am Acad Dermatol; 90(3);521-529.   INF904 AN reductions in line with previous successful studies  Ph3 placebo  Ph2 placebo (povorcitinib)  Ph2 povorcitinib best reported  Ph3 completed  INF904 120mg  INF904 pooled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3"/>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drives draining tunnel (dT) count reductions  14  All n=21  All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4"/>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dT reductions compared to reported successful Phase 3 trials  * Data are derived from different completed Phase 3 clinical trials and averages were created using the data available at each timepoint:   Adalimumab PIONEER I &amp; II: week 12 data for tested dose and placebo as reported by Kimball et al., N Engl J Med 2016; 375:422-34.  Secukinumab SUNSHINE &amp; SUNRISE: week 2, 4, 8, 12, 16 data from all tested dose regimens and placebo as reported by Kimball et al., Lancet 2023; 401(10378):747-761, note: CFB was approximated by calculating differences in reported total means per week (estimated from published graphs) compared to baseline.  Bimekizumab BE HEARD I &amp; II: week 2, 4, 8, 12 and 16 data for all tested dose groups and placebo as reported from Kimball at al., Lancet 2024; 403(10443):2504-2519, absolute mean CFB data for week 2, 4, 8 and 12 are approx. numbers from graphs (data set with multiple imputations, HS-Antibiotics).   Povorcitinib STOP-HS1 &amp; -HS2: week 3 and 12 data for all tested dosing groups and placebo (ITT population) as reported by Porter et al., EADV 2025 #D1T01.1C  Comparison to average of available reported completed Phase 3 drug data*  Ph3 Placebo  Ph3 completed  INF904 120mg, all pts  INF904 pooled, all pts  INF904 120mg (dT)  INF904 pooled (dT)  15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5"/>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drives early improvements in HiSCR  16  44%  EOS (w8)  n=25  63 %  n=8  44%  n=9  25%  n=8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6"/>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HiSCR compared to successful Phase 3 trials   17  * Data are derived from different completed Phase 3 clinical trials and averages were created using the data available at each timepoint:   Adalimumab PIONEER I &amp; II : week 2, 4, 8, and 12 data for tested dose and placebo as reported by Kimball et al., N Engl J Med 2016; 375:422-34.  Secukinumab SUNSHINE &amp; SUNRISE : week 2, 4, 8, 12, (approx. from published graph) and 16 (reported) data from all tested doses and from placebo as reported by Kimball et al., Lancet 2023; 401(10378):747-761 and on Clinicaltrials.gov (NCT03713619 , NCT03713632)  Bimekizumab BE HEARD I &amp; II : week 2, 4, 8, 12 (approx. from published graph) and 16 (reported) data for all tested dose groups and placebo (ITT-mNRI [all antibiotics] data set) as reported by Kimball at al., Lancet 2024; 403(10443):2504-2519.   Povorcitinib STOP-HS1 &amp; -HS2 :week 3 and 12 data for all tested doses and placebo (NRI data set) as reported by Porter et al., EADV 2025 #D1T01.1C.   Sonelokinumab VELA-1 &amp; -2 : week 16 data for tested dose and placebo (composite strategy, ITT-mNRI), Moonlake R&amp;D update, 29 September 2025  Ph3 placebo  Ph3 completed  INF904 120mg  INF904 pooled  EOS visit (n=25)  EOS (n=8)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7"/>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drives high pain score reduction (NRS30)  NRS30 response is defined as &gt;30% reduction from baseline and at least 2 point reduction  When applying the NRS 3 points reduction (in analogy to sonelokimab VELA data), the curve is identical  18  * Data are derived from different completed Phase 3 clinical trials and averages were created using the data available at each timepoint:   Adalimumab PIONEER I &amp; II – week 2, 4, 8, and 12 data for tested dose and placebo as reported by Kimball et al., N Engl J Med 2016; 375:422-34.   Secukinumab SUNSHINE &amp; SUNRISE – week 2, 4, 8, 12, (approx. from published graph) and 16 data from all tested doses and from placebo as reported by Kimball et al., Lancet 2023; 401(10378):747-761 and on Clinicaltrials.gov.  Povorcitinib STOP-HS1 &amp; -HS2 – week 3 and 12 data for all tested doses and placebo, Incyte presentation, 17 March 2025.   Note definitions: Adalimumab &amp; Povorcitinib: NRS30 defined as ≥30% reduction and ≥1 point reduction from baseline for patients with baseline NRS ≥3 . Secukinumab: NRS30 defined as ≥30% reduction and ≥2 point reduction from baseline for patients with baseline NRS ≥3  Comparison to average of available reported completed Phase 3 data*  Ph3 placebo  Ph3 completed  INF904 120mg  INF904 pooled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8"/>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comparison with reported avacopan data*  19  * Data from avacopan Phase 2 AURORA trial reported at clinicaltrials.gov (NCT03852472). NRS30 definition used in AURORA reported data: ≥30% reduction and ≥1 point reduction from baseline for patients with baseline NRS ≥3  Placebo  INF904 120mg  INF904 pooled  avacopan 30mg  INF904 Week 4  Avacopan Week 12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9"/>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Highlights of INF904 in HS  20  INF904 shows biologic-like efficacy in the first 4 weeks with AN count reduction and HiSCR in line with successful Phase 3 comparators  Preliminary week 8 data indicate that HiSCR response further deepens in the 4 weeks after end of treatment  INF904 shows a fast and deep reduction in dT significantly differentiated from reported placebo responses and compares favorably to reported data of successfully completed Phase 3 drugs  INF904 treatment led to a consistent pain reduction (NRS30) at week 4 of ~65% on average  Improvement in both NRS30 and DLQI are consistent with improvements of lesion reductions  Oral INF904 therapy did not result in signals of safety concern  INF904 shows promise to be a safe oral agent with biologic-like activity and a differentiated new mechanism of action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0"/>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Phase 2a in Chronic Spontaneous Urticaria  21  All data presented herein for end of treatment (EOT) at week 4 show results for n=30 evaluable patients  All data presented herein for end of study (EOS) at week 8 (after 4-week follow-up period) show results for n=23 evaluable patients  Data from one additional patient still completing treatment are excluded from the current analysis and data presented  *Data are topline and subject to final data review and quality checks. Results may change as additional patient data are incorporated.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1"/>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Arm 1  Arm 2  Arm 3  CSU 4 weeks treatment n=15 per arm  4 weeks follow-up  INF904 60 mg BID  INF904 60 mg BID n=10  R  1:1  Baseline  EOT  EOS  INF904 120 mg BID  Anti-IgE experienced* INF904 120 mg BID  CSU: Phase 2a trial design  Primary &amp; secondary objectives   Safety &amp; PK  Exploratory objectives  Clinical endpoints include UAS7,UCT7, Responders and QoL  * Incomplete/lack of response to anti-IgE treatment or patients with low baseline IgE &lt; 40  4  8  Weeks   3  2  1  0  Visits   no dosing  no visits  22  INF904 capsules will be taken with food as described in the protocol  EOT = End of treatment (week 4)  EOS = End of study (week 8)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2"/>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23  CSU: Baseline characteristics   mean age (years)  % female  mean CSU duration (years)  mean UAS7  mean UCT7  IgE (IU/L)  anti IgE experienced  60 mg BID n=14  41.3  86%  3.6  33.5  5.0  283.4  7%  120 mg BID n=16  47.8  81%  3.3  29.5  4.3  178.0  19%  All n=30  44.8  83%  3.5  31.4  4.6  230.7  13%  Anti IgE Naive n=25  43.7  80%  2.9  31.0  4.6  244.9  0%  Anti IgE Experienced n=5  50.2  100%  5.8  33.4  5.0  112.4  100%  Definitions  UAS7: 28-42 (severe disease), 16-27 (moderate), 7-17 (mild)  UCT7: 16 (complete disease control), 12-15 (well controlled), &lt;12 (poorly controlled)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3"/>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24  CSU: Effect on UAS7 at W4 continues to end of study (W8) after end of treatment   -16.3  n=10  EOS (w8)  n=23  -7.1  n=13  -11.1  n=23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4"/>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CSU: Phase 2 UAS7 data at W4 from competition(products progressed to Phase 3*)     Omalizumab Phase 2: Saini S et al J Allergy Clin Immunol. 2011 Sep;128(3):567-73  Remibrutinib Phase 2: Maurer M, et al. J Allergy Clin Immunol. 2022 Dec;150(6):1498-1506  Barzolvolima Phase 2: EAACI2025  Rilzabrutinib Phase 2: Giménez-Arnau A, et al JAMA Dermatol. 2025 Apr 23  Note: Week 4 data for rilza and barzo approx. numbers from graphs   *Not all doses were progressed to Ph3  Average change in UAS7: -6.3  Average change in UAS7: -14.6  25  INF904 UAS7 reductions are within the range of therapies successfully moved into Phase 3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5"/>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Phase 3 UAS7 data at W4 from competition     Omalizumab Phase 3 ASTERIA II: Maurer M N Engl J Med. 2013   Omalizumab Phase 3 ASTERIA I: Saini SS,. J Invest Dermatol. 2015.  Remibrutinib Phase 3: Metz M et al. N Engl J Med. 2025 Mar 6;392(10):984-994  Dupilumab Phase 3: Maurer M et al J Allergy Clin Immunol. 2024 Jul;154(1):184-194 CUPID A and B, CUPID C clinical trial.gov  Week 4 data for oma, dupi and remi are approx. numbers from graphs   Average change in UAS7: -13.1  Average change in UAS7: -7.4  26  INF904 UAS7 reductions are within the range of therapies successfully completing Phase 3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6"/>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27  CSU: INF904 achieves substantial reduction in UAS7 in sub-populations with severe disease and those with angioedema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7"/>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28  CSU: UAS7 reduced in patients with low IgE levels at baseline  * Dotted line represents the placebo average UAS7 CFB at Week 12 of remibrutinib and barzolvolimab Phase 2 data for IgE low patients ( -1.6 and 6.1)   Remibrutinib Research Abstract / Ann Allergy Asthma Immunol 129 (2022) S15−S81   Barzovolimab EADV 2025 presentation  *Placebo rates tend to be lower in the low-IgE group from remibrutinib and barzovolimab Ph2 W12 data  * Placebo average -3.8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8"/>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All doses achieved more than 4-point improvement in UCT7 score by W4  29  CSU: Disease control with improvement in UCT7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9"/>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Highlights of INF904 Phase 2a in CSU  INF904 drives reduction in disease activity (UAS7 reduction) within a range indicative of clinical activity (as observed from Phase 2 &amp; 3 comparators)  60mg dose achieved the highest reduction of UAS7 –13.7  In those with "most severe" CSU (defined as UAS7 of 28 -42), 60mg achieved a reduction of UAS7 –15.4  INF904 treatment in CSU patients with angioedema led to the highest reduction in UAS7 –18.7  INF904 achieves UAS7 reductions in all comers, including those with low IgE levels (indicative of Type IIb population) and those with high IgE levels at baseline  INF904 also shows improvement in disease control as measured by UCT7  Oral INF904 therapy did not result in signals of safety concern  30  INF904 has promise to be a safe oral agent in CSU, with multiple signals of efficacy on par with other agents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0"/>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HS Appendix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1"/>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HS &amp; CSU: Safety in patients taking at least 1 dose of study drug      AE term  CTCAEgrade  relationship tostudy drug  Headache  Mild = Grade I  Unrelated  Nausea  Mild = Grade I  Unrelated  Left Hand Swelling  Moderate = Grade II  Unrelated  Right Middle Finger Swelling  Mild = Grade I  Unrelated  Abdominal Cramping  Mild = Grade I  Unlikely related  Nausea  Mild = Grade I  Unlikely related  UTI  Mild = Grade I  Possibly related  Eczema behind right ear (due to scratching)  Mild = Grade I  Unrelated  Three insect bites right upper arm  Mild = Grade I  Unrelated  COVID-19 infection  Mild = Grade I  Unrelated  32  CSU (n = 33)  HS (n = 33)  AE term  CTCAEgrade  relationship tostudy drug  Food-induced diarrhea  Moderate = Grade II  Unrelated  Chemical burn R foot  Moderate = Grade II  Unrelated  Laceration (L anatomic lateral distal thumb)  Mild = Grade I  Unrelated  Post-nasal drip  Mild = Grade I  Unrelated  Food poisoning due to mushroom consumption  Mild = Grade I  Unrelated  Exacerbation of episodic headaches  Mild = Grade I  Unrelated  Bacterial Vaginosis  Moderate = Grade II  Unrelated  Motor Vehicle Accident  Mild = Grade I  Unrelated  Headache  Mild = Grade I  Unrelated  Acute viral infection  Moderate = Grade II  Unrelated  Headache  Mild = Grade I  Unrelated  Diarrhea  Moderate = Grade II  Unrelated  Vomiting  Mild = Grade I  Definitely related  Insomnia  Mild = Grade I  Probably related  Diarrhea  Mild = Grade I  Possibly related  No signals of safety concern detected  No reported serious adverse events  3 adverse events (AEs) in 2 patients reported as possibly-to-likely related, all mild (Grade 1)  No signals of safety concern detected  No reported serious adverse events  1 AE reported as possibly-related, mild (Grade 1)  CTCAE: Common Terminology Criteria for Adverse Events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2"/>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Hidradenitis suppurativa and HiSCR  There are 3 inflammatory lesions: inflammatory nodules (N), abscesses (A) and draining tunnels (dT)  ANdT = total inflammatory burden (TIB)  A and N are present in all disease stages, can fluctuate strongly week to week which can drive placebo responses  dT are present in more progressed disease stages, fluctuate less and show less placebo responses  dT  N  A  HiSCR(50)  ≥ 50% AN   count reduction   rel. to baseline  no increase in dT   from baseline  no increase in A from baseline  AND  AND  HiSCR = Hidradenitis Suppurativa Clinical Response  * EMA Assessment Report: Humira - No. EMEA/H/C/000481/II/0137 – page 82  33  has high variability due to AN fluctuation  dominated by the 50% AN count reduction criterion and does not account for reduction of dT  Note  response rates can depend on baseline AN count distribution: placebo patients with low baseline AN have been reported to reach 50% reduction to a higher extent than those with higher AN counts*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3"/>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extracted from EMA Assessment Report: Humira - No. EMEA/H/C/000481/II/0137 – page 82  Changing the cutoff of baseline AN count to ≥ 11 in the pooled PIONEER data set was reported to result in a reduction of the placebo response rate by absolute 15.2%   Comparing baseline means between placebo and treatment groups does not inform about the baseline distribution of patients with low counts versus those with high counts.  The currently used AN count cutoff for enrollment in clinical trials is AN ≥ 5  Baseline AN count impact on HiSCR placebo response ratesLearnings from the PIONEER studies researching Humira in HS  Proportion of subjects achieving HiSCR at week 12 (NRI) by subgroup (ITT_A population, integrated analyses)  34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4"/>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drives draining tunnel (dT) count reductions  35  All n=21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5"/>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Comparison to average of reported successfully completed povorcitinib Phase 2 data*  INF904 drives reduction in total inflammatory burden (TIB)TIB = ANdT count  36  * Data from Povorcitinib Phase 2 trial for week 2, 4, 6, 8, 12, and 16 as reported on Clinicaltrials.gov (NCT04476043). Average of data from the two best reported dosing regimens (45mg QD and 75 mg QD), also used in Phase 3, at each reported timepoint are reflected in line “Ph2 povo best reported”. Respective placebo data at each timepoint are reflected in line “Ph2 placebo (povo)”.   Ph2 placebo (povorcitinib)  Ph2 povorcitinib best reported  INF904 120mg  INF904 pooled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6"/>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drives reductions in IHS4 score  37  * Data are derived from different completed Phase 3 clinical trials and averages were created using the data available at each timepoint:   Adalimumab PIONEER I &amp; II : week 12 data from tested dose groups and placebo as reported in post hoc analysis by Frew et al., J Am Acad Dermatol. 2020; 82(5):1150-1157;   Bimekizumab BE HEARD I &amp; II : week 2, 4, 8, 12, 16 data from all tested doses and placebo reported as pooled data from both trials by Zouboulis et al., 2025 EHSF poster T3-P-07; mean CFB data for week 2, 4, 8, 12 are approx. numbers from published graph.  Comparison to average of available reported completed  Phase 3 data*  Ph3 placebo  Ph3 completed  INF904 120mg  INF904 pooled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7"/>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INF904 drives Dermatology Life Quality Index (DLQI) improvements  38  * Data are derived from different completed Phase 3 clinical trials and averages were created using the data available at each timepoint:   Adalimumab PIONEER I &amp; II : week 12 data from tested dose groups and placebo as reported by Kimball et al., N Engl J Med 2016; 375:422-34.   Bimekizumab BE HEARD I &amp; II: week 12 data for all tested dose groups and placebo reported by Kimball at al., Lancet 2024; 403(10443):2504-2519. Week 4 CFB data are approximated using absolute differences in means reported for week 4 and baseline by Shi et al., 2025; 15(9):2553-2570.  Comparison to average of available reported completed Phase 3 data*  Ph3 placebo  Ph3 completed  INF904 120mg  INF904 pooled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8"/>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CSU Appendix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9"/>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CSU: INF904 achieved UAS7 reduction at W4  40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0"/>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41  CSU: INF904 reduces UAS7 in both anti-IgE naïve and experienced patients  * 1 anti-IgE experienced patient had history of unexplained urticaria exacerbations from (stress and mental health shifts) which resulted in a dramatic increase in UAS7 at W4 but this was subsequently reduced after end of treatment with UAS7 reduction of -15.4 at EoS.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1"/>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No episodes: 0  Low:  1 to 6  Moderate:  7 to 18  Severe:  19 to 105  42  CSU: INF904 improves angioedema consistently up to W4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2"/>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Responders of disease activity (UAS7) and disease control (UCT7) at W4   43  UAS7 mean absolute   CFB W4  responders UAS7 = 0   at W4  UAS7 ≤ 6 at W4  UCT7 ≥ 12 at W4  All n=30  -10.4  7%  11%  29%  60 mg BID n=14  -13.7  0%  8%  31%  120 mg BID n=16  -7.9  13%  13%  25%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br w:type="page"/>
    <w:sectPr>
      <w:pgSz w:w="11907" w:h="16839" w:code="9"/>
      <w:pgMar w:top="1440" w:right="1440" w:bottom="1440" w:left="1440"/>
    </w:sectPr>
  </w:body>
</w:document>
</file>

<file path=word/settings.xml><?xml version="1.0" encoding="utf-8"?>
<w:setting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w15="http://schemas.microsoft.com/office/word/2012/wordml"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w15="http://schemas.microsoft.com/office/word/2012/wordml"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 Target="media/document_image_rId422.jpeg" Type="http://schemas.openxmlformats.org/officeDocument/2006/relationships/image" Id="rId5"/>
    <Relationship Target="media/document_image_rId4222.jpeg" Type="http://schemas.openxmlformats.org/officeDocument/2006/relationships/image" Id="rId6"/>
    <Relationship Target="media/document_image_rId42222.jpeg" Type="http://schemas.openxmlformats.org/officeDocument/2006/relationships/image" Id="rId7"/>
    <Relationship Target="media/document_image_rId422222.jpeg" Type="http://schemas.openxmlformats.org/officeDocument/2006/relationships/image" Id="rId8"/>
    <Relationship Target="media/document_image_rId4222222.jpeg" Type="http://schemas.openxmlformats.org/officeDocument/2006/relationships/image" Id="rId9"/>
    <Relationship Target="media/document_image_rId43.jpeg" Type="http://schemas.openxmlformats.org/officeDocument/2006/relationships/image" Id="rId10"/>
    <Relationship Target="media/document_image_rId5.jpeg" Type="http://schemas.openxmlformats.org/officeDocument/2006/relationships/image" Id="rId11"/>
    <Relationship Target="media/document_image_rId6.jpeg" Type="http://schemas.openxmlformats.org/officeDocument/2006/relationships/image" Id="rId12"/>
    <Relationship Target="media/document_image_rId7.jpeg" Type="http://schemas.openxmlformats.org/officeDocument/2006/relationships/image" Id="rId13"/>
    <Relationship Target="media/document_image_rId8.jpeg" Type="http://schemas.openxmlformats.org/officeDocument/2006/relationships/image" Id="rId14"/>
    <Relationship Target="media/document_image_rId9.jpeg" Type="http://schemas.openxmlformats.org/officeDocument/2006/relationships/image" Id="rId15"/>
    <Relationship Target="media/document_image_rId10.jpeg" Type="http://schemas.openxmlformats.org/officeDocument/2006/relationships/image" Id="rId16"/>
    <Relationship Target="media/document_image_rId11.jpeg" Type="http://schemas.openxmlformats.org/officeDocument/2006/relationships/image" Id="rId17"/>
    <Relationship Target="media/document_image_rId12.jpeg" Type="http://schemas.openxmlformats.org/officeDocument/2006/relationships/image" Id="rId18"/>
    <Relationship Target="media/document_image_rId13.jpeg" Type="http://schemas.openxmlformats.org/officeDocument/2006/relationships/image" Id="rId19"/>
    <Relationship Target="media/document_image_rId14.jpeg" Type="http://schemas.openxmlformats.org/officeDocument/2006/relationships/image" Id="rId20"/>
    <Relationship Target="media/document_image_rId15.jpeg" Type="http://schemas.openxmlformats.org/officeDocument/2006/relationships/image" Id="rId21"/>
    <Relationship Target="media/document_image_rId16.jpeg" Type="http://schemas.openxmlformats.org/officeDocument/2006/relationships/image" Id="rId22"/>
    <Relationship Target="media/document_image_rId17.jpeg" Type="http://schemas.openxmlformats.org/officeDocument/2006/relationships/image" Id="rId23"/>
    <Relationship Target="media/document_image_rId18.jpeg" Type="http://schemas.openxmlformats.org/officeDocument/2006/relationships/image" Id="rId24"/>
    <Relationship Target="media/document_image_rId19.jpeg" Type="http://schemas.openxmlformats.org/officeDocument/2006/relationships/image" Id="rId25"/>
    <Relationship Target="media/document_image_rId20.jpeg" Type="http://schemas.openxmlformats.org/officeDocument/2006/relationships/image" Id="rId26"/>
    <Relationship Target="media/document_image_rId21.jpeg" Type="http://schemas.openxmlformats.org/officeDocument/2006/relationships/image" Id="rId27"/>
    <Relationship Target="media/document_image_rId22.jpeg" Type="http://schemas.openxmlformats.org/officeDocument/2006/relationships/image" Id="rId28"/>
    <Relationship Target="media/document_image_rId23.jpeg" Type="http://schemas.openxmlformats.org/officeDocument/2006/relationships/image" Id="rId29"/>
    <Relationship Target="media/document_image_rId24.jpeg" Type="http://schemas.openxmlformats.org/officeDocument/2006/relationships/image" Id="rId30"/>
    <Relationship Target="media/document_image_rId25.jpeg" Type="http://schemas.openxmlformats.org/officeDocument/2006/relationships/image" Id="rId31"/>
    <Relationship Target="media/document_image_rId26.jpeg" Type="http://schemas.openxmlformats.org/officeDocument/2006/relationships/image" Id="rId32"/>
    <Relationship Target="media/document_image_rId27.jpeg" Type="http://schemas.openxmlformats.org/officeDocument/2006/relationships/image" Id="rId33"/>
    <Relationship Target="media/document_image_rId28.jpeg" Type="http://schemas.openxmlformats.org/officeDocument/2006/relationships/image" Id="rId34"/>
    <Relationship Target="media/document_image_rId29.jpeg" Type="http://schemas.openxmlformats.org/officeDocument/2006/relationships/image" Id="rId35"/>
    <Relationship Target="media/document_image_rId30.jpeg" Type="http://schemas.openxmlformats.org/officeDocument/2006/relationships/image" Id="rId36"/>
    <Relationship Target="media/document_image_rId31.jpeg" Type="http://schemas.openxmlformats.org/officeDocument/2006/relationships/image" Id="rId37"/>
    <Relationship Target="media/document_image_rId32.jpeg" Type="http://schemas.openxmlformats.org/officeDocument/2006/relationships/image" Id="rId38"/>
    <Relationship Target="media/document_image_rId33.jpeg" Type="http://schemas.openxmlformats.org/officeDocument/2006/relationships/image" Id="rId39"/>
    <Relationship Target="media/document_image_rId34.jpeg" Type="http://schemas.openxmlformats.org/officeDocument/2006/relationships/image" Id="rId40"/>
    <Relationship Target="media/document_image_rId35.jpeg" Type="http://schemas.openxmlformats.org/officeDocument/2006/relationships/image" Id="rId41"/>
    <Relationship Target="media/document_image_rId36.jpeg" Type="http://schemas.openxmlformats.org/officeDocument/2006/relationships/image" Id="rId42"/>
    <Relationship Target="media/document_image_rId37.jpeg" Type="http://schemas.openxmlformats.org/officeDocument/2006/relationships/image" Id="rId43"/>
    <Relationship Target="media/document_image_rId38.jpeg" Type="http://schemas.openxmlformats.org/officeDocument/2006/relationships/image" Id="rId44"/>
    <Relationship Target="media/document_image_rId39.jpeg" Type="http://schemas.openxmlformats.org/officeDocument/2006/relationships/image" Id="rId45"/>
    <Relationship Target="media/document_image_rId40.jpeg" Type="http://schemas.openxmlformats.org/officeDocument/2006/relationships/image" Id="rId46"/>
    <Relationship Target="media/document_image_rId41.jpeg" Type="http://schemas.openxmlformats.org/officeDocument/2006/relationships/image" Id="rId47"/>
    <Relationship Target="media/document_image_rId423.jpeg" Type="http://schemas.openxmlformats.org/officeDocument/2006/relationships/image" Id="rId48"/>
    <Relationship Target="media/document_image_rId432.jpeg" Type="http://schemas.openxmlformats.org/officeDocument/2006/relationships/image" Id="rId49"/>
    <Relationship Target="media/document_image_rId44.jpeg" Type="http://schemas.openxmlformats.org/officeDocument/2006/relationships/image" Id="rId50"/>
    <Relationship Target="media/document_image_rId45.jpeg" Type="http://schemas.openxmlformats.org/officeDocument/2006/relationships/image" Id="rId51"/>
    <Relationship Target="media/document_image_rId46.jpeg" Type="http://schemas.openxmlformats.org/officeDocument/2006/relationships/image" Id="rId52"/>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