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2.9 (Apache licensed) using REFERENCE JAXB in Oracle Java 11.0.7 on Linux -->
    <w:p>
      <w:pPr>
        <w:spacing w:before="0" w:after="0"/>
        <w:ind w:left="120"/>
        <w:jc w:val="left"/>
      </w:pPr>
      <w:r>
        <w:rPr>
          <w:rFonts w:ascii="Times New Roman" w:hAnsi="Times New Roman"/>
          <w:b w:val="false"/>
          <w:i w:val="false"/>
          <w:color w:val="000000"/>
          <w:sz w:val="20"/>
        </w:rPr>
        <w:t xml:space="preserve"> </w:t>
      </w:r>
      <w:r>
        <w:rPr>
          <w:rFonts w:ascii="Times New Roman" w:hAnsi="Times New Roman"/>
          <w:b w:val="false"/>
          <w:i w:val="false"/>
          <w:color w:val="000000"/>
          <w:sz w:val="20"/>
        </w:rPr>
        <w:t xml:space="preserve">6-K </w:t>
      </w:r>
      <w:r>
        <w:rPr>
          <w:rFonts w:ascii="Times New Roman" w:hAnsi="Times New Roman"/>
          <w:b w:val="false"/>
          <w:i w:val="false"/>
          <w:color w:val="000000"/>
          <w:sz w:val="20"/>
        </w:rPr>
        <w:t xml:space="preserve">1 </w:t>
      </w:r>
      <w:r>
        <w:rPr>
          <w:rFonts w:ascii="Times New Roman" w:hAnsi="Times New Roman"/>
          <w:b w:val="false"/>
          <w:i w:val="false"/>
          <w:color w:val="000000"/>
          <w:sz w:val="20"/>
        </w:rPr>
        <w:t xml:space="preserve">brhc10035588_6k.htm </w:t>
      </w:r>
      <w:r>
        <w:rPr>
          <w:rFonts w:ascii="Times New Roman" w:hAnsi="Times New Roman"/>
          <w:b w:val="false"/>
          <w:i w:val="false"/>
          <w:color w:val="000000"/>
          <w:sz w:val="20"/>
        </w:rPr>
        <w:t xml:space="preserve">6-K </w:t>
      </w:r>
    </w:p>
    <w:p>
      <w:r>
        <w:pict>
          <v:rect style="width:0;height:1.5pt" id="_x0000_i1025" o:hr="t" o:hrstd="t" o:hralign="center" stroked="f" fillcolor="#a0a0a0"/>
        </w:pict>
      </w:r>
    </w:p>
    <w:p>
      <w:pPr>
        <w:spacing w:before="0" w:after="0"/>
        <w:ind w:left="120"/>
        <w:jc w:val="left"/>
      </w:pPr>
    </w:p>
    <w:p>
      <w:pPr>
        <w:spacing w:before="0" w:after="0"/>
        <w:ind w:left="120"/>
        <w:jc w:val="center"/>
      </w:pPr>
      <w:r>
        <w:rPr>
          <w:rFonts w:ascii="Times New Roman" w:hAnsi="Times New Roman"/>
          <w:b/>
          <w:i w:val="false"/>
          <w:color w:val="000000"/>
          <w:sz w:val="28"/>
        </w:rPr>
        <w:t xml:space="preserve"> UNITED STATES </w:t>
      </w:r>
    </w:p>
    <w:p>
      <w:pPr>
        <w:spacing w:before="0" w:after="0"/>
        <w:ind w:left="120"/>
        <w:jc w:val="center"/>
      </w:pPr>
      <w:r>
        <w:rPr>
          <w:rFonts w:ascii="Times New Roman" w:hAnsi="Times New Roman"/>
          <w:b/>
          <w:i w:val="false"/>
          <w:color w:val="000000"/>
          <w:sz w:val="28"/>
        </w:rPr>
        <w:t xml:space="preserve"> SECURITIES AND EXCHANGE COMMISSION </w:t>
      </w:r>
    </w:p>
    <w:p>
      <w:pPr>
        <w:spacing w:before="0" w:after="0"/>
        <w:ind w:left="120"/>
        <w:jc w:val="center"/>
      </w:pPr>
      <w:r>
        <w:rPr>
          <w:rFonts w:ascii="Times New Roman" w:hAnsi="Times New Roman"/>
          <w:b/>
          <w:i w:val="false"/>
          <w:color w:val="000000"/>
          <w:sz w:val="24"/>
        </w:rPr>
        <w:t xml:space="preserve"> Washington, D.C. 20549 </w:t>
      </w:r>
    </w:p>
    <w:p>
      <w:pPr>
        <w:spacing w:before="0" w:after="0"/>
        <w:ind w:left="120"/>
        <w:jc w:val="center"/>
      </w:pPr>
      <w:r>
        <w:rPr>
          <w:rFonts w:ascii="Times New Roman" w:hAnsi="Times New Roman"/>
          <w:b/>
          <w:i w:val="false"/>
          <w:color w:val="000000"/>
          <w:sz w:val="20"/>
        </w:rPr>
        <w:t xml:space="preserve"> </w:t>
      </w:r>
      <w:r>
        <w:br/>
      </w:r>
      <w:r>
        <w:rPr>
          <w:rFonts w:ascii="Times New Roman" w:hAnsi="Times New Roman"/>
          <w:b/>
          <w:i w:val="false"/>
          <w:color w:val="000000"/>
          <w:sz w:val="20"/>
        </w:rPr>
        <w:t xml:space="preserve"> </w:t>
      </w:r>
    </w:p>
    <w:p>
      <w:pPr>
        <w:spacing w:before="0" w:after="0"/>
        <w:ind w:left="120"/>
        <w:jc w:val="left"/>
      </w:pPr>
    </w:p>
    <w:p>
      <w:r>
        <w:pict>
          <v:rect style="width:0;height:1.5pt" id="_x0000_i1025" o:hr="t" o:hrstd="t" o:hralign="center" stroked="f" fillcolor="#a0a0a0"/>
        </w:pict>
      </w:r>
    </w:p>
    <w:p>
      <w:pPr>
        <w:spacing w:before="0" w:after="0"/>
        <w:ind w:left="120"/>
        <w:jc w:val="center"/>
      </w:pPr>
      <w:r>
        <w:rPr>
          <w:rFonts w:ascii="Times New Roman" w:hAnsi="Times New Roman"/>
          <w:b/>
          <w:i w:val="false"/>
          <w:color w:val="000000"/>
          <w:sz w:val="20"/>
        </w:rPr>
        <w:t xml:space="preserve"> </w:t>
      </w:r>
      <w:r>
        <w:br/>
      </w:r>
      <w:r>
        <w:rPr>
          <w:rFonts w:ascii="Times New Roman" w:hAnsi="Times New Roman"/>
          <w:b/>
          <w:i w:val="false"/>
          <w:color w:val="000000"/>
          <w:sz w:val="20"/>
        </w:rPr>
        <w:t xml:space="preserve"> </w:t>
      </w:r>
    </w:p>
    <w:p>
      <w:pPr>
        <w:spacing w:before="0" w:after="0"/>
        <w:ind w:left="120"/>
        <w:jc w:val="center"/>
      </w:pPr>
      <w:r>
        <w:rPr>
          <w:rFonts w:ascii="Times New Roman" w:hAnsi="Times New Roman"/>
          <w:b/>
          <w:i w:val="false"/>
          <w:color w:val="000000"/>
          <w:sz w:val="36"/>
        </w:rPr>
        <w:t xml:space="preserve"> FORM 6-K </w:t>
      </w:r>
    </w:p>
    <w:p>
      <w:pPr>
        <w:spacing w:before="0" w:after="0"/>
        <w:ind w:left="120"/>
        <w:jc w:val="center"/>
      </w:pPr>
      <w:r>
        <w:rPr>
          <w:rFonts w:ascii="Times New Roman" w:hAnsi="Times New Roman"/>
          <w:b/>
          <w:i w:val="false"/>
          <w:color w:val="000000"/>
          <w:sz w:val="20"/>
        </w:rPr>
        <w:t xml:space="preserve"> </w:t>
      </w:r>
      <w:r>
        <w:br/>
      </w:r>
      <w:r>
        <w:rPr>
          <w:rFonts w:ascii="Times New Roman" w:hAnsi="Times New Roman"/>
          <w:b/>
          <w:i w:val="false"/>
          <w:color w:val="000000"/>
          <w:sz w:val="20"/>
        </w:rPr>
        <w:t xml:space="preserve"> </w:t>
      </w:r>
    </w:p>
    <w:p>
      <w:pPr>
        <w:spacing w:before="0" w:after="0"/>
        <w:ind w:left="120"/>
        <w:jc w:val="left"/>
      </w:pPr>
    </w:p>
    <w:p>
      <w:r>
        <w:pict>
          <v:rect style="width:0;height:1.5pt" id="_x0000_i1025" o:hr="t" o:hrstd="t" o:hralign="center" stroked="f" fillcolor="#a0a0a0"/>
        </w:pict>
      </w:r>
    </w:p>
    <w:p>
      <w:pPr>
        <w:spacing w:before="0" w:after="0"/>
        <w:ind w:left="120"/>
        <w:jc w:val="center"/>
      </w:pPr>
      <w:r>
        <w:rPr>
          <w:rFonts w:ascii="Times New Roman" w:hAnsi="Times New Roman"/>
          <w:b/>
          <w:i w:val="false"/>
          <w:color w:val="000000"/>
          <w:sz w:val="20"/>
        </w:rPr>
        <w:t xml:space="preserve"> </w:t>
      </w:r>
      <w:r>
        <w:br/>
      </w:r>
      <w:r>
        <w:rPr>
          <w:rFonts w:ascii="Times New Roman" w:hAnsi="Times New Roman"/>
          <w:b/>
          <w:i w:val="false"/>
          <w:color w:val="000000"/>
          <w:sz w:val="20"/>
        </w:rPr>
        <w:t xml:space="preserve"> </w:t>
      </w:r>
    </w:p>
    <w:p>
      <w:pPr>
        <w:spacing w:before="0" w:after="0"/>
        <w:ind w:left="120"/>
        <w:jc w:val="center"/>
      </w:pPr>
      <w:r>
        <w:rPr>
          <w:rFonts w:ascii="Times New Roman" w:hAnsi="Times New Roman"/>
          <w:b/>
          <w:i w:val="false"/>
          <w:color w:val="000000"/>
          <w:sz w:val="20"/>
        </w:rPr>
        <w:t xml:space="preserve"> REPORT OF FOREIGN PRIVATE ISSUER </w:t>
      </w:r>
    </w:p>
    <w:p>
      <w:pPr>
        <w:spacing w:before="0" w:after="0"/>
        <w:ind w:left="120"/>
        <w:jc w:val="center"/>
      </w:pPr>
      <w:r>
        <w:rPr>
          <w:rFonts w:ascii="Times New Roman" w:hAnsi="Times New Roman"/>
          <w:b/>
          <w:i w:val="false"/>
          <w:color w:val="000000"/>
          <w:sz w:val="20"/>
        </w:rPr>
        <w:t xml:space="preserve"> PURSUANT TO RULE 13A-16 OR 15D-16 UNDER </w:t>
      </w:r>
    </w:p>
    <w:p>
      <w:pPr>
        <w:spacing w:before="0" w:after="0"/>
        <w:ind w:left="120"/>
        <w:jc w:val="center"/>
      </w:pPr>
      <w:r>
        <w:rPr>
          <w:rFonts w:ascii="Times New Roman" w:hAnsi="Times New Roman"/>
          <w:b/>
          <w:i w:val="false"/>
          <w:color w:val="000000"/>
          <w:sz w:val="20"/>
        </w:rPr>
        <w:t xml:space="preserve"> THE SECURITIES EXCHANGE ACT OF 1934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center"/>
      </w:pPr>
      <w:r>
        <w:rPr>
          <w:rFonts w:ascii="Times New Roman" w:hAnsi="Times New Roman"/>
          <w:b/>
          <w:i w:val="false"/>
          <w:color w:val="000000"/>
          <w:sz w:val="20"/>
        </w:rPr>
        <w:t xml:space="preserve"> For the month of March 2022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center"/>
      </w:pPr>
      <w:r>
        <w:rPr>
          <w:rFonts w:ascii="Times New Roman" w:hAnsi="Times New Roman"/>
          <w:b/>
          <w:i w:val="false"/>
          <w:color w:val="000000"/>
          <w:sz w:val="20"/>
        </w:rPr>
        <w:t xml:space="preserve"> Commission File Number: 001-38283 </w:t>
      </w:r>
    </w:p>
    <w:p>
      <w:pPr>
        <w:spacing w:before="0" w:after="0"/>
        <w:ind w:left="120"/>
        <w:jc w:val="center"/>
      </w:pPr>
      <w:r>
        <w:rPr>
          <w:rFonts w:ascii="Times New Roman" w:hAnsi="Times New Roman"/>
          <w:b/>
          <w:i w:val="false"/>
          <w:color w:val="000000"/>
          <w:sz w:val="20"/>
        </w:rPr>
        <w:t xml:space="preserve"> </w:t>
      </w:r>
      <w:r>
        <w:br/>
      </w:r>
      <w:r>
        <w:rPr>
          <w:rFonts w:ascii="Times New Roman" w:hAnsi="Times New Roman"/>
          <w:b/>
          <w:i w:val="false"/>
          <w:color w:val="000000"/>
          <w:sz w:val="20"/>
        </w:rPr>
        <w:t xml:space="preserve"> </w:t>
      </w:r>
    </w:p>
    <w:p>
      <w:pPr>
        <w:spacing w:before="0" w:after="0"/>
        <w:ind w:left="120"/>
        <w:jc w:val="left"/>
      </w:pPr>
    </w:p>
    <w:p>
      <w:r>
        <w:pict>
          <v:rect style="width:0;height:1.5pt" id="_x0000_i1025" o:hr="t" o:hrstd="t" o:hralign="center" stroked="f" fillcolor="#a0a0a0"/>
        </w:pict>
      </w:r>
    </w:p>
    <w:p>
      <w:pPr>
        <w:spacing w:before="0" w:after="0"/>
        <w:ind w:left="120"/>
        <w:jc w:val="center"/>
      </w:pPr>
      <w:r>
        <w:rPr>
          <w:rFonts w:ascii="Times New Roman" w:hAnsi="Times New Roman"/>
          <w:b/>
          <w:i w:val="false"/>
          <w:color w:val="000000"/>
          <w:sz w:val="20"/>
        </w:rPr>
        <w:t xml:space="preserve"> </w:t>
      </w:r>
      <w:r>
        <w:br/>
      </w:r>
      <w:r>
        <w:rPr>
          <w:rFonts w:ascii="Times New Roman" w:hAnsi="Times New Roman"/>
          <w:b/>
          <w:i w:val="false"/>
          <w:color w:val="000000"/>
          <w:sz w:val="20"/>
        </w:rPr>
        <w:t xml:space="preserve"> </w:t>
      </w:r>
    </w:p>
    <w:p>
      <w:pPr>
        <w:spacing w:before="0" w:after="0"/>
        <w:ind w:left="120"/>
        <w:jc w:val="center"/>
      </w:pPr>
      <w:r>
        <w:rPr>
          <w:rFonts w:ascii="Times New Roman" w:hAnsi="Times New Roman"/>
          <w:b/>
          <w:i w:val="false"/>
          <w:color w:val="000000"/>
          <w:sz w:val="48"/>
        </w:rPr>
        <w:t xml:space="preserve"> InflaRx N.V.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center"/>
      </w:pPr>
      <w:r>
        <w:rPr>
          <w:rFonts w:ascii="Times New Roman" w:hAnsi="Times New Roman"/>
          <w:b w:val="false"/>
          <w:i w:val="false"/>
          <w:color w:val="000000"/>
          <w:sz w:val="20"/>
        </w:rPr>
        <w:t xml:space="preserve"> (Translation of registrant's name into English) </w:t>
      </w:r>
    </w:p>
    <w:p>
      <w:pPr>
        <w:spacing w:before="0" w:after="0"/>
        <w:ind w:left="120"/>
        <w:jc w:val="center"/>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p>
    <w:p>
      <w:r>
        <w:pict>
          <v:rect style="width:0;height:1.5pt" id="_x0000_i1025" o:hr="t" o:hrstd="t" o:hralign="center" stroked="f" fillcolor="#a0a0a0"/>
        </w:pict>
      </w:r>
    </w:p>
    <w:p>
      <w:pPr>
        <w:spacing w:before="0" w:after="0"/>
        <w:ind w:left="120"/>
        <w:jc w:val="center"/>
      </w:pPr>
      <w:r>
        <w:rPr>
          <w:rFonts w:ascii="Times New Roman" w:hAnsi="Times New Roman"/>
          <w:b/>
          <w:i w:val="false"/>
          <w:color w:val="000000"/>
          <w:sz w:val="20"/>
        </w:rPr>
        <w:t xml:space="preserve"> </w:t>
      </w:r>
      <w:r>
        <w:br/>
      </w:r>
      <w:r>
        <w:rPr>
          <w:rFonts w:ascii="Times New Roman" w:hAnsi="Times New Roman"/>
          <w:b/>
          <w:i w:val="false"/>
          <w:color w:val="000000"/>
          <w:sz w:val="20"/>
        </w:rPr>
        <w:t xml:space="preserve"> </w:t>
      </w:r>
    </w:p>
    <w:p>
      <w:pPr>
        <w:spacing w:before="0" w:after="0"/>
        <w:ind w:left="120"/>
        <w:jc w:val="center"/>
      </w:pPr>
      <w:r>
        <w:rPr>
          <w:rFonts w:ascii="Times New Roman" w:hAnsi="Times New Roman"/>
          <w:b/>
          <w:i w:val="false"/>
          <w:color w:val="000000"/>
          <w:sz w:val="20"/>
        </w:rPr>
        <w:t xml:space="preserve"> Winzerlaer Str. 2 </w:t>
      </w:r>
    </w:p>
    <w:p>
      <w:pPr>
        <w:spacing w:before="0" w:after="0"/>
        <w:ind w:left="120"/>
        <w:jc w:val="center"/>
      </w:pPr>
      <w:r>
        <w:rPr>
          <w:rFonts w:ascii="Times New Roman" w:hAnsi="Times New Roman"/>
          <w:b/>
          <w:i w:val="false"/>
          <w:color w:val="000000"/>
          <w:sz w:val="20"/>
        </w:rPr>
        <w:t xml:space="preserve"> 07745 Jena, Germany </w:t>
      </w:r>
    </w:p>
    <w:p>
      <w:pPr>
        <w:spacing w:before="0" w:after="0"/>
        <w:ind w:left="120"/>
        <w:jc w:val="center"/>
      </w:pPr>
      <w:r>
        <w:rPr>
          <w:rFonts w:ascii="Times New Roman" w:hAnsi="Times New Roman"/>
          <w:b w:val="false"/>
          <w:i w:val="false"/>
          <w:color w:val="000000"/>
          <w:sz w:val="20"/>
        </w:rPr>
        <w:t xml:space="preserve"> (Address of principal executive office)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r>
        <w:rPr>
          <w:rFonts w:ascii="Times New Roman" w:hAnsi="Times New Roman"/>
          <w:b w:val="false"/>
          <w:i w:val="false"/>
          <w:color w:val="000000"/>
          <w:sz w:val="20"/>
        </w:rPr>
        <w:t xml:space="preserve"> Indicate by check mark whether the registrant files or will file annual reports under cover of Form 20-F or Form 40-F.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r>
        <w:rPr>
          <w:rFonts w:ascii="Times New Roman" w:hAnsi="Times New Roman"/>
          <w:b w:val="false"/>
          <w:i w:val="false"/>
          <w:color w:val="000000"/>
          <w:sz w:val="20"/>
        </w:rPr>
        <w:t xml:space="preserve"> Form 20-F ☒ Form 40-F ☐ </w:t>
      </w:r>
      <w:bookmarkStart w:name="Check1" w:id="0"/>
      <w:bookmarkEnd w:id="0"/>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r>
        <w:rPr>
          <w:rFonts w:ascii="Times New Roman" w:hAnsi="Times New Roman"/>
          <w:b w:val="false"/>
          <w:i w:val="false"/>
          <w:color w:val="000000"/>
          <w:sz w:val="20"/>
        </w:rPr>
        <w:t xml:space="preserve"> Indicate by check mark if the registrant is submitting the Form 6-K in paper as permitted by Regulation S-T Rule 101(b)(1): ☐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r>
        <w:rPr>
          <w:rFonts w:ascii="Times New Roman" w:hAnsi="Times New Roman"/>
          <w:b w:val="false"/>
          <w:i w:val="false"/>
          <w:color w:val="000000"/>
          <w:sz w:val="20"/>
        </w:rPr>
        <w:t xml:space="preserve"> Indicate by check mark if the registrant is submitting the Form 6-K in paper as permitted by Regulation S-T Rule 101(b)(7): ☐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p>
    <w:p>
      <w:r>
        <w:pict>
          <v:rect style="width:0;height:1.5pt" id="_x0000_i1025" o:hr="t" o:hrstd="t" o:hralign="center" stroked="f" fillcolor="#a0a0a0"/>
        </w:pict>
      </w:r>
    </w:p>
    <w:bookmarkStart w:name="DSPFPageBreakArea" w:id="1"/>
    <w:p>
      <w:pPr>
        <w:spacing w:before="0" w:after="0"/>
        <w:ind w:left="120"/>
        <w:jc w:val="left"/>
      </w:pPr>
      <w:bookmarkStart w:name="DSPFPageFooter" w:id="2"/>
    </w:p>
    <w:bookmarkEnd w:id="2"/>
    <w:bookmarkStart w:name="DSPFPageBreak" w:id="3"/>
    <w:p>
      <w:pPr>
        <w:spacing w:before="0" w:after="0"/>
        <w:ind w:left="120"/>
        <w:jc w:val="left"/>
      </w:pPr>
    </w:p>
    <w:p>
      <w:r>
        <w:pict>
          <v:rect style="width:0;height:1.5pt" id="_x0000_i1025" o:hr="t" o:hrstd="t" o:hralign="center" stroked="f" fillcolor="#a0a0a0"/>
        </w:pict>
      </w:r>
    </w:p>
    <w:bookmarkEnd w:id="3"/>
    <w:bookmarkStart w:name="DSPFPageHeader" w:id="4"/>
    <w:p>
      <w:pPr>
        <w:spacing w:before="0" w:after="0"/>
        <w:ind w:left="120"/>
        <w:jc w:val="left"/>
      </w:pPr>
    </w:p>
    <w:bookmarkEnd w:id="4"/>
    <w:bookmarkEnd w:id="1"/>
    <w:p>
      <w:pPr>
        <w:spacing w:before="0" w:after="0"/>
        <w:ind w:left="120"/>
        <w:jc w:val="center"/>
      </w:pPr>
      <w:r>
        <w:rPr>
          <w:rFonts w:ascii="Times New Roman" w:hAnsi="Times New Roman"/>
          <w:b/>
          <w:i w:val="false"/>
          <w:color w:val="000000"/>
          <w:sz w:val="20"/>
        </w:rPr>
        <w:t xml:space="preserve"> INFLARX N.V.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both"/>
      </w:pPr>
      <w:r>
        <w:rPr>
          <w:rFonts w:ascii="Times New Roman" w:hAnsi="Times New Roman"/>
          <w:b w:val="false"/>
          <w:i w:val="false"/>
          <w:color w:val="000000"/>
          <w:sz w:val="20"/>
        </w:rPr>
        <w:t xml:space="preserve"> On March 24, 2022, InflaRx N.V. issued a press release. A copy of the press release is attached hereto as Exhibit 99.1 and is incorporated by reference herein.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DSPFPageBreakArea" w:id="5"/>
    <w:p>
      <w:pPr>
        <w:spacing w:before="0" w:after="0"/>
        <w:ind w:left="120"/>
        <w:jc w:val="left"/>
      </w:pPr>
      <w:bookmarkStart w:name="DSPFPageFooter" w:id="6"/>
    </w:p>
    <w:bookmarkEnd w:id="6"/>
    <w:bookmarkStart w:name="DSPFPageBreak" w:id="7"/>
    <w:p>
      <w:pPr>
        <w:spacing w:before="0" w:after="0"/>
        <w:ind w:left="120"/>
        <w:jc w:val="left"/>
      </w:pPr>
    </w:p>
    <w:p>
      <w:r>
        <w:pict>
          <v:rect style="width:0;height:1.5pt" id="_x0000_i1025" o:hr="t" o:hrstd="t" o:hralign="center" stroked="f" fillcolor="#a0a0a0"/>
        </w:pict>
      </w:r>
    </w:p>
    <w:bookmarkEnd w:id="7"/>
    <w:bookmarkStart w:name="DSPFPageHeader" w:id="8"/>
    <w:p>
      <w:pPr>
        <w:spacing w:before="0" w:after="0"/>
        <w:ind w:left="120"/>
        <w:jc w:val="left"/>
      </w:pPr>
    </w:p>
    <w:bookmarkEnd w:id="8"/>
    <w:bookmarkEnd w:id="5"/>
    <w:p>
      <w:pPr>
        <w:spacing w:before="0" w:after="0"/>
        <w:ind w:left="120"/>
        <w:jc w:val="center"/>
      </w:pPr>
      <w:r>
        <w:rPr>
          <w:rFonts w:ascii="Times New Roman" w:hAnsi="Times New Roman"/>
          <w:b/>
          <w:i w:val="false"/>
          <w:color w:val="000000"/>
          <w:sz w:val="20"/>
        </w:rPr>
        <w:t xml:space="preserve"> SIGNATURES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r>
        <w:rPr>
          <w:rFonts w:ascii="Times New Roman" w:hAnsi="Times New Roman"/>
          <w:b w:val="false"/>
          <w:i w:val="false"/>
          <w:color w:val="000000"/>
          <w:sz w:val="20"/>
        </w:rPr>
        <w:t xml:space="preserve"> Pursuant to the requirements of the Securities Exchange Act of 1934, the registrant has duly caused this report to be signed on its behalf by the undersigned, thereunto duly authorized.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z1cddc06d58934b3087b5fb539474fa70" w:id="9"/>
    <w:tbl>
      <w:tblPr>
        <w:tblW w:w="0" w:type="auto"/>
        <w:tblCellSpacing w:w="0" w:type="auto"/>
        <w:tblBorders>
          <w:top w:val="none"/>
          <w:left w:val="none"/>
          <w:bottom w:val="none"/>
          <w:right w:val="none"/>
          <w:insideH w:val="none"/>
          <w:insideV w:val="none"/>
        </w:tblBorders>
      </w:tblPr>
      <w:tblGrid>
        <w:gridCol w:w="6795"/>
        <w:gridCol w:w="460"/>
        <w:gridCol w:w="6379"/>
      </w:tblGrid>
      <w:tr>
        <w:trPr>
          <w:trHeight w:val="225" w:hRule="atLeast"/>
        </w:trPr>
        <w:tc>
          <w:tcPr>
            <w:tcW w:w="6795" w:type="dxa"/>
            <w:tcBorders/>
            <w:tcMar>
              <w:top w:w="15" w:type="dxa"/>
              <w:left w:w="15" w:type="dxa"/>
              <w:bottom w:w="15" w:type="dxa"/>
              <w:right w:w="15" w:type="dxa"/>
            </w:tcMar>
            <w:vAlign w:val="top"/>
          </w:tcPr>
          <w:p/>
        </w:tc>
        <w:tc>
          <w:tcPr>
            <w:tcW w:w="0" w:type="auto"/>
            <w:gridSpan w:val="2"/>
            <w:tcBorders/>
            <w:tcMar>
              <w:top w:w="15" w:type="dxa"/>
              <w:left w:w="15" w:type="dxa"/>
              <w:bottom w:w="15" w:type="dxa"/>
              <w:right w:w="15" w:type="dxa"/>
            </w:tcMar>
            <w:vAlign w:val="top"/>
          </w:tcPr>
          <w:p>
            <w:pPr>
              <w:spacing w:before="0" w:after="0"/>
              <w:ind w:left="120"/>
              <w:jc w:val="left"/>
            </w:pPr>
            <w:r>
              <w:rPr>
                <w:rFonts w:ascii="Times New Roman" w:hAnsi="Times New Roman"/>
                <w:b/>
                <w:i w:val="false"/>
                <w:color w:val="000000"/>
                <w:sz w:val="20"/>
              </w:rPr>
              <w:t xml:space="preserve"> INFLARX N.V. </w:t>
            </w:r>
          </w:p>
        </w:tc>
      </w:tr>
      <w:tr>
        <w:trPr/>
        <w:tc>
          <w:tcPr>
            <w:tcW w:w="6795" w:type="dxa"/>
            <w:tcBorders/>
            <w:tcMar>
              <w:top w:w="15" w:type="dxa"/>
              <w:left w:w="15" w:type="dxa"/>
              <w:bottom w:w="15" w:type="dxa"/>
              <w:right w:w="15" w:type="dxa"/>
            </w:tcMar>
            <w:vAlign w:val="top"/>
          </w:tcPr>
          <w:p/>
        </w:tc>
        <w:tc>
          <w:tcPr>
            <w:tcW w:w="0" w:type="auto"/>
            <w:gridSpan w:val="2"/>
            <w:tcBorders/>
            <w:tcMar>
              <w:top w:w="15" w:type="dxa"/>
              <w:left w:w="15" w:type="dxa"/>
              <w:bottom w:w="15" w:type="dxa"/>
              <w:right w:w="15" w:type="dxa"/>
            </w:tcMar>
            <w:vAlign w:val="top"/>
          </w:tcPr>
          <w:p/>
        </w:tc>
      </w:tr>
      <w:tr>
        <w:trPr>
          <w:trHeight w:val="240" w:hRule="atLeast"/>
        </w:trPr>
        <w:tc>
          <w:tcPr>
            <w:tcW w:w="6795" w:type="dxa"/>
            <w:tcBorders/>
            <w:tcMar>
              <w:top w:w="15" w:type="dxa"/>
              <w:left w:w="15" w:type="dxa"/>
              <w:bottom w:w="30" w:type="dxa"/>
              <w:right w:w="15" w:type="dxa"/>
            </w:tcMar>
            <w:vAlign w:val="top"/>
          </w:tcPr>
          <w:p>
            <w:pPr>
              <w:spacing w:before="0" w:after="0"/>
              <w:ind w:left="120"/>
              <w:jc w:val="left"/>
            </w:pPr>
            <w:r>
              <w:rPr>
                <w:rFonts w:ascii="Times New Roman" w:hAnsi="Times New Roman"/>
                <w:b w:val="false"/>
                <w:i w:val="false"/>
                <w:color w:val="000000"/>
                <w:sz w:val="20"/>
              </w:rPr>
              <w:t xml:space="preserve"> Date: March 24, 2022 </w:t>
            </w:r>
          </w:p>
        </w:tc>
        <w:tc>
          <w:tcPr>
            <w:tcW w:w="460" w:type="dxa"/>
            <w:tcBorders/>
            <w:tcMar>
              <w:top w:w="15" w:type="dxa"/>
              <w:left w:w="15" w:type="dxa"/>
              <w:bottom w:w="30" w:type="dxa"/>
              <w:right w:w="15" w:type="dxa"/>
            </w:tcMar>
            <w:vAlign w:val="top"/>
          </w:tcPr>
          <w:p>
            <w:pPr>
              <w:spacing w:before="0" w:after="0"/>
              <w:ind w:left="120"/>
              <w:jc w:val="left"/>
            </w:pPr>
            <w:r>
              <w:rPr>
                <w:rFonts w:ascii="Times New Roman" w:hAnsi="Times New Roman"/>
                <w:b w:val="false"/>
                <w:i w:val="false"/>
                <w:color w:val="000000"/>
                <w:sz w:val="20"/>
              </w:rPr>
              <w:t xml:space="preserve"> By: </w:t>
            </w:r>
          </w:p>
        </w:tc>
        <w:tc>
          <w:tcPr>
            <w:tcW w:w="6379" w:type="dxa"/>
            <w:tcBorders>
              <w:bottom w:val="single" w:color="000000" w:sz="16"/>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20"/>
              </w:rPr>
              <w:t xml:space="preserve"> /s/ Niels Riedemann </w:t>
            </w:r>
          </w:p>
        </w:tc>
      </w:tr>
    </w:tbl>
    <w:bookmarkEnd w:id="9"/>
    <w:bookmarkStart w:name="z9e1a613532674ef4909b02179014a4af" w:id="10"/>
    <w:tbl>
      <w:tblPr>
        <w:tblW w:w="0" w:type="auto"/>
        <w:tblCellSpacing w:w="0" w:type="auto"/>
        <w:tblBorders>
          <w:top w:val="none"/>
          <w:left w:val="none"/>
          <w:bottom w:val="none"/>
          <w:right w:val="none"/>
          <w:insideH w:val="none"/>
          <w:insideV w:val="none"/>
        </w:tblBorders>
      </w:tblPr>
      <w:tblGrid>
        <w:gridCol w:w="6760"/>
        <w:gridCol w:w="779"/>
        <w:gridCol w:w="6095"/>
      </w:tblGrid>
      <w:tr>
        <w:trPr>
          <w:trHeight w:val="210" w:hRule="atLeast"/>
        </w:trPr>
        <w:tc>
          <w:tcPr>
            <w:tcW w:w="6760" w:type="dxa"/>
            <w:tcBorders/>
            <w:tcMar>
              <w:top w:w="15" w:type="dxa"/>
              <w:left w:w="15" w:type="dxa"/>
              <w:bottom w:w="15" w:type="dxa"/>
              <w:right w:w="15" w:type="dxa"/>
            </w:tcMar>
            <w:vAlign w:val="top"/>
          </w:tcPr>
          <w:p/>
        </w:tc>
        <w:tc>
          <w:tcPr>
            <w:tcW w:w="779"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20"/>
              </w:rPr>
              <w:t xml:space="preserve"> Name: </w:t>
            </w:r>
          </w:p>
        </w:tc>
        <w:tc>
          <w:tcPr>
            <w:tcW w:w="6095"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20"/>
              </w:rPr>
              <w:t xml:space="preserve"> Niels Riedemann </w:t>
            </w:r>
          </w:p>
        </w:tc>
      </w:tr>
      <w:tr>
        <w:trPr>
          <w:trHeight w:val="210" w:hRule="atLeast"/>
        </w:trPr>
        <w:tc>
          <w:tcPr>
            <w:tcW w:w="6760" w:type="dxa"/>
            <w:tcBorders/>
            <w:tcMar>
              <w:top w:w="15" w:type="dxa"/>
              <w:left w:w="15" w:type="dxa"/>
              <w:bottom w:w="15" w:type="dxa"/>
              <w:right w:w="15" w:type="dxa"/>
            </w:tcMar>
            <w:vAlign w:val="top"/>
          </w:tcPr>
          <w:p/>
        </w:tc>
        <w:tc>
          <w:tcPr>
            <w:tcW w:w="779"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20"/>
              </w:rPr>
              <w:t xml:space="preserve"> Title: </w:t>
            </w:r>
          </w:p>
        </w:tc>
        <w:tc>
          <w:tcPr>
            <w:tcW w:w="6095"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20"/>
              </w:rPr>
              <w:t xml:space="preserve"> Chief Executive Officer </w:t>
            </w:r>
          </w:p>
        </w:tc>
      </w:tr>
    </w:tbl>
    <w:bookmarkEnd w:id="10"/>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DSPFPageBreakArea" w:id="11"/>
    <w:p>
      <w:pPr>
        <w:spacing w:before="0" w:after="0"/>
        <w:ind w:left="120"/>
        <w:jc w:val="left"/>
      </w:pPr>
      <w:bookmarkStart w:name="DSPFPageFooter" w:id="12"/>
    </w:p>
    <w:bookmarkEnd w:id="12"/>
    <w:bookmarkStart w:name="DSPFPageNumberArea" w:id="13"/>
    <w:p>
      <w:pPr>
        <w:spacing w:before="0" w:after="0"/>
        <w:ind w:left="120"/>
        <w:jc w:val="center"/>
      </w:pPr>
      <w:r>
        <w:rPr>
          <w:rFonts w:ascii="Times New Roman" w:hAnsi="Times New Roman"/>
          <w:b w:val="false"/>
          <w:i w:val="false"/>
          <w:color w:val="000000"/>
          <w:sz w:val="20"/>
        </w:rPr>
        <w:t xml:space="preserve"> </w:t>
      </w:r>
      <w:bookmarkStart w:name="DSPFPageNumber" w:id="14"/>
      <w:r>
        <w:rPr>
          <w:rFonts w:ascii="Times New Roman" w:hAnsi="Times New Roman"/>
          <w:b w:val="false"/>
          <w:i w:val="false"/>
          <w:color w:val="000000"/>
          <w:sz w:val="16"/>
        </w:rPr>
        <w:t>3</w:t>
      </w:r>
      <w:bookmarkEnd w:id="14"/>
      <w:r>
        <w:rPr>
          <w:rFonts w:ascii="Times New Roman" w:hAnsi="Times New Roman"/>
          <w:b w:val="false"/>
          <w:i w:val="false"/>
          <w:color w:val="000000"/>
          <w:sz w:val="20"/>
        </w:rPr>
        <w:t xml:space="preserve"> </w:t>
      </w:r>
    </w:p>
    <w:bookmarkEnd w:id="13"/>
    <w:bookmarkStart w:name="DSPFPageBreak" w:id="15"/>
    <w:p>
      <w:pPr>
        <w:spacing w:before="0" w:after="0"/>
        <w:ind w:left="120"/>
        <w:jc w:val="left"/>
      </w:pPr>
    </w:p>
    <w:p>
      <w:r>
        <w:pict>
          <v:rect style="width:0;height:1.5pt" id="_x0000_i1025" o:hr="t" o:hrstd="t" o:hralign="center" stroked="f" fillcolor="#a0a0a0"/>
        </w:pict>
      </w:r>
    </w:p>
    <w:bookmarkEnd w:id="15"/>
    <w:bookmarkStart w:name="DSPFPageHeader" w:id="16"/>
    <w:p>
      <w:pPr>
        <w:spacing w:before="0" w:after="0"/>
        <w:ind w:left="120"/>
        <w:jc w:val="left"/>
      </w:pPr>
    </w:p>
    <w:bookmarkEnd w:id="16"/>
    <w:bookmarkEnd w:id="11"/>
    <w:p>
      <w:pPr>
        <w:spacing w:before="0" w:after="0"/>
        <w:ind w:left="120"/>
        <w:jc w:val="center"/>
      </w:pPr>
      <w:r>
        <w:rPr>
          <w:rFonts w:ascii="Times New Roman" w:hAnsi="Times New Roman"/>
          <w:b/>
          <w:i w:val="false"/>
          <w:color w:val="000000"/>
          <w:sz w:val="20"/>
        </w:rPr>
        <w:t xml:space="preserve"> EXHIBIT INDEX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z489a9ffb01b0472bba989cf0c6f8b633" w:id="17"/>
    <w:tbl>
      <w:tblPr>
        <w:tblW w:w="0" w:type="auto"/>
        <w:tblCellSpacing w:w="0" w:type="auto"/>
        <w:tblBorders>
          <w:top w:val="none"/>
          <w:left w:val="none"/>
          <w:bottom w:val="none"/>
          <w:right w:val="none"/>
          <w:insideH w:val="none"/>
          <w:insideV w:val="none"/>
        </w:tblBorders>
      </w:tblPr>
      <w:tblGrid>
        <w:gridCol w:w="1091"/>
        <w:gridCol w:w="137"/>
        <w:gridCol w:w="12406"/>
      </w:tblGrid>
      <w:tr>
        <w:trPr>
          <w:trHeight w:val="465" w:hRule="atLeast"/>
        </w:trPr>
        <w:tc>
          <w:tcPr>
            <w:tcW w:w="1091" w:type="dxa"/>
            <w:tcBorders>
              <w:bottom w:val="single" w:color="000000" w:sz="16"/>
            </w:tcBorders>
            <w:tcMar>
              <w:top w:w="15" w:type="dxa"/>
              <w:left w:w="15" w:type="dxa"/>
              <w:bottom w:w="15" w:type="dxa"/>
              <w:right w:w="15" w:type="dxa"/>
            </w:tcMar>
            <w:vAlign w:val="bottom"/>
          </w:tcPr>
          <w:p>
            <w:pPr>
              <w:spacing w:before="0" w:after="0"/>
              <w:ind w:left="120"/>
              <w:jc w:val="left"/>
            </w:pPr>
            <w:r>
              <w:rPr>
                <w:rFonts w:ascii="Times New Roman" w:hAnsi="Times New Roman"/>
                <w:b/>
                <w:i w:val="false"/>
                <w:color w:val="000000"/>
                <w:sz w:val="20"/>
              </w:rPr>
              <w:t xml:space="preserve"> Exhibit No. </w:t>
            </w:r>
          </w:p>
        </w:tc>
        <w:tc>
          <w:tcPr>
            <w:tcW w:w="137" w:type="dxa"/>
            <w:tcBorders/>
            <w:tcMar>
              <w:top w:w="15" w:type="dxa"/>
              <w:left w:w="15" w:type="dxa"/>
              <w:bottom w:w="15" w:type="dxa"/>
              <w:right w:w="15" w:type="dxa"/>
            </w:tcMar>
            <w:vAlign w:val="top"/>
          </w:tcPr>
          <w:p/>
        </w:tc>
        <w:tc>
          <w:tcPr>
            <w:tcW w:w="12406" w:type="dxa"/>
            <w:tcBorders>
              <w:bottom w:val="single" w:color="000000" w:sz="16"/>
            </w:tcBorders>
            <w:tcMar>
              <w:top w:w="15" w:type="dxa"/>
              <w:left w:w="15" w:type="dxa"/>
              <w:bottom w:w="15" w:type="dxa"/>
              <w:right w:w="15" w:type="dxa"/>
            </w:tcMar>
            <w:vAlign w:val="bottom"/>
          </w:tcPr>
          <w:p>
            <w:pPr>
              <w:spacing w:before="0" w:after="0"/>
              <w:ind w:left="120"/>
              <w:jc w:val="left"/>
            </w:pPr>
            <w:r>
              <w:rPr>
                <w:rFonts w:ascii="Times New Roman" w:hAnsi="Times New Roman"/>
                <w:b/>
                <w:i w:val="false"/>
                <w:color w:val="000000"/>
                <w:sz w:val="20"/>
              </w:rPr>
              <w:t xml:space="preserve"> Description </w:t>
            </w:r>
          </w:p>
        </w:tc>
      </w:tr>
      <w:tr>
        <w:trPr>
          <w:trHeight w:val="240" w:hRule="atLeast"/>
        </w:trPr>
        <w:tc>
          <w:tcPr>
            <w:tcW w:w="1091" w:type="dxa"/>
            <w:tcBorders/>
            <w:tcMar>
              <w:top w:w="15" w:type="dxa"/>
              <w:left w:w="15" w:type="dxa"/>
              <w:bottom w:w="15" w:type="dxa"/>
              <w:right w:w="15" w:type="dxa"/>
            </w:tcMar>
            <w:vAlign w:val="top"/>
          </w:tcPr>
          <w:p>
            <w:pPr>
              <w:spacing w:before="0" w:after="0"/>
              <w:ind w:left="120"/>
              <w:jc w:val="left"/>
            </w:pPr>
            <w:r>
              <w:rPr>
                <w:rFonts w:ascii="Times New Roman" w:hAnsi="Times New Roman"/>
                <w:b w:val="false"/>
                <w:i w:val="false"/>
                <w:color w:val="000000"/>
                <w:sz w:val="20"/>
              </w:rPr>
              <w:t xml:space="preserve"> </w:t>
            </w:r>
            <w:r>
              <w:rPr>
                <w:rFonts w:ascii="Times New Roman" w:hAnsi="Times New Roman"/>
                <w:b/>
                <w:i w:val="false"/>
                <w:color w:val="000000"/>
                <w:sz w:val="20"/>
              </w:rPr>
              <w:t>99.1</w:t>
            </w:r>
            <w:r>
              <w:rPr>
                <w:rFonts w:ascii="Times New Roman" w:hAnsi="Times New Roman"/>
                <w:b w:val="false"/>
                <w:i w:val="false"/>
                <w:color w:val="000000"/>
                <w:sz w:val="20"/>
              </w:rPr>
              <w:t xml:space="preserve"> </w:t>
            </w:r>
          </w:p>
        </w:tc>
        <w:tc>
          <w:tcPr>
            <w:tcW w:w="137" w:type="dxa"/>
            <w:tcBorders/>
            <w:tcMar>
              <w:top w:w="15" w:type="dxa"/>
              <w:left w:w="15" w:type="dxa"/>
              <w:bottom w:w="15" w:type="dxa"/>
              <w:right w:w="15" w:type="dxa"/>
            </w:tcMar>
            <w:vAlign w:val="top"/>
          </w:tcPr>
          <w:p/>
        </w:tc>
        <w:tc>
          <w:tcPr>
            <w:tcW w:w="12406" w:type="dxa"/>
            <w:tcBorders/>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Press Release, dated March 24, 2022 </w:t>
            </w:r>
          </w:p>
        </w:tc>
      </w:tr>
    </w:tbl>
    <w:bookmarkEnd w:id="17"/>
    <w:p>
      <w:pPr>
        <w:spacing w:before="0" w:after="0"/>
        <w:ind w:left="120"/>
        <w:jc w:val="left"/>
      </w:pPr>
    </w:p>
    <w:p>
      <w:pPr>
        <w:spacing w:before="0" w:after="0"/>
        <w:ind w:left="120"/>
        <w:jc w:val="center"/>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bookmarkStart w:name="DSPFPageNumber" w:id="18"/>
      <w:r>
        <w:rPr>
          <w:rFonts w:ascii="Times New Roman" w:hAnsi="Times New Roman"/>
          <w:b w:val="false"/>
          <w:i w:val="false"/>
          <w:color w:val="000000"/>
          <w:sz w:val="16"/>
        </w:rPr>
        <w:t>4</w:t>
      </w:r>
      <w:bookmarkEnd w:id="18"/>
      <w:r>
        <w:rPr>
          <w:rFonts w:ascii="Times New Roman" w:hAnsi="Times New Roman"/>
          <w:b w:val="false"/>
          <w:i w:val="false"/>
          <w:color w:val="000000"/>
          <w:sz w:val="20"/>
        </w:rPr>
        <w:t xml:space="preserve"> </w:t>
      </w:r>
    </w:p>
    <w:p>
      <w:pPr>
        <w:spacing w:before="0" w:after="0"/>
        <w:ind w:left="120"/>
        <w:jc w:val="left"/>
      </w:pPr>
    </w:p>
    <w:p>
      <w:r>
        <w:pict>
          <v:rect style="width:0;height:1.5pt" id="_x0000_i1025" o:hr="t" o:hrstd="t" o:hralign="center" stroked="f" fillcolor="#a0a0a0"/>
        </w:pict>
      </w:r>
    </w:p>
    <w:p>
      <w:pPr>
        <w:spacing w:before="0" w:after="0"/>
        <w:ind w:left="120"/>
        <w:jc w:val="left"/>
      </w:pPr>
    </w:p>
    <w:p/>
    <w:br w:type="page"/>
    <w:p>
      <w:pPr>
        <w:spacing w:before="0" w:after="0"/>
        <w:ind w:left="120"/>
        <w:jc w:val="left"/>
      </w:pPr>
      <w:r>
        <w:rPr>
          <w:rFonts w:ascii="Times New Roman" w:hAnsi="Times New Roman"/>
          <w:b w:val="false"/>
          <w:i w:val="false"/>
          <w:color w:val="000000"/>
          <w:sz w:val="20"/>
        </w:rPr>
        <w:t xml:space="preserve"> </w:t>
      </w:r>
      <w:r>
        <w:rPr>
          <w:rFonts w:ascii="Times New Roman" w:hAnsi="Times New Roman"/>
          <w:b w:val="false"/>
          <w:i w:val="false"/>
          <w:color w:val="000000"/>
          <w:sz w:val="20"/>
        </w:rPr>
        <w:t xml:space="preserve">EX-99.1 </w:t>
      </w:r>
      <w:r>
        <w:rPr>
          <w:rFonts w:ascii="Times New Roman" w:hAnsi="Times New Roman"/>
          <w:b w:val="false"/>
          <w:i w:val="false"/>
          <w:color w:val="000000"/>
          <w:sz w:val="20"/>
        </w:rPr>
        <w:t xml:space="preserve">2 </w:t>
      </w:r>
      <w:r>
        <w:rPr>
          <w:rFonts w:ascii="Times New Roman" w:hAnsi="Times New Roman"/>
          <w:b w:val="false"/>
          <w:i w:val="false"/>
          <w:color w:val="000000"/>
          <w:sz w:val="20"/>
        </w:rPr>
        <w:t xml:space="preserve">brhc10035588_ex99-1.htm </w:t>
      </w:r>
      <w:r>
        <w:rPr>
          <w:rFonts w:ascii="Times New Roman" w:hAnsi="Times New Roman"/>
          <w:b w:val="false"/>
          <w:i w:val="false"/>
          <w:color w:val="000000"/>
          <w:sz w:val="20"/>
        </w:rPr>
        <w:t xml:space="preserve">EXHIBIT 99.1 </w:t>
      </w:r>
    </w:p>
    <w:p>
      <w:r>
        <w:pict>
          <v:rect style="width:0;height:1.5pt" id="_x0000_i1025" o:hr="t" o:hrstd="t" o:hralign="center" stroked="f" fillcolor="#a0a0a0"/>
        </w:pict>
      </w:r>
    </w:p>
    <w:p>
      <w:pPr>
        <w:spacing w:before="0" w:after="0"/>
        <w:ind w:left="120"/>
        <w:jc w:val="left"/>
      </w:pPr>
    </w:p>
    <w:p>
      <w:pPr>
        <w:spacing w:before="0" w:after="0"/>
        <w:ind w:left="120"/>
        <w:jc w:val="right"/>
      </w:pPr>
      <w:r>
        <w:rPr>
          <w:rFonts w:ascii="Times New Roman" w:hAnsi="Times New Roman"/>
          <w:b w:val="false"/>
          <w:i w:val="false"/>
          <w:color w:val="000000"/>
          <w:sz w:val="20"/>
        </w:rPr>
        <w:t xml:space="preserve"> </w:t>
      </w:r>
      <w:r>
        <w:rPr>
          <w:rFonts w:ascii="Times New Roman" w:hAnsi="Times New Roman"/>
          <w:b/>
          <w:i w:val="false"/>
          <w:color w:val="000000"/>
          <w:sz w:val="20"/>
        </w:rPr>
        <w:t>Exhibit 99.1</w:t>
      </w: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z34dd73ea89b64c48a1ffa6f99a2bff12" w:id="0"/>
    <w:tbl>
      <w:tblPr>
        <w:tblW w:w="0" w:type="auto"/>
        <w:tblCellSpacing w:w="0" w:type="dxa"/>
        <w:tblBorders>
          <w:top w:val="none"/>
          <w:left w:val="none"/>
          <w:bottom w:val="none"/>
          <w:right w:val="none"/>
          <w:insideH w:val="none"/>
          <w:insideV w:val="none"/>
        </w:tblBorders>
      </w:tblPr>
      <w:tblGrid>
        <w:gridCol w:w="6817"/>
        <w:gridCol w:w="6817"/>
      </w:tblGrid>
      <w:tr>
        <w:trPr/>
        <w:tc>
          <w:tcPr>
            <w:tcW w:w="6817" w:type="dxa"/>
            <w:tcBorders/>
            <w:tcMar>
              <w:top w:w="15" w:type="dxa"/>
              <w:left w:w="15" w:type="dxa"/>
              <w:bottom w:w="15" w:type="dxa"/>
              <w:right w:w="15" w:type="dxa"/>
            </w:tcMar>
            <w:vAlign w:val="center"/>
          </w:tcPr>
          <w:p>
            <w:r>
              <w:drawing>
                <wp:inline distT="0" distB="0" distL="0" distR="0">
                  <wp:extent cx="1543050" cy="55245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543050" cy="552450"/>
                          </a:xfrm>
                          <a:prstGeom prst="rect">
                            <a:avLst/>
                          </a:prstGeom>
                        </pic:spPr>
                      </pic:pic>
                    </a:graphicData>
                  </a:graphic>
                </wp:inline>
              </w:drawing>
            </w:r>
          </w:p>
        </w:tc>
        <w:tc>
          <w:tcPr>
            <w:tcW w:w="6817" w:type="dxa"/>
            <w:tcBorders/>
            <w:tcMar>
              <w:top w:w="15" w:type="dxa"/>
              <w:left w:w="15" w:type="dxa"/>
              <w:bottom w:w="15" w:type="dxa"/>
              <w:right w:w="15" w:type="dxa"/>
            </w:tcMar>
            <w:vAlign w:val="center"/>
          </w:tcPr>
          <w:p>
            <w:pPr>
              <w:spacing w:before="0" w:after="0"/>
              <w:ind w:left="120"/>
              <w:jc w:val="left"/>
            </w:pPr>
          </w:p>
        </w:tc>
      </w:tr>
    </w:tbl>
    <w:bookmarkEnd w:id="0"/>
    <w:p>
      <w:pPr>
        <w:spacing w:before="0" w:after="0"/>
        <w:ind w:left="120"/>
        <w:jc w:val="left"/>
      </w:pPr>
    </w:p>
    <w:p>
      <w:pPr>
        <w:spacing w:before="0" w:after="0"/>
        <w:ind w:left="120"/>
        <w:jc w:val="left"/>
      </w:pP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480"/>
        <w:jc w:val="center"/>
      </w:pPr>
      <w:r>
        <w:rPr>
          <w:rFonts w:ascii="Times New Roman" w:hAnsi="Times New Roman"/>
          <w:b/>
          <w:i w:val="false"/>
          <w:color w:val="000000"/>
          <w:sz w:val="24"/>
        </w:rPr>
        <w:t xml:space="preserve"> InflaRx Reports Full Year 2021 Financial and Operating Results </w:t>
      </w:r>
    </w:p>
    <w:p>
      <w:pPr>
        <w:spacing w:before="0" w:after="0"/>
        <w:ind w:left="480"/>
        <w:jc w:val="center"/>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z73a5a7f96a124188adec1ea7d4cd2ced" w:id="1"/>
    <w:tbl>
      <w:tblPr>
        <w:tblW w:w="0" w:type="auto"/>
        <w:tblCellSpacing w:w="0" w:type="dxa"/>
        <w:tblBorders>
          <w:top w:val="none"/>
          <w:left w:val="none"/>
          <w:bottom w:val="none"/>
          <w:right w:val="none"/>
          <w:insideH w:val="none"/>
          <w:insideV w:val="none"/>
        </w:tblBorders>
      </w:tblPr>
      <w:tblGrid>
        <w:gridCol w:w="480"/>
        <w:gridCol w:w="13154"/>
      </w:tblGrid>
      <w:tr>
        <w:trPr>
          <w:trHeight w:val="210" w:hRule="atLeast"/>
        </w:trPr>
        <w:tc>
          <w:tcPr>
            <w:tcW w:w="480" w:type="dxa"/>
            <w:tcBorders/>
            <w:tcMar>
              <w:top w:w="15" w:type="dxa"/>
              <w:left w:w="15" w:type="dxa"/>
              <w:bottom w:w="15" w:type="dxa"/>
              <w:right w:w="15" w:type="dxa"/>
            </w:tcMar>
            <w:vAlign w:val="top"/>
          </w:tcPr>
          <w:p>
            <w:pPr>
              <w:spacing w:before="0" w:after="0"/>
              <w:ind w:left="0"/>
              <w:jc w:val="left"/>
            </w:pPr>
            <w:r>
              <w:rPr>
                <w:rFonts w:ascii="Times New Roman" w:hAnsi="Times New Roman"/>
                <w:b w:val="false"/>
                <w:i w:val="false"/>
                <w:color w:val="000000"/>
                <w:sz w:val="20"/>
              </w:rPr>
              <w:t>•</w:t>
            </w:r>
          </w:p>
        </w:tc>
        <w:tc>
          <w:tcPr>
            <w:tcW w:w="13154" w:type="dxa"/>
            <w:tcBorders/>
            <w:tcMar>
              <w:top w:w="15" w:type="dxa"/>
              <w:left w:w="15" w:type="dxa"/>
              <w:bottom w:w="15" w:type="dxa"/>
              <w:right w:w="15" w:type="dxa"/>
            </w:tcMar>
            <w:vAlign w:val="top"/>
          </w:tcPr>
          <w:p>
            <w:pPr>
              <w:spacing w:before="0" w:after="0"/>
              <w:ind w:left="120"/>
              <w:jc w:val="both"/>
            </w:pPr>
            <w:r>
              <w:rPr>
                <w:rFonts w:ascii="Times New Roman" w:hAnsi="Times New Roman"/>
                <w:b w:val="false"/>
                <w:i w:val="false"/>
                <w:color w:val="000000"/>
                <w:sz w:val="20"/>
              </w:rPr>
              <w:t xml:space="preserve"> Company received corrected FDA advice letter for Phase III trial with vilobelimab in hidradenitis suppurativa </w:t>
            </w:r>
          </w:p>
        </w:tc>
      </w:tr>
    </w:tbl>
    <w:bookmarkEnd w:id="1"/>
    <w:bookmarkStart w:name="zf7f6afeb17e547ef967fc089384d82cc" w:id="2"/>
    <w:tbl>
      <w:tblPr>
        <w:tblW w:w="0" w:type="auto"/>
        <w:tblCellSpacing w:w="0" w:type="dxa"/>
        <w:tblBorders>
          <w:top w:val="none"/>
          <w:left w:val="none"/>
          <w:bottom w:val="none"/>
          <w:right w:val="none"/>
          <w:insideH w:val="none"/>
          <w:insideV w:val="none"/>
        </w:tblBorders>
      </w:tblPr>
      <w:tblGrid>
        <w:gridCol w:w="480"/>
        <w:gridCol w:w="13154"/>
      </w:tblGrid>
      <w:tr>
        <w:trPr>
          <w:trHeight w:val="435" w:hRule="atLeast"/>
        </w:trPr>
        <w:tc>
          <w:tcPr>
            <w:tcW w:w="480" w:type="dxa"/>
            <w:tcBorders/>
            <w:tcMar>
              <w:top w:w="15" w:type="dxa"/>
              <w:left w:w="15" w:type="dxa"/>
              <w:bottom w:w="15" w:type="dxa"/>
              <w:right w:w="15" w:type="dxa"/>
            </w:tcMar>
            <w:vAlign w:val="top"/>
          </w:tcPr>
          <w:p>
            <w:pPr>
              <w:spacing w:before="0" w:after="0"/>
              <w:ind w:left="0"/>
              <w:jc w:val="left"/>
            </w:pPr>
            <w:r>
              <w:rPr>
                <w:rFonts w:ascii="Times New Roman" w:hAnsi="Times New Roman"/>
                <w:b w:val="false"/>
                <w:i w:val="false"/>
                <w:color w:val="000000"/>
                <w:sz w:val="20"/>
              </w:rPr>
              <w:t>•</w:t>
            </w:r>
          </w:p>
        </w:tc>
        <w:tc>
          <w:tcPr>
            <w:tcW w:w="13154" w:type="dxa"/>
            <w:tcBorders/>
            <w:tcMar>
              <w:top w:w="15" w:type="dxa"/>
              <w:left w:w="15" w:type="dxa"/>
              <w:bottom w:w="15" w:type="dxa"/>
              <w:right w:w="15" w:type="dxa"/>
            </w:tcMar>
            <w:vAlign w:val="top"/>
          </w:tcPr>
          <w:p>
            <w:pPr>
              <w:spacing w:before="0" w:after="0"/>
              <w:ind w:left="120"/>
              <w:jc w:val="both"/>
            </w:pPr>
            <w:r>
              <w:rPr>
                <w:rFonts w:ascii="Times New Roman" w:hAnsi="Times New Roman"/>
                <w:b w:val="false"/>
                <w:i w:val="false"/>
                <w:color w:val="000000"/>
                <w:sz w:val="20"/>
              </w:rPr>
              <w:t xml:space="preserve"> Positive Phase IIa data reported with vilobelimab in pyoderma gangrenosum; data being presented as late-breaker oral presentation at AAD Annual Meeting </w:t>
            </w:r>
          </w:p>
        </w:tc>
      </w:tr>
    </w:tbl>
    <w:bookmarkEnd w:id="2"/>
    <w:bookmarkStart w:name="ze4676446207446719517b37e37a2de77" w:id="3"/>
    <w:tbl>
      <w:tblPr>
        <w:tblW w:w="0" w:type="auto"/>
        <w:tblCellSpacing w:w="0" w:type="dxa"/>
        <w:tblBorders>
          <w:top w:val="none"/>
          <w:left w:val="none"/>
          <w:bottom w:val="none"/>
          <w:right w:val="none"/>
          <w:insideH w:val="none"/>
          <w:insideV w:val="none"/>
        </w:tblBorders>
      </w:tblPr>
      <w:tblGrid>
        <w:gridCol w:w="480"/>
        <w:gridCol w:w="13154"/>
      </w:tblGrid>
      <w:tr>
        <w:trPr>
          <w:trHeight w:val="210" w:hRule="atLeast"/>
        </w:trPr>
        <w:tc>
          <w:tcPr>
            <w:tcW w:w="480" w:type="dxa"/>
            <w:tcBorders/>
            <w:tcMar>
              <w:top w:w="15" w:type="dxa"/>
              <w:left w:w="15" w:type="dxa"/>
              <w:bottom w:w="15" w:type="dxa"/>
              <w:right w:w="15" w:type="dxa"/>
            </w:tcMar>
            <w:vAlign w:val="top"/>
          </w:tcPr>
          <w:p>
            <w:pPr>
              <w:spacing w:before="0" w:after="0"/>
              <w:ind w:left="0"/>
              <w:jc w:val="left"/>
            </w:pPr>
            <w:r>
              <w:rPr>
                <w:rFonts w:ascii="Times New Roman" w:hAnsi="Times New Roman"/>
                <w:b w:val="false"/>
                <w:i w:val="false"/>
                <w:color w:val="000000"/>
                <w:sz w:val="20"/>
              </w:rPr>
              <w:t>•</w:t>
            </w:r>
          </w:p>
        </w:tc>
        <w:tc>
          <w:tcPr>
            <w:tcW w:w="13154" w:type="dxa"/>
            <w:tcBorders/>
            <w:tcMar>
              <w:top w:w="15" w:type="dxa"/>
              <w:left w:w="15" w:type="dxa"/>
              <w:bottom w:w="15" w:type="dxa"/>
              <w:right w:w="15" w:type="dxa"/>
            </w:tcMar>
            <w:vAlign w:val="top"/>
          </w:tcPr>
          <w:p>
            <w:pPr>
              <w:spacing w:before="0" w:after="0"/>
              <w:ind w:left="120"/>
              <w:jc w:val="both"/>
            </w:pPr>
            <w:r>
              <w:rPr>
                <w:rFonts w:ascii="Times New Roman" w:hAnsi="Times New Roman"/>
                <w:b w:val="false"/>
                <w:i w:val="false"/>
                <w:color w:val="000000"/>
                <w:sz w:val="20"/>
              </w:rPr>
              <w:t xml:space="preserve"> Topline data in vilobelimab Phase III trial in severe COVID-19 expected by end of March </w:t>
            </w:r>
          </w:p>
        </w:tc>
      </w:tr>
    </w:tbl>
    <w:bookmarkEnd w:id="3"/>
    <w:bookmarkStart w:name="z446bbbdd6141403fa3e1bf3384d9fafa" w:id="4"/>
    <w:tbl>
      <w:tblPr>
        <w:tblW w:w="0" w:type="auto"/>
        <w:tblCellSpacing w:w="0" w:type="dxa"/>
        <w:tblBorders>
          <w:top w:val="none"/>
          <w:left w:val="none"/>
          <w:bottom w:val="none"/>
          <w:right w:val="none"/>
          <w:insideH w:val="none"/>
          <w:insideV w:val="none"/>
        </w:tblBorders>
      </w:tblPr>
      <w:tblGrid>
        <w:gridCol w:w="480"/>
        <w:gridCol w:w="13154"/>
      </w:tblGrid>
      <w:tr>
        <w:trPr>
          <w:trHeight w:val="210" w:hRule="atLeast"/>
        </w:trPr>
        <w:tc>
          <w:tcPr>
            <w:tcW w:w="480" w:type="dxa"/>
            <w:tcBorders/>
            <w:tcMar>
              <w:top w:w="15" w:type="dxa"/>
              <w:left w:w="15" w:type="dxa"/>
              <w:bottom w:w="15" w:type="dxa"/>
              <w:right w:w="15" w:type="dxa"/>
            </w:tcMar>
            <w:vAlign w:val="top"/>
          </w:tcPr>
          <w:p>
            <w:pPr>
              <w:spacing w:before="0" w:after="0"/>
              <w:ind w:left="0"/>
              <w:jc w:val="left"/>
            </w:pPr>
            <w:r>
              <w:rPr>
                <w:rFonts w:ascii="Times New Roman" w:hAnsi="Times New Roman"/>
                <w:b w:val="false"/>
                <w:i w:val="false"/>
                <w:color w:val="000000"/>
                <w:sz w:val="20"/>
              </w:rPr>
              <w:t>•</w:t>
            </w:r>
          </w:p>
        </w:tc>
        <w:tc>
          <w:tcPr>
            <w:tcW w:w="13154" w:type="dxa"/>
            <w:tcBorders/>
            <w:tcMar>
              <w:top w:w="15" w:type="dxa"/>
              <w:left w:w="15" w:type="dxa"/>
              <w:bottom w:w="15" w:type="dxa"/>
              <w:right w:w="15" w:type="dxa"/>
            </w:tcMar>
            <w:vAlign w:val="top"/>
          </w:tcPr>
          <w:p>
            <w:pPr>
              <w:spacing w:before="0" w:after="0"/>
              <w:ind w:left="120"/>
              <w:jc w:val="both"/>
            </w:pPr>
            <w:r>
              <w:rPr>
                <w:rFonts w:ascii="Times New Roman" w:hAnsi="Times New Roman"/>
                <w:b w:val="false"/>
                <w:i w:val="false"/>
                <w:color w:val="000000"/>
                <w:sz w:val="20"/>
              </w:rPr>
              <w:t xml:space="preserve"> Both US and EU Phase II trials with vilobelimab in AAV met their objectives </w:t>
            </w:r>
          </w:p>
        </w:tc>
      </w:tr>
    </w:tbl>
    <w:bookmarkEnd w:id="4"/>
    <w:bookmarkStart w:name="z7d375fa312f04eae8188b82bd6dea7ca" w:id="5"/>
    <w:tbl>
      <w:tblPr>
        <w:tblW w:w="0" w:type="auto"/>
        <w:tblCellSpacing w:w="0" w:type="dxa"/>
        <w:tblBorders>
          <w:top w:val="none"/>
          <w:left w:val="none"/>
          <w:bottom w:val="none"/>
          <w:right w:val="none"/>
          <w:insideH w:val="none"/>
          <w:insideV w:val="none"/>
        </w:tblBorders>
      </w:tblPr>
      <w:tblGrid>
        <w:gridCol w:w="480"/>
        <w:gridCol w:w="13154"/>
      </w:tblGrid>
      <w:tr>
        <w:trPr>
          <w:trHeight w:val="210" w:hRule="atLeast"/>
        </w:trPr>
        <w:tc>
          <w:tcPr>
            <w:tcW w:w="480" w:type="dxa"/>
            <w:tcBorders/>
            <w:tcMar>
              <w:top w:w="15" w:type="dxa"/>
              <w:left w:w="15" w:type="dxa"/>
              <w:bottom w:w="15" w:type="dxa"/>
              <w:right w:w="15" w:type="dxa"/>
            </w:tcMar>
            <w:vAlign w:val="top"/>
          </w:tcPr>
          <w:p>
            <w:pPr>
              <w:spacing w:before="0" w:after="0"/>
              <w:ind w:left="0"/>
              <w:jc w:val="left"/>
            </w:pPr>
            <w:r>
              <w:rPr>
                <w:rFonts w:ascii="Times New Roman" w:hAnsi="Times New Roman"/>
                <w:b w:val="false"/>
                <w:i w:val="false"/>
                <w:color w:val="000000"/>
                <w:sz w:val="20"/>
              </w:rPr>
              <w:t>•</w:t>
            </w:r>
          </w:p>
        </w:tc>
        <w:tc>
          <w:tcPr>
            <w:tcW w:w="13154" w:type="dxa"/>
            <w:tcBorders/>
            <w:tcMar>
              <w:top w:w="15" w:type="dxa"/>
              <w:left w:w="15" w:type="dxa"/>
              <w:bottom w:w="15" w:type="dxa"/>
              <w:right w:w="15" w:type="dxa"/>
            </w:tcMar>
            <w:vAlign w:val="top"/>
          </w:tcPr>
          <w:p>
            <w:pPr>
              <w:spacing w:before="0" w:after="0"/>
              <w:ind w:left="120"/>
              <w:jc w:val="both"/>
            </w:pPr>
            <w:r>
              <w:rPr>
                <w:rFonts w:ascii="Times New Roman" w:hAnsi="Times New Roman"/>
                <w:b w:val="false"/>
                <w:i w:val="false"/>
                <w:color w:val="000000"/>
                <w:sz w:val="20"/>
              </w:rPr>
              <w:t xml:space="preserve"> Phase II trial with vilobelimab in cSCC enrolling with first efficacy data expected later this year </w:t>
            </w:r>
          </w:p>
        </w:tc>
      </w:tr>
    </w:tbl>
    <w:bookmarkEnd w:id="5"/>
    <w:bookmarkStart w:name="zd70ebd5bdfb54ec89b61e0d180c718fe" w:id="6"/>
    <w:tbl>
      <w:tblPr>
        <w:tblW w:w="0" w:type="auto"/>
        <w:tblCellSpacing w:w="0" w:type="dxa"/>
        <w:tblBorders>
          <w:top w:val="none"/>
          <w:left w:val="none"/>
          <w:bottom w:val="none"/>
          <w:right w:val="none"/>
          <w:insideH w:val="none"/>
          <w:insideV w:val="none"/>
        </w:tblBorders>
      </w:tblPr>
      <w:tblGrid>
        <w:gridCol w:w="480"/>
        <w:gridCol w:w="13154"/>
      </w:tblGrid>
      <w:tr>
        <w:trPr>
          <w:trHeight w:val="210" w:hRule="atLeast"/>
        </w:trPr>
        <w:tc>
          <w:tcPr>
            <w:tcW w:w="480" w:type="dxa"/>
            <w:tcBorders/>
            <w:tcMar>
              <w:top w:w="15" w:type="dxa"/>
              <w:left w:w="15" w:type="dxa"/>
              <w:bottom w:w="15" w:type="dxa"/>
              <w:right w:w="15" w:type="dxa"/>
            </w:tcMar>
            <w:vAlign w:val="top"/>
          </w:tcPr>
          <w:p>
            <w:pPr>
              <w:spacing w:before="0" w:after="0"/>
              <w:ind w:left="0"/>
              <w:jc w:val="left"/>
            </w:pPr>
            <w:r>
              <w:rPr>
                <w:rFonts w:ascii="Times New Roman" w:hAnsi="Times New Roman"/>
                <w:b w:val="false"/>
                <w:i w:val="false"/>
                <w:color w:val="000000"/>
                <w:sz w:val="20"/>
              </w:rPr>
              <w:t>•</w:t>
            </w:r>
          </w:p>
        </w:tc>
        <w:tc>
          <w:tcPr>
            <w:tcW w:w="13154" w:type="dxa"/>
            <w:tcBorders/>
            <w:tcMar>
              <w:top w:w="15" w:type="dxa"/>
              <w:left w:w="15" w:type="dxa"/>
              <w:bottom w:w="15" w:type="dxa"/>
              <w:right w:w="15" w:type="dxa"/>
            </w:tcMar>
            <w:vAlign w:val="top"/>
          </w:tcPr>
          <w:p>
            <w:pPr>
              <w:spacing w:before="0" w:after="0"/>
              <w:ind w:left="120"/>
              <w:jc w:val="both"/>
            </w:pPr>
            <w:r>
              <w:rPr>
                <w:rFonts w:ascii="Times New Roman" w:hAnsi="Times New Roman"/>
                <w:b w:val="false"/>
                <w:i w:val="false"/>
                <w:color w:val="000000"/>
                <w:sz w:val="20"/>
              </w:rPr>
              <w:t xml:space="preserve"> New program, INF904 oral small molecule inhibitor of C5aR, recently introduced </w:t>
            </w:r>
          </w:p>
        </w:tc>
      </w:tr>
    </w:tbl>
    <w:bookmarkEnd w:id="6"/>
    <w:bookmarkStart w:name="z6a1ba009ce02469c90e713a6db9df85b" w:id="7"/>
    <w:tbl>
      <w:tblPr>
        <w:tblW w:w="0" w:type="auto"/>
        <w:tblCellSpacing w:w="0" w:type="dxa"/>
        <w:tblBorders>
          <w:top w:val="none"/>
          <w:left w:val="none"/>
          <w:bottom w:val="none"/>
          <w:right w:val="none"/>
          <w:insideH w:val="none"/>
          <w:insideV w:val="none"/>
        </w:tblBorders>
      </w:tblPr>
      <w:tblGrid>
        <w:gridCol w:w="480"/>
        <w:gridCol w:w="13154"/>
      </w:tblGrid>
      <w:tr>
        <w:trPr>
          <w:trHeight w:val="210" w:hRule="atLeast"/>
        </w:trPr>
        <w:tc>
          <w:tcPr>
            <w:tcW w:w="480" w:type="dxa"/>
            <w:tcBorders/>
            <w:tcMar>
              <w:top w:w="15" w:type="dxa"/>
              <w:left w:w="15" w:type="dxa"/>
              <w:bottom w:w="15" w:type="dxa"/>
              <w:right w:w="15" w:type="dxa"/>
            </w:tcMar>
            <w:vAlign w:val="top"/>
          </w:tcPr>
          <w:p>
            <w:pPr>
              <w:spacing w:before="0" w:after="0"/>
              <w:ind w:left="0"/>
              <w:jc w:val="left"/>
            </w:pPr>
            <w:r>
              <w:rPr>
                <w:rFonts w:ascii="Times New Roman" w:hAnsi="Times New Roman"/>
                <w:b w:val="false"/>
                <w:i w:val="false"/>
                <w:color w:val="000000"/>
                <w:sz w:val="20"/>
              </w:rPr>
              <w:t>•</w:t>
            </w:r>
          </w:p>
        </w:tc>
        <w:tc>
          <w:tcPr>
            <w:tcW w:w="13154" w:type="dxa"/>
            <w:tcBorders/>
            <w:tcMar>
              <w:top w:w="15" w:type="dxa"/>
              <w:left w:w="15" w:type="dxa"/>
              <w:bottom w:w="15" w:type="dxa"/>
              <w:right w:w="15" w:type="dxa"/>
            </w:tcMar>
            <w:vAlign w:val="top"/>
          </w:tcPr>
          <w:p>
            <w:pPr>
              <w:spacing w:before="0" w:after="0"/>
              <w:ind w:left="120"/>
              <w:jc w:val="both"/>
            </w:pPr>
            <w:r>
              <w:rPr>
                <w:rFonts w:ascii="Times New Roman" w:hAnsi="Times New Roman"/>
                <w:b w:val="false"/>
                <w:i w:val="false"/>
                <w:color w:val="000000"/>
                <w:sz w:val="20"/>
              </w:rPr>
              <w:t xml:space="preserve"> Year-end cash and cash equivalents of approximately €26.2 million and financial assets of approximately €84.4 million </w:t>
            </w:r>
          </w:p>
        </w:tc>
      </w:tr>
    </w:tbl>
    <w:bookmarkEnd w:id="7"/>
    <w:p>
      <w:pPr>
        <w:spacing w:before="0" w:after="0"/>
        <w:ind w:left="120"/>
        <w:jc w:val="left"/>
      </w:pPr>
    </w:p>
    <w:p>
      <w:pPr>
        <w:spacing w:before="0" w:after="0"/>
        <w:ind w:left="120"/>
        <w:jc w:val="both"/>
      </w:pPr>
      <w:r>
        <w:rPr>
          <w:rFonts w:ascii="Times New Roman" w:hAnsi="Times New Roman"/>
          <w:b w:val="false"/>
          <w:i w:val="false"/>
          <w:color w:val="000000"/>
          <w:sz w:val="20"/>
        </w:rPr>
        <w:t xml:space="preserve"> </w:t>
      </w:r>
      <w:r>
        <w:rPr>
          <w:rFonts w:ascii="Times New Roman" w:hAnsi="Times New Roman"/>
          <w:b/>
          <w:i w:val="false"/>
          <w:color w:val="000000"/>
          <w:sz w:val="20"/>
        </w:rPr>
        <w:t xml:space="preserve">Jena, Germany, March 24, 2022 </w:t>
      </w:r>
      <w:r>
        <w:rPr>
          <w:rFonts w:ascii="Times New Roman" w:hAnsi="Times New Roman"/>
          <w:b w:val="false"/>
          <w:i w:val="false"/>
          <w:color w:val="000000"/>
          <w:sz w:val="20"/>
        </w:rPr>
        <w:t>– InflaRx N.V. (Nasdaq: IFRX), a clinical-stage biopharmaceutical company developing anti-inflammatory therapeutics by targeting the complement system, announced today financial and operating results for the year ended December 31, 2021.</w:t>
      </w:r>
      <w:r>
        <w:rPr>
          <w:rFonts w:ascii="Times New Roman" w:hAnsi="Times New Roman"/>
          <w:b w:val="false"/>
          <w:i w:val="false"/>
          <w:color w:val="000000"/>
          <w:sz w:val="20"/>
        </w:rPr>
        <w:t xml:space="preserve"> </w:t>
      </w:r>
    </w:p>
    <w:p>
      <w:pPr>
        <w:spacing w:before="0" w:after="0"/>
        <w:ind w:left="120"/>
        <w:jc w:val="left"/>
      </w:pPr>
    </w:p>
    <w:p>
      <w:pPr>
        <w:spacing w:before="0" w:after="0"/>
        <w:ind w:left="120"/>
        <w:jc w:val="both"/>
      </w:pPr>
      <w:r>
        <w:rPr>
          <w:rFonts w:ascii="Times New Roman" w:hAnsi="Times New Roman"/>
          <w:b w:val="false"/>
          <w:i w:val="false"/>
          <w:color w:val="000000"/>
          <w:sz w:val="20"/>
        </w:rPr>
        <w:t xml:space="preserve"> Prof. Niels C. Riedemann, Chief Executive Officer and Founder of InflaRx, commented: “We have made important progress in broadening and advancing our development activities over the course of 2021 and into 2022. This includes introducing a new program, the oral small molecule C5aR inhibitor, INF904, and moving vilobelimab into a new indication, cutaneous small cell carcinoma. In addition, we reported promising results with vilobelimab in pyoderma gangrenosum and ANCA-associated vasculitis, and we now await the Phase III topline results in our COVID-19 trial. We are hopeful for a positive outcome but, either way, we believe the results will help to further the overall understanding of this devastating disease.” </w:t>
      </w:r>
    </w:p>
    <w:p>
      <w:pPr>
        <w:spacing w:before="0" w:after="0"/>
        <w:ind w:left="120"/>
        <w:jc w:val="left"/>
      </w:pPr>
    </w:p>
    <w:p>
      <w:pPr>
        <w:spacing w:before="0" w:after="0"/>
        <w:ind w:left="120"/>
        <w:jc w:val="both"/>
      </w:pPr>
      <w:r>
        <w:rPr>
          <w:rFonts w:ascii="Times New Roman" w:hAnsi="Times New Roman"/>
          <w:b w:val="false"/>
          <w:i w:val="false"/>
          <w:color w:val="000000"/>
          <w:sz w:val="20"/>
        </w:rPr>
        <w:t xml:space="preserve"> He continued, “We are thankful for the corrected advice letter from the FDA related to vilobelimab development in hidradenitis suppurativa and will clarify our path forward in this debilitating disease in the coming months. We expect a busy year ahead as we work towards our goal of developing treatments to control inflammation and improve the lives of patients suffering from neutrophil-driven diseases.” </w:t>
      </w:r>
    </w:p>
    <w:p>
      <w:pPr>
        <w:spacing w:before="0" w:after="0"/>
        <w:ind w:left="120"/>
        <w:jc w:val="both"/>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DSPFPageBreakArea" w:id="8"/>
    <w:p>
      <w:pPr>
        <w:spacing w:before="0" w:after="0"/>
        <w:ind w:left="120"/>
        <w:jc w:val="left"/>
      </w:pPr>
      <w:bookmarkStart w:name="DSPFPageBreak" w:id="9"/>
    </w:p>
    <w:p>
      <w:r>
        <w:pict>
          <v:rect style="width:0;height:1.5pt" id="_x0000_i1025" o:hr="t" o:hrstd="t" o:hralign="center" stroked="f" fillcolor="#a0a0a0"/>
        </w:pict>
      </w:r>
    </w:p>
    <w:bookmarkEnd w:id="9"/>
    <w:bookmarkStart w:name="DSPFPageHeader" w:id="10"/>
    <w:tbl>
      <w:tblPr>
        <w:tblW w:w="0" w:type="auto"/>
        <w:tblCellSpacing w:w="0" w:type="dxa"/>
        <w:tblBorders>
          <w:top w:val="none"/>
          <w:left w:val="none"/>
          <w:bottom w:val="none"/>
          <w:right w:val="none"/>
          <w:insideH w:val="none"/>
          <w:insideV w:val="none"/>
        </w:tblBorders>
      </w:tblPr>
      <w:tblGrid>
        <w:gridCol w:w="6817"/>
        <w:gridCol w:w="6817"/>
      </w:tblGrid>
      <w:tr>
        <w:trPr/>
        <w:tc>
          <w:tcPr>
            <w:tcW w:w="6817" w:type="dxa"/>
            <w:tcBorders/>
            <w:tcMar>
              <w:top w:w="15" w:type="dxa"/>
              <w:left w:w="15" w:type="dxa"/>
              <w:bottom w:w="15" w:type="dxa"/>
              <w:right w:w="15" w:type="dxa"/>
            </w:tcMar>
            <w:vAlign w:val="center"/>
          </w:tcPr>
          <w:p>
            <w:r>
              <w:drawing>
                <wp:inline distT="0" distB="0" distL="0" distR="0">
                  <wp:extent cx="1543050" cy="55245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43050" cy="552450"/>
                          </a:xfrm>
                          <a:prstGeom prst="rect">
                            <a:avLst/>
                          </a:prstGeom>
                        </pic:spPr>
                      </pic:pic>
                    </a:graphicData>
                  </a:graphic>
                </wp:inline>
              </w:drawing>
            </w:r>
          </w:p>
        </w:tc>
        <w:tc>
          <w:tcPr>
            <w:tcW w:w="6817" w:type="dxa"/>
            <w:tcBorders/>
            <w:tcMar>
              <w:top w:w="15" w:type="dxa"/>
              <w:left w:w="15" w:type="dxa"/>
              <w:bottom w:w="15" w:type="dxa"/>
              <w:right w:w="15" w:type="dxa"/>
            </w:tcMar>
            <w:vAlign w:val="center"/>
          </w:tcPr>
          <w:p>
            <w:pPr>
              <w:spacing w:before="0" w:after="0"/>
              <w:ind w:left="120"/>
              <w:jc w:val="left"/>
            </w:pPr>
          </w:p>
        </w:tc>
      </w:tr>
    </w:tbl>
    <w:bookmarkEnd w:id="10"/>
    <w:bookmarkEnd w:id="8"/>
    <w:p>
      <w:pPr>
        <w:spacing w:before="0" w:after="0"/>
        <w:ind w:left="120"/>
        <w:jc w:val="both"/>
      </w:pPr>
    </w:p>
    <w:p>
      <w:pPr>
        <w:spacing w:before="0" w:after="0"/>
        <w:ind w:left="120"/>
        <w:jc w:val="both"/>
      </w:pPr>
      <w:r>
        <w:rPr>
          <w:rFonts w:ascii="Times New Roman" w:hAnsi="Times New Roman"/>
          <w:b/>
          <w:i w:val="false"/>
          <w:color w:val="000000"/>
          <w:sz w:val="20"/>
        </w:rPr>
        <w:t xml:space="preserve"> Recent Highlights and R&amp;D Update </w:t>
      </w:r>
    </w:p>
    <w:p>
      <w:pPr>
        <w:spacing w:before="0" w:after="0"/>
        <w:ind w:left="120"/>
        <w:jc w:val="left"/>
      </w:pPr>
    </w:p>
    <w:p>
      <w:pPr>
        <w:spacing w:before="0" w:after="0"/>
        <w:ind w:left="120"/>
        <w:jc w:val="both"/>
      </w:pPr>
      <w:r>
        <w:rPr>
          <w:rFonts w:ascii="Times New Roman" w:hAnsi="Times New Roman"/>
          <w:b/>
          <w:i/>
          <w:color w:val="000000"/>
          <w:sz w:val="20"/>
        </w:rPr>
        <w:t xml:space="preserve"> Vilobelimab for Hidradenitis Suppurativa (HS) </w:t>
      </w:r>
    </w:p>
    <w:p>
      <w:pPr>
        <w:spacing w:before="0" w:after="0"/>
        <w:ind w:left="120"/>
        <w:jc w:val="left"/>
      </w:pPr>
    </w:p>
    <w:p>
      <w:pPr>
        <w:spacing w:before="0" w:after="0"/>
        <w:ind w:left="120"/>
        <w:jc w:val="both"/>
      </w:pPr>
      <w:r>
        <w:rPr>
          <w:rFonts w:ascii="Times New Roman" w:hAnsi="Times New Roman"/>
          <w:b w:val="false"/>
          <w:i w:val="false"/>
          <w:color w:val="000000"/>
          <w:sz w:val="20"/>
        </w:rPr>
        <w:t xml:space="preserve"> In February 2022, the Company received an advice letter from the FDA related to its Phase III program and its IND. The feedback to the clinical protocol indicated that the FDA recommends using the Hidradenitis Suppurativa Clinical Response Score (“HiSCR”) as the primary endpoint in the Phase III trial. This FDA advice contrasted with the FDA advice provided to the Company in a Type A meeting held in the third quarter of 2021.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both"/>
      </w:pPr>
      <w:r>
        <w:rPr>
          <w:rFonts w:ascii="Times New Roman" w:hAnsi="Times New Roman"/>
          <w:b w:val="false"/>
          <w:i w:val="false"/>
          <w:color w:val="000000"/>
          <w:sz w:val="20"/>
        </w:rPr>
        <w:t xml:space="preserve"> In the minutes from that Type A meeting, FDA provided advice on how to implement, name and validate the meaningfulness of the modified HiSCR, a new primary endpoint suggested by the Company, which would measure the reduction of all three types of inflammatory lesions in HS–inflammatory nodules, abscesses and draining tunnels. A reduction in draining tunnels is not captured by the HiSCR. In these minutes, the FDA did not recommend the traditional HiSCR as the primary endpoint measure. Based on the advice received in the Type A meeting, InflaRx announced in January 2022, the initiation of a Phase III program designed to study patients with moderate to severe HS suffering from actively draining tunnels. Because of the letter, InflaRx paused activities related to the Phase III trial.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both"/>
      </w:pPr>
      <w:r>
        <w:rPr>
          <w:rFonts w:ascii="Times New Roman" w:hAnsi="Times New Roman"/>
          <w:b w:val="false"/>
          <w:i w:val="false"/>
          <w:color w:val="000000"/>
          <w:sz w:val="20"/>
        </w:rPr>
        <w:t xml:space="preserve"> In March 2022, the Company received a corrected advice letter from the FDA. The corrected letter states that the FDA advice received by the Company in February 2022 “contains errors.” In this corrected letter, the FDA no longer recommends that the Company use the HiSCR as the primary endpoint for the chosen patient population but gives recommendations related to implementation of the modified HiSCR.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both"/>
      </w:pPr>
      <w:r>
        <w:rPr>
          <w:rFonts w:ascii="Times New Roman" w:hAnsi="Times New Roman"/>
          <w:b w:val="false"/>
          <w:i w:val="false"/>
          <w:color w:val="000000"/>
          <w:sz w:val="20"/>
        </w:rPr>
        <w:t xml:space="preserve"> In light of this corrected advice from FDA, InflaRx believes that further development in HS is feasible. InflaRx is now evaluating next steps for the program, as the Phase III trial activities remain on hold while InflaRx evalutes next steps for the program.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both"/>
      </w:pPr>
      <w:r>
        <w:rPr>
          <w:rFonts w:ascii="Times New Roman" w:hAnsi="Times New Roman"/>
          <w:b/>
          <w:i/>
          <w:color w:val="000000"/>
          <w:sz w:val="20"/>
        </w:rPr>
        <w:t xml:space="preserve"> Vilobelimab in Pyoderma Gangrenosum (PG) </w:t>
      </w:r>
    </w:p>
    <w:p>
      <w:pPr>
        <w:spacing w:before="0" w:after="0"/>
        <w:ind w:left="120"/>
        <w:jc w:val="both"/>
      </w:pPr>
      <w:r>
        <w:rPr>
          <w:rFonts w:ascii="Times New Roman" w:hAnsi="Times New Roman"/>
          <w:b/>
          <w:i/>
          <w:color w:val="000000"/>
          <w:sz w:val="20"/>
        </w:rPr>
        <w:t xml:space="preserve"> </w:t>
      </w:r>
      <w:r>
        <w:br/>
      </w:r>
      <w:r>
        <w:rPr>
          <w:rFonts w:ascii="Times New Roman" w:hAnsi="Times New Roman"/>
          <w:b/>
          <w:i/>
          <w:color w:val="000000"/>
          <w:sz w:val="20"/>
        </w:rPr>
        <w:t xml:space="preserve"> </w:t>
      </w:r>
    </w:p>
    <w:p>
      <w:pPr>
        <w:spacing w:before="0" w:after="0"/>
        <w:ind w:left="120"/>
        <w:jc w:val="both"/>
      </w:pPr>
      <w:r>
        <w:rPr>
          <w:rFonts w:ascii="Times New Roman" w:hAnsi="Times New Roman"/>
          <w:b w:val="false"/>
          <w:i w:val="false"/>
          <w:color w:val="000000"/>
          <w:sz w:val="20"/>
        </w:rPr>
        <w:t xml:space="preserve"> InflaRx previously initiated an open label, multi-center Phase IIa exploratory study enrolling patients with moderate to severe PG in Canada, the United States and Poland. The study evaluated the safety and efficacy of vilobelimab in patients with PG. </w:t>
      </w:r>
    </w:p>
    <w:p>
      <w:pPr>
        <w:spacing w:before="0" w:after="0"/>
        <w:ind w:left="120"/>
        <w:jc w:val="left"/>
      </w:pPr>
    </w:p>
    <w:bookmarkStart w:name="DSPFPageBreakArea" w:id="11"/>
    <w:p>
      <w:pPr>
        <w:spacing w:before="0" w:after="0"/>
        <w:ind w:left="120"/>
        <w:jc w:val="left"/>
      </w:pPr>
      <w:bookmarkStart w:name="DSPFPageBreak" w:id="12"/>
    </w:p>
    <w:p>
      <w:r>
        <w:pict>
          <v:rect style="width:0;height:1.5pt" id="_x0000_i1025" o:hr="t" o:hrstd="t" o:hralign="center" stroked="f" fillcolor="#a0a0a0"/>
        </w:pict>
      </w:r>
    </w:p>
    <w:bookmarkEnd w:id="12"/>
    <w:bookmarkStart w:name="DSPFPageHeader" w:id="13"/>
    <w:tbl>
      <w:tblPr>
        <w:tblW w:w="0" w:type="auto"/>
        <w:tblCellSpacing w:w="0" w:type="dxa"/>
        <w:tblBorders>
          <w:top w:val="none"/>
          <w:left w:val="none"/>
          <w:bottom w:val="none"/>
          <w:right w:val="none"/>
          <w:insideH w:val="none"/>
          <w:insideV w:val="none"/>
        </w:tblBorders>
      </w:tblPr>
      <w:tblGrid>
        <w:gridCol w:w="6817"/>
        <w:gridCol w:w="6817"/>
      </w:tblGrid>
      <w:tr>
        <w:trPr/>
        <w:tc>
          <w:tcPr>
            <w:tcW w:w="6817" w:type="dxa"/>
            <w:tcBorders/>
            <w:tcMar>
              <w:top w:w="15" w:type="dxa"/>
              <w:left w:w="15" w:type="dxa"/>
              <w:bottom w:w="15" w:type="dxa"/>
              <w:right w:w="15" w:type="dxa"/>
            </w:tcMar>
            <w:vAlign w:val="center"/>
          </w:tcPr>
          <w:p>
            <w:r>
              <w:drawing>
                <wp:inline distT="0" distB="0" distL="0" distR="0">
                  <wp:extent cx="1543050" cy="55245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43050" cy="552450"/>
                          </a:xfrm>
                          <a:prstGeom prst="rect">
                            <a:avLst/>
                          </a:prstGeom>
                        </pic:spPr>
                      </pic:pic>
                    </a:graphicData>
                  </a:graphic>
                </wp:inline>
              </w:drawing>
            </w:r>
          </w:p>
        </w:tc>
        <w:tc>
          <w:tcPr>
            <w:tcW w:w="6817" w:type="dxa"/>
            <w:tcBorders/>
            <w:tcMar>
              <w:top w:w="15" w:type="dxa"/>
              <w:left w:w="15" w:type="dxa"/>
              <w:bottom w:w="15" w:type="dxa"/>
              <w:right w:w="15" w:type="dxa"/>
            </w:tcMar>
            <w:vAlign w:val="center"/>
          </w:tcPr>
          <w:p>
            <w:pPr>
              <w:spacing w:before="0" w:after="0"/>
              <w:ind w:left="120"/>
              <w:jc w:val="left"/>
            </w:pPr>
          </w:p>
        </w:tc>
      </w:tr>
    </w:tbl>
    <w:bookmarkEnd w:id="13"/>
    <w:bookmarkEnd w:id="11"/>
    <w:p>
      <w:pPr>
        <w:spacing w:before="0" w:after="0"/>
        <w:ind w:left="120"/>
        <w:jc w:val="both"/>
      </w:pPr>
      <w:r>
        <w:rPr>
          <w:rFonts w:ascii="Times New Roman" w:hAnsi="Times New Roman"/>
          <w:b w:val="false"/>
          <w:i w:val="false"/>
          <w:color w:val="000000"/>
          <w:sz w:val="20"/>
        </w:rPr>
        <w:t xml:space="preserve"> In October 2021, InflaRx announced preliminary results from the third dosing cohort. At 2400mg biweekly, six of the seven patients achieved clinical remission with a PGA score of ≤1, which reflects a closure of the target ulcer. All patients in the third dosing cohort had elevated C5a levels at baseline that were continuously suppressed after initiation of vilobelimab. </w:t>
      </w:r>
    </w:p>
    <w:p>
      <w:pPr>
        <w:spacing w:before="0" w:after="0"/>
        <w:ind w:left="120"/>
        <w:jc w:val="left"/>
      </w:pPr>
    </w:p>
    <w:p>
      <w:pPr>
        <w:spacing w:before="0" w:after="0"/>
        <w:ind w:left="120"/>
        <w:jc w:val="both"/>
      </w:pPr>
      <w:r>
        <w:rPr>
          <w:rFonts w:ascii="Times New Roman" w:hAnsi="Times New Roman"/>
          <w:b w:val="false"/>
          <w:i w:val="false"/>
          <w:color w:val="000000"/>
          <w:sz w:val="20"/>
        </w:rPr>
        <w:t xml:space="preserve"> In August 2021, InflaRx also reported data for ten evaluable patients in the first two dose cohorts at day 99. The patient in the second dosing cohort demonstrating complete target ulcer closure had been increased from the 1600mg dose group to the highest dose of 2400mg dose on day 57 of the study, and the ulcer closed after the dose escalation. </w:t>
      </w:r>
    </w:p>
    <w:p>
      <w:pPr>
        <w:spacing w:before="0" w:after="0"/>
        <w:ind w:left="120"/>
        <w:jc w:val="left"/>
      </w:pPr>
    </w:p>
    <w:p>
      <w:pPr>
        <w:spacing w:before="0" w:after="0"/>
        <w:ind w:left="120"/>
        <w:jc w:val="both"/>
      </w:pPr>
      <w:r>
        <w:rPr>
          <w:rFonts w:ascii="Times New Roman" w:hAnsi="Times New Roman"/>
          <w:b w:val="false"/>
          <w:i w:val="false"/>
          <w:color w:val="000000"/>
          <w:sz w:val="20"/>
        </w:rPr>
        <w:t xml:space="preserve"> Final data will be presented </w:t>
      </w:r>
      <w:bookmarkStart w:name="z_Hlk97574567" w:id="14"/>
      <w:bookmarkEnd w:id="14"/>
      <w:r>
        <w:rPr>
          <w:rFonts w:ascii="Times New Roman" w:hAnsi="Times New Roman"/>
          <w:b w:val="false"/>
          <w:i w:val="false"/>
          <w:color w:val="000000"/>
          <w:sz w:val="20"/>
        </w:rPr>
        <w:t xml:space="preserve">as a late-breaker oral presentation on March 26 </w:t>
      </w:r>
      <w:r>
        <w:rPr>
          <w:rFonts w:ascii="Times New Roman" w:hAnsi="Times New Roman"/>
          <w:b w:val="false"/>
          <w:i w:val="false"/>
          <w:color w:val="000000"/>
          <w:sz w:val="22"/>
        </w:rPr>
        <w:t>th</w:t>
      </w:r>
      <w:r>
        <w:rPr>
          <w:rFonts w:ascii="Times New Roman" w:hAnsi="Times New Roman"/>
          <w:b w:val="false"/>
          <w:i w:val="false"/>
          <w:color w:val="000000"/>
          <w:sz w:val="20"/>
        </w:rPr>
        <w:t xml:space="preserve"> at the American Academy of Dermatology Association (AAD) Annual Meeting. </w:t>
      </w:r>
    </w:p>
    <w:p>
      <w:pPr>
        <w:spacing w:before="0" w:after="0"/>
        <w:ind w:left="120"/>
        <w:jc w:val="left"/>
      </w:pPr>
    </w:p>
    <w:p>
      <w:pPr>
        <w:spacing w:before="0" w:after="0"/>
        <w:ind w:left="120"/>
        <w:jc w:val="both"/>
      </w:pPr>
      <w:r>
        <w:rPr>
          <w:rFonts w:ascii="Times New Roman" w:hAnsi="Times New Roman"/>
          <w:b w:val="false"/>
          <w:i w:val="false"/>
          <w:color w:val="000000"/>
          <w:sz w:val="20"/>
        </w:rPr>
        <w:t xml:space="preserve"> InflaRx plans to meet with the FDA this year to discuss the design for a pivotal study. </w:t>
      </w:r>
    </w:p>
    <w:p>
      <w:pPr>
        <w:spacing w:before="0" w:after="0"/>
        <w:ind w:left="120"/>
        <w:jc w:val="left"/>
      </w:pPr>
    </w:p>
    <w:p>
      <w:pPr>
        <w:spacing w:before="0" w:after="0"/>
        <w:ind w:left="120"/>
        <w:jc w:val="both"/>
      </w:pPr>
      <w:r>
        <w:rPr>
          <w:rFonts w:ascii="Times New Roman" w:hAnsi="Times New Roman"/>
          <w:b/>
          <w:i/>
          <w:color w:val="000000"/>
          <w:sz w:val="20"/>
        </w:rPr>
        <w:t xml:space="preserve"> Vilobelimab for Severe COVID-19 </w:t>
      </w:r>
    </w:p>
    <w:p>
      <w:pPr>
        <w:spacing w:before="0" w:after="0"/>
        <w:ind w:left="120"/>
        <w:jc w:val="both"/>
      </w:pPr>
      <w:r>
        <w:rPr>
          <w:rFonts w:ascii="Times New Roman" w:hAnsi="Times New Roman"/>
          <w:b/>
          <w:i/>
          <w:color w:val="000000"/>
          <w:sz w:val="20"/>
        </w:rPr>
        <w:t xml:space="preserve"> </w:t>
      </w:r>
      <w:r>
        <w:br/>
      </w:r>
      <w:r>
        <w:rPr>
          <w:rFonts w:ascii="Times New Roman" w:hAnsi="Times New Roman"/>
          <w:b/>
          <w:i/>
          <w:color w:val="000000"/>
          <w:sz w:val="20"/>
        </w:rPr>
        <w:t xml:space="preserve"> </w:t>
      </w:r>
    </w:p>
    <w:p>
      <w:pPr>
        <w:spacing w:before="0" w:after="0"/>
        <w:ind w:left="120"/>
        <w:jc w:val="both"/>
      </w:pPr>
      <w:r>
        <w:rPr>
          <w:rFonts w:ascii="Times New Roman" w:hAnsi="Times New Roman"/>
          <w:b w:val="false"/>
          <w:i w:val="false"/>
          <w:color w:val="000000"/>
          <w:sz w:val="20"/>
        </w:rPr>
        <w:t xml:space="preserve"> In October 2021, InflaRx announced full enrollment in the Phase III part of the global Phase II/III trial evaluating vilobelimab in mechanically ventilated patients with COVID-19. A total of 369 patients across several countries, including in Europe, South America and other regions, were enrolled. Topline data for the 28-day mortality primary endpoint is expected to be available by the end of March 2022. The results from this Phase III trial will heavily influence our decision with respect to any future development of vilobelimab in COVID-19 and the larger strategic focus of the Company. </w:t>
      </w:r>
    </w:p>
    <w:p>
      <w:pPr>
        <w:spacing w:before="0" w:after="0"/>
        <w:ind w:left="840"/>
        <w:jc w:val="both"/>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both"/>
      </w:pPr>
      <w:r>
        <w:rPr>
          <w:rFonts w:ascii="Times New Roman" w:hAnsi="Times New Roman"/>
          <w:b w:val="false"/>
          <w:i w:val="false"/>
          <w:color w:val="000000"/>
          <w:sz w:val="20"/>
        </w:rPr>
        <w:t xml:space="preserve"> In October 2021, InflaRx announced that it had received a grant of up to €43.7 million from the German Ministry of Education and Research and the German Ministry of Health to support the Company’s development of vilobelimab for the treatment of severe COVID-19 patients. The initial tranche amounts to €25.8 million (approximately $29.9 million) and is structured as reimbursement of 80% of certain pre-specified expenses related to the clinical development and manufacturing of vilobelimab. The remainder of the grant will be awarded in three additional subsequent tranches, each conditional on reaching agreed-upon development and manufacturing-related milestones for the preceding tranche and structured as reimbursement for Company expenses. Individual tranches will not be paid if the preceding milestone of a tranche is not met. As of December 31, 2021, InflaRx had received €8.3 million of this grant funding. </w:t>
      </w:r>
    </w:p>
    <w:p>
      <w:pPr>
        <w:spacing w:before="0" w:after="0"/>
        <w:ind w:left="120"/>
        <w:jc w:val="both"/>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DSPFPageBreakArea" w:id="15"/>
    <w:p>
      <w:pPr>
        <w:spacing w:before="0" w:after="0"/>
        <w:ind w:left="120"/>
        <w:jc w:val="left"/>
      </w:pPr>
      <w:bookmarkStart w:name="DSPFPageBreak" w:id="16"/>
    </w:p>
    <w:p>
      <w:r>
        <w:pict>
          <v:rect style="width:0;height:1.5pt" id="_x0000_i1025" o:hr="t" o:hrstd="t" o:hralign="center" stroked="f" fillcolor="#a0a0a0"/>
        </w:pict>
      </w:r>
    </w:p>
    <w:bookmarkEnd w:id="16"/>
    <w:bookmarkStart w:name="DSPFPageHeader" w:id="17"/>
    <w:tbl>
      <w:tblPr>
        <w:tblW w:w="0" w:type="auto"/>
        <w:tblCellSpacing w:w="0" w:type="dxa"/>
        <w:tblBorders>
          <w:top w:val="none"/>
          <w:left w:val="none"/>
          <w:bottom w:val="none"/>
          <w:right w:val="none"/>
          <w:insideH w:val="none"/>
          <w:insideV w:val="none"/>
        </w:tblBorders>
      </w:tblPr>
      <w:tblGrid>
        <w:gridCol w:w="6817"/>
        <w:gridCol w:w="6817"/>
      </w:tblGrid>
      <w:tr>
        <w:trPr/>
        <w:tc>
          <w:tcPr>
            <w:tcW w:w="6817" w:type="dxa"/>
            <w:tcBorders/>
            <w:tcMar>
              <w:top w:w="15" w:type="dxa"/>
              <w:left w:w="15" w:type="dxa"/>
              <w:bottom w:w="15" w:type="dxa"/>
              <w:right w:w="15" w:type="dxa"/>
            </w:tcMar>
            <w:vAlign w:val="center"/>
          </w:tcPr>
          <w:p>
            <w:r>
              <w:drawing>
                <wp:inline distT="0" distB="0" distL="0" distR="0">
                  <wp:extent cx="1543050" cy="55245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43050" cy="552450"/>
                          </a:xfrm>
                          <a:prstGeom prst="rect">
                            <a:avLst/>
                          </a:prstGeom>
                        </pic:spPr>
                      </pic:pic>
                    </a:graphicData>
                  </a:graphic>
                </wp:inline>
              </w:drawing>
            </w:r>
          </w:p>
        </w:tc>
        <w:tc>
          <w:tcPr>
            <w:tcW w:w="6817" w:type="dxa"/>
            <w:tcBorders/>
            <w:tcMar>
              <w:top w:w="15" w:type="dxa"/>
              <w:left w:w="15" w:type="dxa"/>
              <w:bottom w:w="15" w:type="dxa"/>
              <w:right w:w="15" w:type="dxa"/>
            </w:tcMar>
            <w:vAlign w:val="center"/>
          </w:tcPr>
          <w:p>
            <w:pPr>
              <w:spacing w:before="0" w:after="0"/>
              <w:ind w:left="120"/>
              <w:jc w:val="left"/>
            </w:pPr>
          </w:p>
        </w:tc>
      </w:tr>
    </w:tbl>
    <w:bookmarkEnd w:id="17"/>
    <w:bookmarkEnd w:id="15"/>
    <w:p>
      <w:pPr>
        <w:spacing w:before="0" w:after="0"/>
        <w:ind w:left="120"/>
        <w:jc w:val="both"/>
      </w:pPr>
      <w:r>
        <w:rPr>
          <w:rFonts w:ascii="Times New Roman" w:hAnsi="Times New Roman"/>
          <w:b/>
          <w:i/>
          <w:color w:val="000000"/>
          <w:sz w:val="20"/>
        </w:rPr>
        <w:t xml:space="preserve"> Vilobelimab for ANCA-associated Vasculitis (AAV) </w:t>
      </w:r>
    </w:p>
    <w:p>
      <w:pPr>
        <w:spacing w:before="0" w:after="0"/>
        <w:ind w:left="120"/>
        <w:jc w:val="both"/>
      </w:pPr>
      <w:r>
        <w:rPr>
          <w:rFonts w:ascii="Times New Roman" w:hAnsi="Times New Roman"/>
          <w:b/>
          <w:i/>
          <w:color w:val="000000"/>
          <w:sz w:val="20"/>
        </w:rPr>
        <w:t xml:space="preserve"> </w:t>
      </w:r>
      <w:r>
        <w:br/>
      </w:r>
      <w:r>
        <w:rPr>
          <w:rFonts w:ascii="Times New Roman" w:hAnsi="Times New Roman"/>
          <w:b/>
          <w:i/>
          <w:color w:val="000000"/>
          <w:sz w:val="20"/>
        </w:rPr>
        <w:t xml:space="preserve"> </w:t>
      </w:r>
    </w:p>
    <w:p>
      <w:pPr>
        <w:spacing w:before="0" w:after="0"/>
        <w:ind w:left="120"/>
        <w:jc w:val="both"/>
      </w:pPr>
      <w:r>
        <w:rPr>
          <w:rFonts w:ascii="Times New Roman" w:hAnsi="Times New Roman"/>
          <w:b w:val="false"/>
          <w:i w:val="false"/>
          <w:color w:val="000000"/>
          <w:sz w:val="20"/>
        </w:rPr>
        <w:t xml:space="preserve"> In May 2021, InflaRx reported topline data from the U.S. IXPLORE Phase II study of vilobelimab in AAV. The results indicated that vilobelimab, when added to the current standard of care, was well tolerated.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both"/>
      </w:pPr>
      <w:r>
        <w:rPr>
          <w:rFonts w:ascii="Times New Roman" w:hAnsi="Times New Roman"/>
          <w:b w:val="false"/>
          <w:i w:val="false"/>
          <w:color w:val="000000"/>
          <w:sz w:val="20"/>
        </w:rPr>
        <w:t xml:space="preserve"> In November 2021, InflaRx reported topline data from the European Phase II IXCHANGE study of vilobelimab in AAV. The study achieved its principal objective, demonstrating comparable clinical response of vilobelimab to standard of care, while significantly reducing the need for glucocorticoid treatment in this life-threatening indication.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both"/>
      </w:pPr>
      <w:r>
        <w:rPr>
          <w:rFonts w:ascii="Times New Roman" w:hAnsi="Times New Roman"/>
          <w:b w:val="false"/>
          <w:i w:val="false"/>
          <w:color w:val="000000"/>
          <w:sz w:val="20"/>
        </w:rPr>
        <w:t xml:space="preserve"> The Company plans to discuss the data from the U.S. and EU studies with regulatory authorities to determine next steps with this program.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both"/>
      </w:pPr>
      <w:r>
        <w:rPr>
          <w:rFonts w:ascii="Times New Roman" w:hAnsi="Times New Roman"/>
          <w:b/>
          <w:i/>
          <w:color w:val="000000"/>
          <w:sz w:val="20"/>
        </w:rPr>
        <w:t xml:space="preserve"> Vilobelimab for Cutaneous Squamous Cell Carcinoma (cSCC) </w:t>
      </w:r>
    </w:p>
    <w:p>
      <w:pPr>
        <w:spacing w:before="0" w:after="0"/>
        <w:ind w:left="120"/>
        <w:jc w:val="both"/>
      </w:pPr>
      <w:r>
        <w:rPr>
          <w:rFonts w:ascii="Times New Roman" w:hAnsi="Times New Roman"/>
          <w:b/>
          <w:i/>
          <w:color w:val="000000"/>
          <w:sz w:val="20"/>
        </w:rPr>
        <w:t xml:space="preserve"> </w:t>
      </w:r>
      <w:r>
        <w:br/>
      </w:r>
      <w:r>
        <w:rPr>
          <w:rFonts w:ascii="Times New Roman" w:hAnsi="Times New Roman"/>
          <w:b/>
          <w:i/>
          <w:color w:val="000000"/>
          <w:sz w:val="20"/>
        </w:rPr>
        <w:t xml:space="preserve"> </w:t>
      </w:r>
    </w:p>
    <w:p>
      <w:pPr>
        <w:spacing w:before="0" w:after="0"/>
        <w:ind w:left="120"/>
        <w:jc w:val="both"/>
      </w:pPr>
      <w:r>
        <w:rPr>
          <w:rFonts w:ascii="Times New Roman" w:hAnsi="Times New Roman"/>
          <w:b w:val="false"/>
          <w:i w:val="false"/>
          <w:color w:val="000000"/>
          <w:sz w:val="20"/>
        </w:rPr>
        <w:t xml:space="preserve"> InflaRx is developing vilobelimab for the treatment of PD-1/PD-L1 inhibitor resistant/refractory locally advanced or metastatic cSCC. InflaRx previously initiated an open label, non-comparative, two-stage, Phase II trial (NCT04812535) at sites in Europe, the United States and elsewhere. The study is investigating two independent arms: vilobelimab alone (Arm A) and vilobelimab in combination with pembrolizumab (Arm B). The trial is expected to enroll a total of approximately 70 patients.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both"/>
      </w:pPr>
      <w:r>
        <w:rPr>
          <w:rFonts w:ascii="Times New Roman" w:hAnsi="Times New Roman"/>
          <w:b w:val="false"/>
          <w:i w:val="false"/>
          <w:color w:val="000000"/>
          <w:sz w:val="20"/>
        </w:rPr>
        <w:t xml:space="preserve"> In February 2022, the Company announced the start of the second dosing cohort of Arm B. The interim analysis in this arm, which is required to move to the second stage of the Phase II trial, is expected after ten patients have been treated and are evaluable for response assessment at the recommended Phase II dose level, which will be selected based on data from the safety run-in phase of the study. These data are expected to be available in the first quarter of 2023.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both"/>
      </w:pPr>
      <w:r>
        <w:rPr>
          <w:rFonts w:ascii="Times New Roman" w:hAnsi="Times New Roman"/>
          <w:b w:val="false"/>
          <w:i w:val="false"/>
          <w:color w:val="000000"/>
          <w:sz w:val="20"/>
        </w:rPr>
        <w:t xml:space="preserve"> In parallel, enrollment continues in the monotherapy Arm A. Six patients are now enrolled in this arm. The interim analysis in Arm A required to proceed to the second stage is expected to be available after ten patients are evaluable for response assessment. These data are expected to be available in the third quarter of 2022. </w:t>
      </w:r>
    </w:p>
    <w:p>
      <w:pPr>
        <w:spacing w:before="0" w:after="0"/>
        <w:ind w:left="120"/>
        <w:jc w:val="both"/>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DSPFPageBreakArea" w:id="18"/>
    <w:p>
      <w:pPr>
        <w:spacing w:before="0" w:after="0"/>
        <w:ind w:left="120"/>
        <w:jc w:val="left"/>
      </w:pPr>
      <w:bookmarkStart w:name="DSPFPageBreak" w:id="19"/>
    </w:p>
    <w:p>
      <w:r>
        <w:pict>
          <v:rect style="width:0;height:1.5pt" id="_x0000_i1025" o:hr="t" o:hrstd="t" o:hralign="center" stroked="f" fillcolor="#a0a0a0"/>
        </w:pict>
      </w:r>
    </w:p>
    <w:bookmarkEnd w:id="19"/>
    <w:bookmarkStart w:name="DSPFPageHeader" w:id="20"/>
    <w:tbl>
      <w:tblPr>
        <w:tblW w:w="0" w:type="auto"/>
        <w:tblCellSpacing w:w="0" w:type="dxa"/>
        <w:tblBorders>
          <w:top w:val="none"/>
          <w:left w:val="none"/>
          <w:bottom w:val="none"/>
          <w:right w:val="none"/>
          <w:insideH w:val="none"/>
          <w:insideV w:val="none"/>
        </w:tblBorders>
      </w:tblPr>
      <w:tblGrid>
        <w:gridCol w:w="6817"/>
        <w:gridCol w:w="6817"/>
      </w:tblGrid>
      <w:tr>
        <w:trPr/>
        <w:tc>
          <w:tcPr>
            <w:tcW w:w="6817" w:type="dxa"/>
            <w:tcBorders/>
            <w:tcMar>
              <w:top w:w="15" w:type="dxa"/>
              <w:left w:w="15" w:type="dxa"/>
              <w:bottom w:w="15" w:type="dxa"/>
              <w:right w:w="15" w:type="dxa"/>
            </w:tcMar>
            <w:vAlign w:val="center"/>
          </w:tcPr>
          <w:p>
            <w:r>
              <w:drawing>
                <wp:inline distT="0" distB="0" distL="0" distR="0">
                  <wp:extent cx="1543050" cy="55245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43050" cy="552450"/>
                          </a:xfrm>
                          <a:prstGeom prst="rect">
                            <a:avLst/>
                          </a:prstGeom>
                        </pic:spPr>
                      </pic:pic>
                    </a:graphicData>
                  </a:graphic>
                </wp:inline>
              </w:drawing>
            </w:r>
          </w:p>
        </w:tc>
        <w:tc>
          <w:tcPr>
            <w:tcW w:w="6817" w:type="dxa"/>
            <w:tcBorders/>
            <w:tcMar>
              <w:top w:w="15" w:type="dxa"/>
              <w:left w:w="15" w:type="dxa"/>
              <w:bottom w:w="15" w:type="dxa"/>
              <w:right w:w="15" w:type="dxa"/>
            </w:tcMar>
            <w:vAlign w:val="center"/>
          </w:tcPr>
          <w:p>
            <w:pPr>
              <w:spacing w:before="0" w:after="0"/>
              <w:ind w:left="120"/>
              <w:jc w:val="left"/>
            </w:pPr>
          </w:p>
        </w:tc>
      </w:tr>
    </w:tbl>
    <w:bookmarkEnd w:id="20"/>
    <w:bookmarkEnd w:id="18"/>
    <w:p>
      <w:pPr>
        <w:spacing w:before="0" w:after="0"/>
        <w:ind w:left="120"/>
        <w:jc w:val="both"/>
      </w:pPr>
      <w:r>
        <w:rPr>
          <w:rFonts w:ascii="Times New Roman" w:hAnsi="Times New Roman"/>
          <w:b/>
          <w:i/>
          <w:color w:val="000000"/>
          <w:sz w:val="20"/>
        </w:rPr>
        <w:t xml:space="preserve"> INF904 </w:t>
      </w:r>
    </w:p>
    <w:p>
      <w:pPr>
        <w:spacing w:before="0" w:after="0"/>
        <w:ind w:left="120"/>
        <w:jc w:val="both"/>
      </w:pPr>
      <w:r>
        <w:rPr>
          <w:rFonts w:ascii="Times New Roman" w:hAnsi="Times New Roman"/>
          <w:b/>
          <w:i/>
          <w:color w:val="000000"/>
          <w:sz w:val="20"/>
        </w:rPr>
        <w:t xml:space="preserve"> </w:t>
      </w:r>
      <w:r>
        <w:br/>
      </w:r>
      <w:r>
        <w:rPr>
          <w:rFonts w:ascii="Times New Roman" w:hAnsi="Times New Roman"/>
          <w:b/>
          <w:i/>
          <w:color w:val="000000"/>
          <w:sz w:val="20"/>
        </w:rPr>
        <w:t xml:space="preserve"> </w:t>
      </w:r>
    </w:p>
    <w:p>
      <w:pPr>
        <w:spacing w:before="0" w:after="0"/>
        <w:ind w:left="120"/>
        <w:jc w:val="both"/>
      </w:pPr>
      <w:r>
        <w:rPr>
          <w:rFonts w:ascii="Times New Roman" w:hAnsi="Times New Roman"/>
          <w:b w:val="false"/>
          <w:i w:val="false"/>
          <w:color w:val="000000"/>
          <w:sz w:val="20"/>
        </w:rPr>
        <w:t xml:space="preserve"> InflaRx announced in January 2022 a new pipeline program, INF904, an oral small molecule inhibitor of C5aR. InflaRx has been granted a composition of matter patent for INF904 and associated compounds by the U.S. Patent and Trademark Office and has completed IND-enabling (preclinical) studies that demonstrated no obvious toxicological findings even in the highest dose groups in required GLP toxicity analyses.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both"/>
      </w:pPr>
      <w:r>
        <w:rPr>
          <w:rFonts w:ascii="Times New Roman" w:hAnsi="Times New Roman"/>
          <w:b w:val="false"/>
          <w:i w:val="false"/>
          <w:color w:val="000000"/>
          <w:sz w:val="20"/>
        </w:rPr>
        <w:t xml:space="preserve"> InflaRx expects to initiate a Phase I program in the second half of 2022 and plans to study INF904 in complement-mediated, chronic autoimmune and inflammatory diseases where oral administration is the preferred choice for patients. </w:t>
      </w: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both"/>
      </w:pPr>
      <w:r>
        <w:rPr>
          <w:rFonts w:ascii="Times New Roman" w:hAnsi="Times New Roman"/>
          <w:b/>
          <w:i w:val="false"/>
          <w:color w:val="000000"/>
          <w:sz w:val="20"/>
        </w:rPr>
        <w:t xml:space="preserve"> 2021 Financial Highlights </w:t>
      </w:r>
    </w:p>
    <w:p>
      <w:pPr>
        <w:spacing w:before="0" w:after="0"/>
        <w:ind w:left="120"/>
        <w:jc w:val="left"/>
      </w:pPr>
    </w:p>
    <w:p>
      <w:pPr>
        <w:spacing w:before="0" w:after="0"/>
        <w:ind w:left="120"/>
        <w:jc w:val="both"/>
      </w:pPr>
      <w:r>
        <w:rPr>
          <w:rFonts w:ascii="Times New Roman" w:hAnsi="Times New Roman"/>
          <w:b/>
          <w:i/>
          <w:color w:val="000000"/>
          <w:sz w:val="20"/>
        </w:rPr>
        <w:t xml:space="preserve"> Research and Development Expenses </w:t>
      </w:r>
    </w:p>
    <w:p>
      <w:pPr>
        <w:spacing w:before="0" w:after="0"/>
        <w:ind w:left="120"/>
        <w:jc w:val="left"/>
      </w:pPr>
    </w:p>
    <w:p>
      <w:pPr>
        <w:spacing w:before="0" w:after="0"/>
        <w:ind w:left="120"/>
        <w:jc w:val="both"/>
      </w:pPr>
      <w:r>
        <w:rPr>
          <w:rFonts w:ascii="Times New Roman" w:hAnsi="Times New Roman"/>
          <w:b w:val="false"/>
          <w:i w:val="false"/>
          <w:color w:val="000000"/>
          <w:sz w:val="20"/>
        </w:rPr>
        <w:t xml:space="preserve"> InflaRx’s research and development expenses </w:t>
      </w:r>
      <w:bookmarkStart w:name="z_1633956454" w:id="21"/>
      <w:bookmarkEnd w:id="21"/>
      <w:r>
        <w:rPr>
          <w:rFonts w:ascii="Times New Roman" w:hAnsi="Times New Roman"/>
          <w:b w:val="false"/>
          <w:i w:val="false"/>
          <w:color w:val="000000"/>
          <w:sz w:val="20"/>
        </w:rPr>
        <w:t xml:space="preserve">increased by €10.0 million in the year ended December 31, 2021 compared to the year ended December 31, 2020. </w:t>
      </w:r>
    </w:p>
    <w:p>
      <w:pPr>
        <w:spacing w:before="0" w:after="0"/>
        <w:ind w:left="120"/>
        <w:jc w:val="left"/>
      </w:pPr>
    </w:p>
    <w:p>
      <w:pPr>
        <w:spacing w:before="0" w:after="0"/>
        <w:ind w:left="120"/>
        <w:jc w:val="left"/>
      </w:pPr>
      <w:r>
        <w:rPr>
          <w:rFonts w:ascii="Times New Roman" w:hAnsi="Times New Roman"/>
          <w:b w:val="false"/>
          <w:i w:val="false"/>
          <w:color w:val="000000"/>
          <w:sz w:val="20"/>
        </w:rPr>
        <w:t xml:space="preserve"> This increase is attributable to higher contract research organization (CRO) and contract manufacturing organization (CMO) costs from clinical trials in the amount of €8.4 million. This increase was primarily due to higher expense for the Phase III part of our COVID-19 trial and other running trials like Phase II clinical program in patients with AAV, the Phase II clinical program in patients with PG, the preparation of a Phase II clinical program in patients cSCC and ongoing manufacturing activities for clinical trial related materials. </w:t>
      </w:r>
    </w:p>
    <w:p>
      <w:pPr>
        <w:spacing w:before="0" w:after="0"/>
        <w:ind w:left="120"/>
        <w:jc w:val="left"/>
      </w:pPr>
    </w:p>
    <w:p>
      <w:pPr>
        <w:spacing w:before="0" w:after="0"/>
        <w:ind w:left="120"/>
        <w:jc w:val="left"/>
      </w:pPr>
      <w:r>
        <w:rPr>
          <w:rFonts w:ascii="Times New Roman" w:hAnsi="Times New Roman"/>
          <w:b w:val="false"/>
          <w:i w:val="false"/>
          <w:color w:val="000000"/>
          <w:sz w:val="20"/>
        </w:rPr>
        <w:t xml:space="preserve"> In addition, a €1.5 million increase in employee-related costs was mainly caused by a €1.0 million increase in expenses from share-based compensation. </w:t>
      </w:r>
      <w:bookmarkStart w:name="z_1677590704" w:id="22"/>
      <w:bookmarkEnd w:id="22"/>
      <w:bookmarkStart w:name="z_1677590705" w:id="23"/>
      <w:bookmarkEnd w:id="23"/>
      <w:bookmarkStart w:name="z_1677590706" w:id="24"/>
      <w:bookmarkEnd w:id="24"/>
      <w:bookmarkStart w:name="z_1677590708" w:id="25"/>
      <w:bookmarkEnd w:id="25"/>
      <w:bookmarkStart w:name="z_1631972954" w:id="26"/>
      <w:bookmarkEnd w:id="26"/>
      <w:bookmarkStart w:name="z_1632572952" w:id="27"/>
      <w:bookmarkEnd w:id="27"/>
      <w:bookmarkStart w:name="z_1633427733" w:id="28"/>
      <w:bookmarkEnd w:id="28"/>
      <w:bookmarkStart w:name="z_1633956452" w:id="29"/>
      <w:bookmarkEnd w:id="29"/>
    </w:p>
    <w:p>
      <w:pPr>
        <w:spacing w:before="0" w:after="0"/>
        <w:ind w:left="120"/>
        <w:jc w:val="left"/>
      </w:pPr>
    </w:p>
    <w:p>
      <w:pPr>
        <w:spacing w:before="0" w:after="0"/>
        <w:ind w:left="120"/>
        <w:jc w:val="left"/>
      </w:pPr>
      <w:r>
        <w:rPr>
          <w:rFonts w:ascii="Times New Roman" w:hAnsi="Times New Roman"/>
          <w:b/>
          <w:i/>
          <w:color w:val="000000"/>
          <w:sz w:val="20"/>
        </w:rPr>
        <w:t xml:space="preserve"> General and Administrative Expenses </w:t>
      </w:r>
    </w:p>
    <w:p>
      <w:pPr>
        <w:spacing w:before="0" w:after="0"/>
        <w:ind w:left="120"/>
        <w:jc w:val="left"/>
      </w:pPr>
    </w:p>
    <w:p>
      <w:pPr>
        <w:spacing w:before="0" w:after="0"/>
        <w:ind w:left="120"/>
        <w:jc w:val="both"/>
      </w:pPr>
      <w:r>
        <w:rPr>
          <w:rFonts w:ascii="Times New Roman" w:hAnsi="Times New Roman"/>
          <w:b w:val="false"/>
          <w:i w:val="false"/>
          <w:color w:val="000000"/>
          <w:sz w:val="20"/>
        </w:rPr>
        <w:t xml:space="preserve"> InflaRx’s general and administrative expenses </w:t>
      </w:r>
      <w:bookmarkStart w:name="z_1631972973" w:id="30"/>
      <w:bookmarkEnd w:id="30"/>
      <w:bookmarkStart w:name="z_1632572971" w:id="31"/>
      <w:bookmarkEnd w:id="31"/>
      <w:bookmarkStart w:name="z_1633427753" w:id="32"/>
      <w:bookmarkEnd w:id="32"/>
      <w:bookmarkStart w:name="z_1633956471" w:id="33"/>
      <w:bookmarkEnd w:id="33"/>
      <w:bookmarkStart w:name="z_1631972974" w:id="34"/>
      <w:bookmarkEnd w:id="34"/>
      <w:bookmarkStart w:name="z_1632572972" w:id="35"/>
      <w:bookmarkEnd w:id="35"/>
      <w:bookmarkStart w:name="z_1633427754" w:id="36"/>
      <w:bookmarkEnd w:id="36"/>
      <w:bookmarkStart w:name="z_1633956472" w:id="37"/>
      <w:bookmarkEnd w:id="37"/>
      <w:bookmarkStart w:name="z_1631972969" w:id="38"/>
      <w:bookmarkEnd w:id="38"/>
      <w:bookmarkStart w:name="z_1632572967" w:id="39"/>
      <w:bookmarkEnd w:id="39"/>
      <w:bookmarkStart w:name="z_1633427749" w:id="40"/>
      <w:bookmarkEnd w:id="40"/>
      <w:bookmarkStart w:name="z_1633956467" w:id="41"/>
      <w:bookmarkEnd w:id="41"/>
      <w:bookmarkStart w:name="z_1631972970" w:id="42"/>
      <w:bookmarkEnd w:id="42"/>
      <w:bookmarkStart w:name="z_1632572968" w:id="43"/>
      <w:bookmarkEnd w:id="43"/>
      <w:bookmarkStart w:name="z_1633427750" w:id="44"/>
      <w:bookmarkEnd w:id="44"/>
      <w:bookmarkStart w:name="z_1633956468" w:id="45"/>
      <w:bookmarkEnd w:id="45"/>
      <w:bookmarkStart w:name="z_1631972971" w:id="46"/>
      <w:bookmarkEnd w:id="46"/>
      <w:bookmarkStart w:name="z_1632572969" w:id="47"/>
      <w:bookmarkEnd w:id="47"/>
      <w:bookmarkStart w:name="z_1633427751" w:id="48"/>
      <w:bookmarkEnd w:id="48"/>
      <w:bookmarkStart w:name="z_1633956469" w:id="49"/>
      <w:bookmarkEnd w:id="49"/>
      <w:r>
        <w:rPr>
          <w:rFonts w:ascii="Times New Roman" w:hAnsi="Times New Roman"/>
          <w:b w:val="false"/>
          <w:i w:val="false"/>
          <w:color w:val="000000"/>
          <w:sz w:val="20"/>
        </w:rPr>
        <w:t xml:space="preserve">increased by €3.5 million to €12.0 million for the year ended December 31, 2021, from €8.5 million for the year ended December 31, 2020. This increase is primarily attributable to a €2.2 million increase in expenses from share-based compensation. Legal, consulting and audit fees and other expenses increased by €0.5 million to €2.1 million for the year ended December 31, 2021, mainly due to higher consulting and legal costs, mainly triggered by SOX implementation. The increase of other expenses by €0.4 million is primarily related to higher D&amp;O insurance cost. </w:t>
      </w:r>
    </w:p>
    <w:p>
      <w:pPr>
        <w:spacing w:before="0" w:after="0"/>
        <w:ind w:left="120"/>
        <w:jc w:val="both"/>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both"/>
      </w:pPr>
      <w:bookmarkStart w:name="z_1677590709" w:id="50"/>
      <w:bookmarkEnd w:id="50"/>
      <w:bookmarkStart w:name="z_1677590710" w:id="51"/>
      <w:bookmarkEnd w:id="51"/>
      <w:bookmarkStart w:name="z_1677590711" w:id="52"/>
      <w:bookmarkEnd w:id="52"/>
      <w:bookmarkStart w:name="z_1677590713" w:id="53"/>
      <w:bookmarkEnd w:id="53"/>
      <w:bookmarkStart w:name="z_1677590714" w:id="54"/>
      <w:bookmarkEnd w:id="54"/>
      <w:bookmarkStart w:name="z_1677590715" w:id="55"/>
      <w:bookmarkEnd w:id="55"/>
    </w:p>
    <w:bookmarkStart w:name="DSPFPageBreakArea" w:id="56"/>
    <w:p>
      <w:pPr>
        <w:spacing w:before="0" w:after="0"/>
        <w:ind w:left="120"/>
        <w:jc w:val="left"/>
      </w:pPr>
      <w:bookmarkStart w:name="DSPFPageBreak" w:id="57"/>
    </w:p>
    <w:p>
      <w:r>
        <w:pict>
          <v:rect style="width:0;height:1.5pt" id="_x0000_i1025" o:hr="t" o:hrstd="t" o:hralign="center" stroked="f" fillcolor="#a0a0a0"/>
        </w:pict>
      </w:r>
    </w:p>
    <w:bookmarkEnd w:id="57"/>
    <w:bookmarkStart w:name="DSPFPageHeader" w:id="58"/>
    <w:tbl>
      <w:tblPr>
        <w:tblW w:w="0" w:type="auto"/>
        <w:tblCellSpacing w:w="0" w:type="dxa"/>
        <w:tblBorders>
          <w:top w:val="none"/>
          <w:left w:val="none"/>
          <w:bottom w:val="none"/>
          <w:right w:val="none"/>
          <w:insideH w:val="none"/>
          <w:insideV w:val="none"/>
        </w:tblBorders>
      </w:tblPr>
      <w:tblGrid>
        <w:gridCol w:w="6817"/>
        <w:gridCol w:w="6817"/>
      </w:tblGrid>
      <w:tr>
        <w:trPr/>
        <w:tc>
          <w:tcPr>
            <w:tcW w:w="6817" w:type="dxa"/>
            <w:tcBorders/>
            <w:tcMar>
              <w:top w:w="15" w:type="dxa"/>
              <w:left w:w="15" w:type="dxa"/>
              <w:bottom w:w="15" w:type="dxa"/>
              <w:right w:w="15" w:type="dxa"/>
            </w:tcMar>
            <w:vAlign w:val="center"/>
          </w:tcPr>
          <w:p>
            <w:r>
              <w:drawing>
                <wp:inline distT="0" distB="0" distL="0" distR="0">
                  <wp:extent cx="1543050" cy="55245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43050" cy="552450"/>
                          </a:xfrm>
                          <a:prstGeom prst="rect">
                            <a:avLst/>
                          </a:prstGeom>
                        </pic:spPr>
                      </pic:pic>
                    </a:graphicData>
                  </a:graphic>
                </wp:inline>
              </w:drawing>
            </w:r>
          </w:p>
        </w:tc>
        <w:tc>
          <w:tcPr>
            <w:tcW w:w="6817" w:type="dxa"/>
            <w:tcBorders/>
            <w:tcMar>
              <w:top w:w="15" w:type="dxa"/>
              <w:left w:w="15" w:type="dxa"/>
              <w:bottom w:w="15" w:type="dxa"/>
              <w:right w:w="15" w:type="dxa"/>
            </w:tcMar>
            <w:vAlign w:val="center"/>
          </w:tcPr>
          <w:p>
            <w:pPr>
              <w:spacing w:before="0" w:after="0"/>
              <w:ind w:left="120"/>
              <w:jc w:val="left"/>
            </w:pPr>
          </w:p>
        </w:tc>
      </w:tr>
    </w:tbl>
    <w:bookmarkEnd w:id="58"/>
    <w:bookmarkEnd w:id="56"/>
    <w:p>
      <w:pPr>
        <w:spacing w:before="0" w:after="0"/>
        <w:ind w:left="120"/>
        <w:jc w:val="both"/>
      </w:pPr>
      <w:r>
        <w:rPr>
          <w:rFonts w:ascii="Times New Roman" w:hAnsi="Times New Roman"/>
          <w:b/>
          <w:i/>
          <w:color w:val="000000"/>
          <w:sz w:val="20"/>
        </w:rPr>
        <w:t xml:space="preserve"> Net Financial Result </w:t>
      </w:r>
    </w:p>
    <w:p>
      <w:pPr>
        <w:spacing w:before="0" w:after="0"/>
        <w:ind w:left="120"/>
        <w:jc w:val="left"/>
      </w:pPr>
    </w:p>
    <w:p>
      <w:pPr>
        <w:spacing w:before="0" w:after="0"/>
        <w:ind w:left="120"/>
        <w:jc w:val="both"/>
      </w:pPr>
      <w:r>
        <w:rPr>
          <w:rFonts w:ascii="Times New Roman" w:hAnsi="Times New Roman"/>
          <w:b w:val="false"/>
          <w:i w:val="false"/>
          <w:color w:val="000000"/>
          <w:sz w:val="20"/>
        </w:rPr>
        <w:t xml:space="preserve"> InflaRx’s net financial result </w:t>
      </w:r>
      <w:bookmarkStart w:name="z_Hlk34220619" w:id="59"/>
      <w:bookmarkEnd w:id="59"/>
      <w:r>
        <w:rPr>
          <w:rFonts w:ascii="Times New Roman" w:hAnsi="Times New Roman"/>
          <w:b w:val="false"/>
          <w:i w:val="false"/>
          <w:color w:val="000000"/>
          <w:sz w:val="20"/>
        </w:rPr>
        <w:t xml:space="preserve">increased by €2.0 million in the year ended December 31, 2021 compared to the year ended December 31, 2020. This net increase is mainly attributable to higher foreign exchange income, which increased by €1.9 million and lower foreign exchange expense, which decreased by €0.8 million. This effect was offset by lower interest income on marketable securities, which decreased by €0.8 million. </w:t>
      </w:r>
      <w:bookmarkStart w:name="z_1677590717" w:id="60"/>
      <w:bookmarkEnd w:id="60"/>
      <w:bookmarkStart w:name="z_1677590718" w:id="61"/>
      <w:bookmarkEnd w:id="61"/>
      <w:bookmarkStart w:name="z_1677589727" w:id="62"/>
      <w:bookmarkEnd w:id="62"/>
      <w:bookmarkStart w:name="z_1677590719" w:id="63"/>
      <w:bookmarkEnd w:id="63"/>
      <w:bookmarkStart w:name="z_1631972996" w:id="64"/>
      <w:bookmarkEnd w:id="64"/>
      <w:bookmarkStart w:name="z_1632572997" w:id="65"/>
      <w:bookmarkEnd w:id="65"/>
      <w:bookmarkStart w:name="z_1633427779" w:id="66"/>
      <w:bookmarkEnd w:id="66"/>
      <w:bookmarkStart w:name="z_1633956496" w:id="67"/>
      <w:bookmarkEnd w:id="67"/>
      <w:bookmarkStart w:name="z_1631972997" w:id="68"/>
      <w:bookmarkEnd w:id="68"/>
      <w:bookmarkStart w:name="z_1632572998" w:id="69"/>
      <w:bookmarkEnd w:id="69"/>
      <w:bookmarkStart w:name="z_1633427780" w:id="70"/>
      <w:bookmarkEnd w:id="70"/>
      <w:bookmarkStart w:name="z_1633956497" w:id="71"/>
      <w:bookmarkEnd w:id="71"/>
      <w:bookmarkStart w:name="z_1631972998" w:id="72"/>
      <w:bookmarkEnd w:id="72"/>
      <w:bookmarkStart w:name="z_1632572999" w:id="73"/>
      <w:bookmarkEnd w:id="73"/>
      <w:bookmarkStart w:name="z_1633427781" w:id="74"/>
      <w:bookmarkEnd w:id="74"/>
      <w:bookmarkStart w:name="z_1633956498" w:id="75"/>
      <w:bookmarkEnd w:id="75"/>
      <w:bookmarkStart w:name="z_1631972999" w:id="76"/>
      <w:bookmarkEnd w:id="76"/>
      <w:bookmarkStart w:name="z_1632573000" w:id="77"/>
      <w:bookmarkEnd w:id="77"/>
      <w:bookmarkStart w:name="z_1633427782" w:id="78"/>
      <w:bookmarkEnd w:id="78"/>
      <w:bookmarkStart w:name="z_1633956499" w:id="79"/>
      <w:bookmarkEnd w:id="79"/>
      <w:bookmarkStart w:name="z_1631973000" w:id="80"/>
      <w:bookmarkEnd w:id="80"/>
      <w:bookmarkStart w:name="z_1632573001" w:id="81"/>
      <w:bookmarkEnd w:id="81"/>
      <w:bookmarkStart w:name="z_1633427783" w:id="82"/>
      <w:bookmarkEnd w:id="82"/>
      <w:bookmarkStart w:name="z_1633956500" w:id="83"/>
      <w:bookmarkEnd w:id="83"/>
    </w:p>
    <w:p>
      <w:pPr>
        <w:spacing w:before="0" w:after="0"/>
        <w:ind w:left="120"/>
        <w:jc w:val="left"/>
      </w:pPr>
    </w:p>
    <w:p>
      <w:pPr>
        <w:spacing w:before="0" w:after="0"/>
        <w:ind w:left="120"/>
        <w:jc w:val="both"/>
      </w:pPr>
      <w:r>
        <w:rPr>
          <w:rFonts w:ascii="Times New Roman" w:hAnsi="Times New Roman"/>
          <w:b/>
          <w:i/>
          <w:color w:val="000000"/>
          <w:sz w:val="20"/>
        </w:rPr>
        <w:t xml:space="preserve"> Net Loss </w:t>
      </w:r>
    </w:p>
    <w:p>
      <w:pPr>
        <w:spacing w:before="0" w:after="0"/>
        <w:ind w:left="120"/>
        <w:jc w:val="left"/>
      </w:pPr>
    </w:p>
    <w:p>
      <w:pPr>
        <w:spacing w:before="0" w:after="0"/>
        <w:ind w:left="120"/>
        <w:jc w:val="both"/>
      </w:pPr>
      <w:r>
        <w:rPr>
          <w:rFonts w:ascii="Times New Roman" w:hAnsi="Times New Roman"/>
          <w:b w:val="false"/>
          <w:i w:val="false"/>
          <w:color w:val="000000"/>
          <w:sz w:val="20"/>
        </w:rPr>
        <w:t xml:space="preserve"> InflaRx incurred a net loss of € </w:t>
      </w:r>
      <w:bookmarkStart w:name="z_1677590720" w:id="84"/>
      <w:bookmarkEnd w:id="84"/>
      <w:r>
        <w:rPr>
          <w:rFonts w:ascii="Times New Roman" w:hAnsi="Times New Roman"/>
          <w:b w:val="false"/>
          <w:i w:val="false"/>
          <w:color w:val="000000"/>
          <w:sz w:val="20"/>
        </w:rPr>
        <w:t xml:space="preserve">45.6 million, or € </w:t>
      </w:r>
      <w:bookmarkStart w:name="z_1677590722" w:id="85"/>
      <w:bookmarkEnd w:id="85"/>
      <w:r>
        <w:rPr>
          <w:rFonts w:ascii="Times New Roman" w:hAnsi="Times New Roman"/>
          <w:b w:val="false"/>
          <w:i w:val="false"/>
          <w:color w:val="000000"/>
          <w:sz w:val="20"/>
        </w:rPr>
        <w:t xml:space="preserve">1.10 per common share, in the year ended December 31, 2021 compared to €34.0 million, or €1.3 per common share, in the year ended December 31, 2020. As of December 31, 2021, the Company’s total funds available were approximately €110.6 million, composed of €26.2 million of cash and cash equivalents </w:t>
      </w:r>
      <w:bookmarkStart w:name="z_1677590724" w:id="86"/>
      <w:bookmarkEnd w:id="86"/>
      <w:r>
        <w:rPr>
          <w:rFonts w:ascii="Times New Roman" w:hAnsi="Times New Roman"/>
          <w:b w:val="false"/>
          <w:i w:val="false"/>
          <w:color w:val="000000"/>
          <w:sz w:val="20"/>
        </w:rPr>
        <w:t xml:space="preserve">and €84.4 million of financial assets. </w:t>
      </w:r>
    </w:p>
    <w:p>
      <w:pPr>
        <w:spacing w:before="0" w:after="0"/>
        <w:ind w:left="120"/>
        <w:jc w:val="left"/>
      </w:pPr>
    </w:p>
    <w:p>
      <w:pPr>
        <w:spacing w:before="0" w:after="0"/>
        <w:ind w:left="120"/>
        <w:jc w:val="both"/>
      </w:pPr>
      <w:r>
        <w:rPr>
          <w:rFonts w:ascii="Times New Roman" w:hAnsi="Times New Roman"/>
          <w:b/>
          <w:i/>
          <w:color w:val="000000"/>
          <w:sz w:val="20"/>
        </w:rPr>
        <w:t xml:space="preserve"> Net Cash Used in Operating Activities </w:t>
      </w:r>
    </w:p>
    <w:p>
      <w:pPr>
        <w:spacing w:before="0" w:after="0"/>
        <w:ind w:left="120"/>
        <w:jc w:val="left"/>
      </w:pPr>
    </w:p>
    <w:p>
      <w:pPr>
        <w:spacing w:before="0" w:after="0"/>
        <w:ind w:left="120"/>
        <w:jc w:val="both"/>
      </w:pPr>
      <w:r>
        <w:rPr>
          <w:rFonts w:ascii="Times New Roman" w:hAnsi="Times New Roman"/>
          <w:b w:val="false"/>
          <w:i w:val="false"/>
          <w:color w:val="000000"/>
          <w:sz w:val="20"/>
        </w:rPr>
        <w:t xml:space="preserve"> InflaRx’s net cash used in operating activities </w:t>
      </w:r>
      <w:bookmarkStart w:name="z_1632573123" w:id="87"/>
      <w:bookmarkEnd w:id="87"/>
      <w:bookmarkStart w:name="z_1633956621" w:id="88"/>
      <w:bookmarkEnd w:id="88"/>
      <w:bookmarkStart w:name="z_Hlk52782890" w:id="89"/>
      <w:bookmarkEnd w:id="89"/>
      <w:r>
        <w:rPr>
          <w:rFonts w:ascii="Times New Roman" w:hAnsi="Times New Roman"/>
          <w:b w:val="false"/>
          <w:i w:val="false"/>
          <w:color w:val="000000"/>
          <w:sz w:val="20"/>
        </w:rPr>
        <w:t xml:space="preserve">increased to €39.9 million in the year ended December 31, 2021, from €36.5 million in the year ended December 31, 2020, mainly due to the increase of research and development expenditures and higher personnel costs. </w:t>
      </w:r>
    </w:p>
    <w:p>
      <w:pPr>
        <w:spacing w:before="0" w:after="0"/>
        <w:ind w:left="120"/>
        <w:jc w:val="left"/>
      </w:pPr>
    </w:p>
    <w:p>
      <w:pPr>
        <w:spacing w:before="0" w:after="0"/>
        <w:ind w:left="120"/>
        <w:jc w:val="both"/>
      </w:pPr>
      <w:r>
        <w:rPr>
          <w:rFonts w:ascii="Times New Roman" w:hAnsi="Times New Roman"/>
          <w:b w:val="false"/>
          <w:i w:val="false"/>
          <w:color w:val="000000"/>
          <w:sz w:val="20"/>
        </w:rPr>
        <w:t xml:space="preserve"> Additional information regarding these results and other relevant information is included in the notes to the financial statements as of December 31, 2021 in “Item 18. Financial Statements,” which are included in InflaRx’s most recent annual report on Form 20-F as filed with the U.S. Securities and Exchange Commission. </w:t>
      </w:r>
    </w:p>
    <w:p>
      <w:pPr>
        <w:spacing w:before="0" w:after="0"/>
        <w:ind w:left="120"/>
        <w:jc w:val="left"/>
      </w:pPr>
    </w:p>
    <w:bookmarkStart w:name="DSPFPageBreakArea" w:id="90"/>
    <w:p>
      <w:pPr>
        <w:spacing w:before="0" w:after="0"/>
        <w:ind w:left="120"/>
        <w:jc w:val="left"/>
      </w:pPr>
      <w:bookmarkStart w:name="DSPFPageBreak" w:id="91"/>
    </w:p>
    <w:p>
      <w:r>
        <w:pict>
          <v:rect style="width:0;height:1.5pt" id="_x0000_i1025" o:hr="t" o:hrstd="t" o:hralign="center" stroked="f" fillcolor="#a0a0a0"/>
        </w:pict>
      </w:r>
    </w:p>
    <w:bookmarkEnd w:id="91"/>
    <w:bookmarkStart w:name="DSPFPageHeader" w:id="92"/>
    <w:tbl>
      <w:tblPr>
        <w:tblW w:w="0" w:type="auto"/>
        <w:tblCellSpacing w:w="0" w:type="dxa"/>
        <w:tblBorders>
          <w:top w:val="none"/>
          <w:left w:val="none"/>
          <w:bottom w:val="none"/>
          <w:right w:val="none"/>
          <w:insideH w:val="none"/>
          <w:insideV w:val="none"/>
        </w:tblBorders>
      </w:tblPr>
      <w:tblGrid>
        <w:gridCol w:w="6817"/>
        <w:gridCol w:w="6817"/>
      </w:tblGrid>
      <w:tr>
        <w:trPr/>
        <w:tc>
          <w:tcPr>
            <w:tcW w:w="6817" w:type="dxa"/>
            <w:tcBorders/>
            <w:tcMar>
              <w:top w:w="15" w:type="dxa"/>
              <w:left w:w="15" w:type="dxa"/>
              <w:bottom w:w="15" w:type="dxa"/>
              <w:right w:w="15" w:type="dxa"/>
            </w:tcMar>
            <w:vAlign w:val="center"/>
          </w:tcPr>
          <w:p>
            <w:r>
              <w:drawing>
                <wp:inline distT="0" distB="0" distL="0" distR="0">
                  <wp:extent cx="1543050" cy="55245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43050" cy="552450"/>
                          </a:xfrm>
                          <a:prstGeom prst="rect">
                            <a:avLst/>
                          </a:prstGeom>
                        </pic:spPr>
                      </pic:pic>
                    </a:graphicData>
                  </a:graphic>
                </wp:inline>
              </w:drawing>
            </w:r>
          </w:p>
        </w:tc>
        <w:tc>
          <w:tcPr>
            <w:tcW w:w="6817" w:type="dxa"/>
            <w:tcBorders/>
            <w:tcMar>
              <w:top w:w="15" w:type="dxa"/>
              <w:left w:w="15" w:type="dxa"/>
              <w:bottom w:w="15" w:type="dxa"/>
              <w:right w:w="15" w:type="dxa"/>
            </w:tcMar>
            <w:vAlign w:val="center"/>
          </w:tcPr>
          <w:p>
            <w:pPr>
              <w:spacing w:before="0" w:after="0"/>
              <w:ind w:left="120"/>
              <w:jc w:val="left"/>
            </w:pPr>
          </w:p>
        </w:tc>
      </w:tr>
    </w:tbl>
    <w:bookmarkEnd w:id="92"/>
    <w:bookmarkEnd w:id="90"/>
    <w:p>
      <w:pPr>
        <w:spacing w:before="0" w:after="0"/>
        <w:ind w:left="120"/>
        <w:jc w:val="both"/>
      </w:pPr>
      <w:r>
        <w:rPr>
          <w:rFonts w:ascii="Times New Roman" w:hAnsi="Times New Roman"/>
          <w:b/>
          <w:i w:val="false"/>
          <w:color w:val="000000"/>
          <w:sz w:val="20"/>
        </w:rPr>
        <w:t xml:space="preserve"> InflaRx N.V. and subsidiaries </w:t>
      </w:r>
    </w:p>
    <w:p>
      <w:pPr>
        <w:spacing w:before="0" w:after="0"/>
        <w:ind w:left="120"/>
        <w:jc w:val="both"/>
      </w:pPr>
      <w:r>
        <w:rPr>
          <w:rFonts w:ascii="Times New Roman" w:hAnsi="Times New Roman"/>
          <w:b/>
          <w:i w:val="false"/>
          <w:color w:val="000000"/>
          <w:sz w:val="20"/>
        </w:rPr>
        <w:t xml:space="preserve"> Consolidated Statements of Operations and Comprehensive Loss for the Years Ended December 31, 2021, 2020 and 2019 </w:t>
      </w:r>
    </w:p>
    <w:p>
      <w:pPr>
        <w:spacing w:before="0" w:after="0"/>
        <w:ind w:left="120"/>
        <w:jc w:val="left"/>
      </w:pPr>
    </w:p>
    <w:bookmarkStart w:name="zc64a9bc0fc57443c9a2ac09a1783cef1" w:id="93"/>
    <w:tbl>
      <w:tblPr>
        <w:tblW w:w="0" w:type="auto"/>
        <w:tblCellSpacing w:w="0" w:type="dxa"/>
        <w:tblBorders>
          <w:top w:val="none"/>
          <w:left w:val="none"/>
          <w:bottom w:val="none"/>
          <w:right w:val="none"/>
          <w:insideH w:val="none"/>
          <w:insideV w:val="none"/>
        </w:tblBorders>
      </w:tblPr>
      <w:tblGrid>
        <w:gridCol w:w="8324"/>
        <w:gridCol w:w="128"/>
        <w:gridCol w:w="128"/>
        <w:gridCol w:w="1358"/>
        <w:gridCol w:w="156"/>
        <w:gridCol w:w="128"/>
        <w:gridCol w:w="128"/>
        <w:gridCol w:w="1358"/>
        <w:gridCol w:w="156"/>
        <w:gridCol w:w="128"/>
        <w:gridCol w:w="128"/>
        <w:gridCol w:w="1358"/>
        <w:gridCol w:w="156"/>
      </w:tblGrid>
      <w:tr>
        <w:trPr>
          <w:trHeight w:val="255" w:hRule="atLeast"/>
        </w:trPr>
        <w:tc>
          <w:tcPr>
            <w:tcW w:w="8324" w:type="dxa"/>
            <w:tcBorders/>
            <w:tcMar>
              <w:top w:w="15" w:type="dxa"/>
              <w:left w:w="15" w:type="dxa"/>
              <w:bottom w:w="30" w:type="dxa"/>
              <w:right w:w="15" w:type="dxa"/>
            </w:tcMar>
            <w:vAlign w:val="center"/>
          </w:tcPr>
          <w:p>
            <w:pPr>
              <w:spacing w:before="0" w:after="0"/>
              <w:ind w:left="264"/>
              <w:jc w:val="left"/>
            </w:pPr>
            <w:r>
              <w:rPr>
                <w:rFonts w:ascii="Times New Roman" w:hAnsi="Times New Roman"/>
                <w:b/>
                <w:i w:val="false"/>
                <w:color w:val="000000"/>
                <w:sz w:val="20"/>
              </w:rPr>
              <w:t xml:space="preserve"> in €, except for share information </w:t>
            </w:r>
          </w:p>
        </w:tc>
        <w:tc>
          <w:tcPr>
            <w:tcW w:w="128" w:type="dxa"/>
            <w:tcBorders/>
            <w:tcMar>
              <w:top w:w="15" w:type="dxa"/>
              <w:left w:w="15" w:type="dxa"/>
              <w:bottom w:w="30" w:type="dxa"/>
              <w:right w:w="15" w:type="dxa"/>
            </w:tcMar>
            <w:vAlign w:val="bottom"/>
          </w:tcPr>
          <w:p/>
        </w:tc>
        <w:tc>
          <w:tcPr>
            <w:tcW w:w="0" w:type="auto"/>
            <w:gridSpan w:val="2"/>
            <w:tcBorders>
              <w:bottom w:val="single" w:color="000000" w:sz="16"/>
            </w:tcBorders>
            <w:tcMar>
              <w:top w:w="15" w:type="dxa"/>
              <w:left w:w="15" w:type="dxa"/>
              <w:bottom w:w="15" w:type="dxa"/>
              <w:right w:w="15" w:type="dxa"/>
            </w:tcMar>
            <w:vAlign w:val="bottom"/>
          </w:tcPr>
          <w:p>
            <w:pPr>
              <w:spacing w:before="0" w:after="0"/>
              <w:ind w:left="120"/>
              <w:jc w:val="center"/>
            </w:pPr>
            <w:r>
              <w:rPr>
                <w:rFonts w:ascii="Times New Roman" w:hAnsi="Times New Roman"/>
                <w:b/>
                <w:i w:val="false"/>
                <w:color w:val="000000"/>
                <w:sz w:val="20"/>
              </w:rPr>
              <w:t xml:space="preserve"> 2021 </w:t>
            </w:r>
          </w:p>
        </w:tc>
        <w:tc>
          <w:tcPr>
            <w:tcW w:w="156" w:type="dxa"/>
            <w:tcBorders/>
            <w:tcMar>
              <w:top w:w="15" w:type="dxa"/>
              <w:left w:w="15" w:type="dxa"/>
              <w:bottom w:w="30" w:type="dxa"/>
              <w:right w:w="15" w:type="dxa"/>
            </w:tcMar>
            <w:vAlign w:val="bottom"/>
          </w:tcPr>
          <w:p/>
        </w:tc>
        <w:tc>
          <w:tcPr>
            <w:tcW w:w="128" w:type="dxa"/>
            <w:tcBorders/>
            <w:tcMar>
              <w:top w:w="15" w:type="dxa"/>
              <w:left w:w="15" w:type="dxa"/>
              <w:bottom w:w="30" w:type="dxa"/>
              <w:right w:w="15" w:type="dxa"/>
            </w:tcMar>
            <w:vAlign w:val="bottom"/>
          </w:tcPr>
          <w:p/>
        </w:tc>
        <w:tc>
          <w:tcPr>
            <w:tcW w:w="0" w:type="auto"/>
            <w:gridSpan w:val="2"/>
            <w:tcBorders>
              <w:bottom w:val="single" w:color="000000" w:sz="16"/>
            </w:tcBorders>
            <w:tcMar>
              <w:top w:w="15" w:type="dxa"/>
              <w:left w:w="15" w:type="dxa"/>
              <w:bottom w:w="15" w:type="dxa"/>
              <w:right w:w="15" w:type="dxa"/>
            </w:tcMar>
            <w:vAlign w:val="bottom"/>
          </w:tcPr>
          <w:p>
            <w:pPr>
              <w:spacing w:before="0" w:after="0"/>
              <w:ind w:left="120"/>
              <w:jc w:val="center"/>
            </w:pPr>
            <w:r>
              <w:rPr>
                <w:rFonts w:ascii="Times New Roman" w:hAnsi="Times New Roman"/>
                <w:b/>
                <w:i w:val="false"/>
                <w:color w:val="000000"/>
                <w:sz w:val="20"/>
              </w:rPr>
              <w:t xml:space="preserve"> 2020 </w:t>
            </w:r>
          </w:p>
        </w:tc>
        <w:tc>
          <w:tcPr>
            <w:tcW w:w="156" w:type="dxa"/>
            <w:tcBorders/>
            <w:tcMar>
              <w:top w:w="15" w:type="dxa"/>
              <w:left w:w="15" w:type="dxa"/>
              <w:bottom w:w="30" w:type="dxa"/>
              <w:right w:w="15" w:type="dxa"/>
            </w:tcMar>
            <w:vAlign w:val="bottom"/>
          </w:tcPr>
          <w:p/>
        </w:tc>
        <w:tc>
          <w:tcPr>
            <w:tcW w:w="128" w:type="dxa"/>
            <w:tcBorders/>
            <w:tcMar>
              <w:top w:w="15" w:type="dxa"/>
              <w:left w:w="15" w:type="dxa"/>
              <w:bottom w:w="30" w:type="dxa"/>
              <w:right w:w="15" w:type="dxa"/>
            </w:tcMar>
            <w:vAlign w:val="bottom"/>
          </w:tcPr>
          <w:p/>
        </w:tc>
        <w:tc>
          <w:tcPr>
            <w:tcW w:w="0" w:type="auto"/>
            <w:gridSpan w:val="2"/>
            <w:tcBorders>
              <w:bottom w:val="single" w:color="000000" w:sz="16"/>
            </w:tcBorders>
            <w:tcMar>
              <w:top w:w="15" w:type="dxa"/>
              <w:left w:w="15" w:type="dxa"/>
              <w:bottom w:w="15" w:type="dxa"/>
              <w:right w:w="15" w:type="dxa"/>
            </w:tcMar>
            <w:vAlign w:val="bottom"/>
          </w:tcPr>
          <w:p>
            <w:pPr>
              <w:spacing w:before="0" w:after="0"/>
              <w:ind w:left="120"/>
              <w:jc w:val="center"/>
            </w:pPr>
            <w:r>
              <w:rPr>
                <w:rFonts w:ascii="Times New Roman" w:hAnsi="Times New Roman"/>
                <w:b/>
                <w:i w:val="false"/>
                <w:color w:val="000000"/>
                <w:sz w:val="20"/>
              </w:rPr>
              <w:t xml:space="preserve"> 2019 </w:t>
            </w:r>
          </w:p>
        </w:tc>
        <w:tc>
          <w:tcPr>
            <w:tcW w:w="156" w:type="dxa"/>
            <w:tcBorders/>
            <w:tcMar>
              <w:top w:w="15" w:type="dxa"/>
              <w:left w:w="15" w:type="dxa"/>
              <w:bottom w:w="30" w:type="dxa"/>
              <w:right w:w="15" w:type="dxa"/>
            </w:tcMar>
            <w:vAlign w:val="bottom"/>
          </w:tcPr>
          <w:p/>
        </w:tc>
      </w:tr>
      <w:tr>
        <w:trPr/>
        <w:tc>
          <w:tcPr>
            <w:tcW w:w="8324"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0" w:type="auto"/>
            <w:gridSpan w:val="2"/>
            <w:tcBorders/>
            <w:tcMar>
              <w:top w:w="15" w:type="dxa"/>
              <w:left w:w="15" w:type="dxa"/>
              <w:bottom w:w="15" w:type="dxa"/>
              <w:right w:w="15" w:type="dxa"/>
            </w:tcMar>
            <w:vAlign w:val="bottom"/>
          </w:tcPr>
          <w:p/>
        </w:tc>
        <w:tc>
          <w:tcPr>
            <w:tcW w:w="156"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0" w:type="auto"/>
            <w:gridSpan w:val="2"/>
            <w:tcBorders/>
            <w:tcMar>
              <w:top w:w="15" w:type="dxa"/>
              <w:left w:w="15" w:type="dxa"/>
              <w:bottom w:w="15" w:type="dxa"/>
              <w:right w:w="15" w:type="dxa"/>
            </w:tcMar>
            <w:vAlign w:val="bottom"/>
          </w:tcPr>
          <w:p/>
        </w:tc>
        <w:tc>
          <w:tcPr>
            <w:tcW w:w="156"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0" w:type="auto"/>
            <w:gridSpan w:val="2"/>
            <w:tcBorders/>
            <w:tcMar>
              <w:top w:w="15" w:type="dxa"/>
              <w:left w:w="15" w:type="dxa"/>
              <w:bottom w:w="15" w:type="dxa"/>
              <w:right w:w="15" w:type="dxa"/>
            </w:tcMar>
            <w:vAlign w:val="bottom"/>
          </w:tcPr>
          <w:p/>
        </w:tc>
        <w:tc>
          <w:tcPr>
            <w:tcW w:w="156" w:type="dxa"/>
            <w:tcBorders/>
            <w:tcMar>
              <w:top w:w="15" w:type="dxa"/>
              <w:left w:w="15" w:type="dxa"/>
              <w:bottom w:w="15" w:type="dxa"/>
              <w:right w:w="15" w:type="dxa"/>
            </w:tcMar>
            <w:vAlign w:val="bottom"/>
          </w:tcPr>
          <w:p/>
        </w:tc>
      </w:tr>
      <w:tr>
        <w:trPr>
          <w:trHeight w:val="225" w:hRule="atLeast"/>
        </w:trPr>
        <w:tc>
          <w:tcPr>
            <w:tcW w:w="8324" w:type="dxa"/>
            <w:tcBorders/>
            <w:tcMar>
              <w:top w:w="15" w:type="dxa"/>
              <w:left w:w="15" w:type="dxa"/>
              <w:bottom w:w="15" w:type="dxa"/>
              <w:right w:w="15" w:type="dxa"/>
            </w:tcMar>
            <w:vAlign w:val="bottom"/>
          </w:tcPr>
          <w:p>
            <w:pPr>
              <w:spacing w:before="0" w:after="0"/>
              <w:ind w:left="264"/>
              <w:jc w:val="left"/>
            </w:pPr>
            <w:r>
              <w:rPr>
                <w:rFonts w:ascii="Times New Roman" w:hAnsi="Times New Roman"/>
                <w:b/>
                <w:i w:val="false"/>
                <w:color w:val="000000"/>
                <w:sz w:val="20"/>
              </w:rPr>
              <w:t xml:space="preserve"> Operating Expenses </w:t>
            </w:r>
          </w:p>
        </w:tc>
        <w:tc>
          <w:tcPr>
            <w:tcW w:w="128" w:type="dxa"/>
            <w:tcBorders/>
            <w:tcMar>
              <w:top w:w="15" w:type="dxa"/>
              <w:left w:w="15" w:type="dxa"/>
              <w:bottom w:w="15" w:type="dxa"/>
              <w:right w:w="15" w:type="dxa"/>
            </w:tcMar>
            <w:vAlign w:val="bottom"/>
          </w:tcPr>
          <w:p/>
        </w:tc>
        <w:tc>
          <w:tcPr>
            <w:tcW w:w="0" w:type="auto"/>
            <w:gridSpan w:val="2"/>
            <w:tcBorders/>
            <w:tcMar>
              <w:top w:w="15" w:type="dxa"/>
              <w:left w:w="15" w:type="dxa"/>
              <w:bottom w:w="15" w:type="dxa"/>
              <w:right w:w="15" w:type="dxa"/>
            </w:tcMar>
            <w:vAlign w:val="bottom"/>
          </w:tcPr>
          <w:p/>
        </w:tc>
        <w:tc>
          <w:tcPr>
            <w:tcW w:w="156"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0" w:type="auto"/>
            <w:gridSpan w:val="2"/>
            <w:tcBorders/>
            <w:tcMar>
              <w:top w:w="15" w:type="dxa"/>
              <w:left w:w="15" w:type="dxa"/>
              <w:bottom w:w="15" w:type="dxa"/>
              <w:right w:w="15" w:type="dxa"/>
            </w:tcMar>
            <w:vAlign w:val="bottom"/>
          </w:tcPr>
          <w:p/>
        </w:tc>
        <w:tc>
          <w:tcPr>
            <w:tcW w:w="156"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0" w:type="auto"/>
            <w:gridSpan w:val="2"/>
            <w:tcBorders/>
            <w:tcMar>
              <w:top w:w="15" w:type="dxa"/>
              <w:left w:w="15" w:type="dxa"/>
              <w:bottom w:w="15" w:type="dxa"/>
              <w:right w:w="15" w:type="dxa"/>
            </w:tcMar>
            <w:vAlign w:val="bottom"/>
          </w:tcPr>
          <w:p/>
        </w:tc>
        <w:tc>
          <w:tcPr>
            <w:tcW w:w="156" w:type="dxa"/>
            <w:tcBorders/>
            <w:tcMar>
              <w:top w:w="15" w:type="dxa"/>
              <w:left w:w="15" w:type="dxa"/>
              <w:bottom w:w="15" w:type="dxa"/>
              <w:right w:w="15" w:type="dxa"/>
            </w:tcMar>
            <w:vAlign w:val="bottom"/>
          </w:tcPr>
          <w:p/>
        </w:tc>
      </w:tr>
      <w:tr>
        <w:trPr>
          <w:trHeight w:val="210" w:hRule="atLeast"/>
        </w:trPr>
        <w:tc>
          <w:tcPr>
            <w:tcW w:w="8324" w:type="dxa"/>
            <w:tcBorders/>
            <w:shd w:fill="cceeff"/>
            <w:tcMar>
              <w:top w:w="15" w:type="dxa"/>
              <w:left w:w="15" w:type="dxa"/>
              <w:bottom w:w="15" w:type="dxa"/>
              <w:right w:w="15" w:type="dxa"/>
            </w:tcMar>
            <w:vAlign w:val="bottom"/>
          </w:tcPr>
          <w:p>
            <w:pPr>
              <w:spacing w:before="0" w:after="0"/>
              <w:ind w:left="264"/>
              <w:jc w:val="left"/>
            </w:pPr>
            <w:r>
              <w:rPr>
                <w:rFonts w:ascii="Times New Roman" w:hAnsi="Times New Roman"/>
                <w:b w:val="false"/>
                <w:i w:val="false"/>
                <w:color w:val="000000"/>
                <w:sz w:val="20"/>
              </w:rPr>
              <w:t xml:space="preserve"> Research and development expenses </w:t>
            </w:r>
          </w:p>
        </w:tc>
        <w:tc>
          <w:tcPr>
            <w:tcW w:w="128"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358"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(35,697,935 </w:t>
            </w:r>
          </w:p>
        </w:tc>
        <w:tc>
          <w:tcPr>
            <w:tcW w:w="156" w:type="dxa"/>
            <w:tcBorders/>
            <w:shd w:fill="cceeff"/>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c>
          <w:tcPr>
            <w:tcW w:w="128"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358"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(25,684,140 </w:t>
            </w:r>
          </w:p>
        </w:tc>
        <w:tc>
          <w:tcPr>
            <w:tcW w:w="156" w:type="dxa"/>
            <w:tcBorders/>
            <w:shd w:fill="cceeff"/>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c>
          <w:tcPr>
            <w:tcW w:w="128"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358"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(44,582,136 </w:t>
            </w:r>
          </w:p>
        </w:tc>
        <w:tc>
          <w:tcPr>
            <w:tcW w:w="156" w:type="dxa"/>
            <w:tcBorders/>
            <w:shd w:fill="cceeff"/>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r>
      <w:tr>
        <w:trPr>
          <w:trHeight w:val="240" w:hRule="atLeast"/>
        </w:trPr>
        <w:tc>
          <w:tcPr>
            <w:tcW w:w="8324" w:type="dxa"/>
            <w:tcBorders/>
            <w:tcMar>
              <w:top w:w="15" w:type="dxa"/>
              <w:left w:w="15" w:type="dxa"/>
              <w:bottom w:w="30" w:type="dxa"/>
              <w:right w:w="15" w:type="dxa"/>
            </w:tcMar>
            <w:vAlign w:val="bottom"/>
          </w:tcPr>
          <w:p>
            <w:pPr>
              <w:spacing w:before="0" w:after="0"/>
              <w:ind w:left="264"/>
              <w:jc w:val="left"/>
            </w:pPr>
            <w:r>
              <w:rPr>
                <w:rFonts w:ascii="Times New Roman" w:hAnsi="Times New Roman"/>
                <w:b w:val="false"/>
                <w:i w:val="false"/>
                <w:color w:val="000000"/>
                <w:sz w:val="20"/>
              </w:rPr>
              <w:t xml:space="preserve"> General and administrative expenses </w:t>
            </w:r>
          </w:p>
        </w:tc>
        <w:tc>
          <w:tcPr>
            <w:tcW w:w="128" w:type="dxa"/>
            <w:tcBorders/>
            <w:tcMar>
              <w:top w:w="15" w:type="dxa"/>
              <w:left w:w="15" w:type="dxa"/>
              <w:bottom w:w="30" w:type="dxa"/>
              <w:right w:w="15" w:type="dxa"/>
            </w:tcMar>
            <w:vAlign w:val="bottom"/>
          </w:tcPr>
          <w:p/>
        </w:tc>
        <w:tc>
          <w:tcPr>
            <w:tcW w:w="128" w:type="dxa"/>
            <w:tcBorders>
              <w:bottom w:val="single" w:color="000000" w:sz="16"/>
            </w:tcBorders>
            <w:tcMar>
              <w:top w:w="15" w:type="dxa"/>
              <w:left w:w="15" w:type="dxa"/>
              <w:bottom w:w="15" w:type="dxa"/>
              <w:right w:w="15" w:type="dxa"/>
            </w:tcMar>
            <w:vAlign w:val="bottom"/>
          </w:tcPr>
          <w:p/>
        </w:tc>
        <w:tc>
          <w:tcPr>
            <w:tcW w:w="1358"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(11,984,722 </w:t>
            </w:r>
          </w:p>
        </w:tc>
        <w:tc>
          <w:tcPr>
            <w:tcW w:w="156" w:type="dxa"/>
            <w:tcBorders/>
            <w:tcMar>
              <w:top w:w="15" w:type="dxa"/>
              <w:left w:w="15" w:type="dxa"/>
              <w:bottom w:w="30"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c>
          <w:tcPr>
            <w:tcW w:w="128" w:type="dxa"/>
            <w:tcBorders/>
            <w:tcMar>
              <w:top w:w="15" w:type="dxa"/>
              <w:left w:w="15" w:type="dxa"/>
              <w:bottom w:w="30" w:type="dxa"/>
              <w:right w:w="15" w:type="dxa"/>
            </w:tcMar>
            <w:vAlign w:val="bottom"/>
          </w:tcPr>
          <w:p/>
        </w:tc>
        <w:tc>
          <w:tcPr>
            <w:tcW w:w="128" w:type="dxa"/>
            <w:tcBorders>
              <w:bottom w:val="single" w:color="000000" w:sz="16"/>
            </w:tcBorders>
            <w:tcMar>
              <w:top w:w="15" w:type="dxa"/>
              <w:left w:w="15" w:type="dxa"/>
              <w:bottom w:w="15" w:type="dxa"/>
              <w:right w:w="15" w:type="dxa"/>
            </w:tcMar>
            <w:vAlign w:val="bottom"/>
          </w:tcPr>
          <w:p/>
        </w:tc>
        <w:tc>
          <w:tcPr>
            <w:tcW w:w="1358"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(8,467,203 </w:t>
            </w:r>
          </w:p>
        </w:tc>
        <w:tc>
          <w:tcPr>
            <w:tcW w:w="156" w:type="dxa"/>
            <w:tcBorders/>
            <w:tcMar>
              <w:top w:w="15" w:type="dxa"/>
              <w:left w:w="15" w:type="dxa"/>
              <w:bottom w:w="30"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c>
          <w:tcPr>
            <w:tcW w:w="128" w:type="dxa"/>
            <w:tcBorders/>
            <w:tcMar>
              <w:top w:w="15" w:type="dxa"/>
              <w:left w:w="15" w:type="dxa"/>
              <w:bottom w:w="30" w:type="dxa"/>
              <w:right w:w="15" w:type="dxa"/>
            </w:tcMar>
            <w:vAlign w:val="bottom"/>
          </w:tcPr>
          <w:p/>
        </w:tc>
        <w:tc>
          <w:tcPr>
            <w:tcW w:w="128" w:type="dxa"/>
            <w:tcBorders>
              <w:bottom w:val="single" w:color="000000" w:sz="16"/>
            </w:tcBorders>
            <w:tcMar>
              <w:top w:w="15" w:type="dxa"/>
              <w:left w:w="15" w:type="dxa"/>
              <w:bottom w:w="15" w:type="dxa"/>
              <w:right w:w="15" w:type="dxa"/>
            </w:tcMar>
            <w:vAlign w:val="bottom"/>
          </w:tcPr>
          <w:p/>
        </w:tc>
        <w:tc>
          <w:tcPr>
            <w:tcW w:w="1358"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(12,501,048 </w:t>
            </w:r>
          </w:p>
        </w:tc>
        <w:tc>
          <w:tcPr>
            <w:tcW w:w="156" w:type="dxa"/>
            <w:tcBorders/>
            <w:tcMar>
              <w:top w:w="15" w:type="dxa"/>
              <w:left w:w="15" w:type="dxa"/>
              <w:bottom w:w="30"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r>
      <w:tr>
        <w:trPr>
          <w:trHeight w:val="255" w:hRule="atLeast"/>
        </w:trPr>
        <w:tc>
          <w:tcPr>
            <w:tcW w:w="8324" w:type="dxa"/>
            <w:tcBorders/>
            <w:shd w:fill="cceeff"/>
            <w:tcMar>
              <w:top w:w="15" w:type="dxa"/>
              <w:left w:w="15" w:type="dxa"/>
              <w:bottom w:w="30" w:type="dxa"/>
              <w:right w:w="15" w:type="dxa"/>
            </w:tcMar>
            <w:vAlign w:val="bottom"/>
          </w:tcPr>
          <w:p>
            <w:pPr>
              <w:spacing w:before="0" w:after="0"/>
              <w:ind w:left="264"/>
              <w:jc w:val="left"/>
            </w:pPr>
            <w:r>
              <w:rPr>
                <w:rFonts w:ascii="Times New Roman" w:hAnsi="Times New Roman"/>
                <w:b/>
                <w:i w:val="false"/>
                <w:color w:val="000000"/>
                <w:sz w:val="20"/>
              </w:rPr>
              <w:t xml:space="preserve"> Total Operating Expenses </w:t>
            </w:r>
          </w:p>
        </w:tc>
        <w:tc>
          <w:tcPr>
            <w:tcW w:w="128" w:type="dxa"/>
            <w:tcBorders/>
            <w:shd w:fill="cceeff"/>
            <w:tcMar>
              <w:top w:w="15" w:type="dxa"/>
              <w:left w:w="15" w:type="dxa"/>
              <w:bottom w:w="30" w:type="dxa"/>
              <w:right w:w="15" w:type="dxa"/>
            </w:tcMar>
            <w:vAlign w:val="bottom"/>
          </w:tcPr>
          <w:p/>
        </w:tc>
        <w:tc>
          <w:tcPr>
            <w:tcW w:w="128" w:type="dxa"/>
            <w:tcBorders>
              <w:bottom w:val="single" w:color="000000" w:sz="16"/>
            </w:tcBorders>
            <w:shd w:fill="cceeff"/>
            <w:tcMar>
              <w:top w:w="15" w:type="dxa"/>
              <w:left w:w="15" w:type="dxa"/>
              <w:bottom w:w="15" w:type="dxa"/>
              <w:right w:w="15" w:type="dxa"/>
            </w:tcMar>
            <w:vAlign w:val="bottom"/>
          </w:tcPr>
          <w:p/>
        </w:tc>
        <w:tc>
          <w:tcPr>
            <w:tcW w:w="1358"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(47,682,657 </w:t>
            </w:r>
          </w:p>
        </w:tc>
        <w:tc>
          <w:tcPr>
            <w:tcW w:w="156" w:type="dxa"/>
            <w:tcBorders/>
            <w:shd w:fill="cceeff"/>
            <w:tcMar>
              <w:top w:w="15" w:type="dxa"/>
              <w:left w:w="15" w:type="dxa"/>
              <w:bottom w:w="30" w:type="dxa"/>
              <w:right w:w="15" w:type="dxa"/>
            </w:tcMar>
            <w:vAlign w:val="bottom"/>
          </w:tcPr>
          <w:p>
            <w:pPr>
              <w:spacing w:before="0" w:after="0"/>
              <w:ind w:left="120"/>
              <w:jc w:val="left"/>
            </w:pPr>
            <w:r>
              <w:rPr>
                <w:rFonts w:ascii="Times New Roman" w:hAnsi="Times New Roman"/>
                <w:b/>
                <w:i w:val="false"/>
                <w:color w:val="000000"/>
                <w:sz w:val="20"/>
              </w:rPr>
              <w:t xml:space="preserve"> ) </w:t>
            </w:r>
          </w:p>
        </w:tc>
        <w:tc>
          <w:tcPr>
            <w:tcW w:w="128" w:type="dxa"/>
            <w:tcBorders/>
            <w:shd w:fill="cceeff"/>
            <w:tcMar>
              <w:top w:w="15" w:type="dxa"/>
              <w:left w:w="15" w:type="dxa"/>
              <w:bottom w:w="30" w:type="dxa"/>
              <w:right w:w="15" w:type="dxa"/>
            </w:tcMar>
            <w:vAlign w:val="bottom"/>
          </w:tcPr>
          <w:p/>
        </w:tc>
        <w:tc>
          <w:tcPr>
            <w:tcW w:w="128" w:type="dxa"/>
            <w:tcBorders>
              <w:bottom w:val="single" w:color="000000" w:sz="16"/>
            </w:tcBorders>
            <w:shd w:fill="cceeff"/>
            <w:tcMar>
              <w:top w:w="15" w:type="dxa"/>
              <w:left w:w="15" w:type="dxa"/>
              <w:bottom w:w="15" w:type="dxa"/>
              <w:right w:w="15" w:type="dxa"/>
            </w:tcMar>
            <w:vAlign w:val="bottom"/>
          </w:tcPr>
          <w:p/>
        </w:tc>
        <w:tc>
          <w:tcPr>
            <w:tcW w:w="1358"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(34,151,343 </w:t>
            </w:r>
          </w:p>
        </w:tc>
        <w:tc>
          <w:tcPr>
            <w:tcW w:w="156" w:type="dxa"/>
            <w:tcBorders/>
            <w:shd w:fill="cceeff"/>
            <w:tcMar>
              <w:top w:w="15" w:type="dxa"/>
              <w:left w:w="15" w:type="dxa"/>
              <w:bottom w:w="30" w:type="dxa"/>
              <w:right w:w="15" w:type="dxa"/>
            </w:tcMar>
            <w:vAlign w:val="bottom"/>
          </w:tcPr>
          <w:p>
            <w:pPr>
              <w:spacing w:before="0" w:after="0"/>
              <w:ind w:left="120"/>
              <w:jc w:val="left"/>
            </w:pPr>
            <w:r>
              <w:rPr>
                <w:rFonts w:ascii="Times New Roman" w:hAnsi="Times New Roman"/>
                <w:b/>
                <w:i w:val="false"/>
                <w:color w:val="000000"/>
                <w:sz w:val="20"/>
              </w:rPr>
              <w:t xml:space="preserve"> ) </w:t>
            </w:r>
          </w:p>
        </w:tc>
        <w:tc>
          <w:tcPr>
            <w:tcW w:w="128" w:type="dxa"/>
            <w:tcBorders/>
            <w:shd w:fill="cceeff"/>
            <w:tcMar>
              <w:top w:w="15" w:type="dxa"/>
              <w:left w:w="15" w:type="dxa"/>
              <w:bottom w:w="30" w:type="dxa"/>
              <w:right w:w="15" w:type="dxa"/>
            </w:tcMar>
            <w:vAlign w:val="bottom"/>
          </w:tcPr>
          <w:p/>
        </w:tc>
        <w:tc>
          <w:tcPr>
            <w:tcW w:w="128" w:type="dxa"/>
            <w:tcBorders>
              <w:bottom w:val="single" w:color="000000" w:sz="16"/>
            </w:tcBorders>
            <w:shd w:fill="cceeff"/>
            <w:tcMar>
              <w:top w:w="15" w:type="dxa"/>
              <w:left w:w="15" w:type="dxa"/>
              <w:bottom w:w="15" w:type="dxa"/>
              <w:right w:w="15" w:type="dxa"/>
            </w:tcMar>
            <w:vAlign w:val="bottom"/>
          </w:tcPr>
          <w:p/>
        </w:tc>
        <w:tc>
          <w:tcPr>
            <w:tcW w:w="1358"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(57,083,184 </w:t>
            </w:r>
          </w:p>
        </w:tc>
        <w:tc>
          <w:tcPr>
            <w:tcW w:w="156" w:type="dxa"/>
            <w:tcBorders/>
            <w:shd w:fill="cceeff"/>
            <w:tcMar>
              <w:top w:w="15" w:type="dxa"/>
              <w:left w:w="15" w:type="dxa"/>
              <w:bottom w:w="30" w:type="dxa"/>
              <w:right w:w="15" w:type="dxa"/>
            </w:tcMar>
            <w:vAlign w:val="bottom"/>
          </w:tcPr>
          <w:p>
            <w:pPr>
              <w:spacing w:before="0" w:after="0"/>
              <w:ind w:left="120"/>
              <w:jc w:val="left"/>
            </w:pPr>
            <w:r>
              <w:rPr>
                <w:rFonts w:ascii="Times New Roman" w:hAnsi="Times New Roman"/>
                <w:b/>
                <w:i w:val="false"/>
                <w:color w:val="000000"/>
                <w:sz w:val="20"/>
              </w:rPr>
              <w:t xml:space="preserve"> ) </w:t>
            </w:r>
          </w:p>
        </w:tc>
      </w:tr>
      <w:tr>
        <w:trPr>
          <w:trHeight w:val="210" w:hRule="atLeast"/>
        </w:trPr>
        <w:tc>
          <w:tcPr>
            <w:tcW w:w="8324" w:type="dxa"/>
            <w:tcBorders/>
            <w:tcMar>
              <w:top w:w="15" w:type="dxa"/>
              <w:left w:w="15" w:type="dxa"/>
              <w:bottom w:w="15" w:type="dxa"/>
              <w:right w:w="15" w:type="dxa"/>
            </w:tcMar>
            <w:vAlign w:val="bottom"/>
          </w:tcPr>
          <w:p>
            <w:pPr>
              <w:spacing w:before="0" w:after="0"/>
              <w:ind w:left="264"/>
              <w:jc w:val="left"/>
            </w:pPr>
            <w:r>
              <w:rPr>
                <w:rFonts w:ascii="Times New Roman" w:hAnsi="Times New Roman"/>
                <w:b w:val="false"/>
                <w:i w:val="false"/>
                <w:color w:val="000000"/>
                <w:sz w:val="20"/>
              </w:rPr>
              <w:t xml:space="preserve"> Other income </w:t>
            </w:r>
          </w:p>
        </w:tc>
        <w:tc>
          <w:tcPr>
            <w:tcW w:w="128"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358"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54,221 </w:t>
            </w:r>
          </w:p>
        </w:tc>
        <w:tc>
          <w:tcPr>
            <w:tcW w:w="156"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358"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221,748 </w:t>
            </w:r>
          </w:p>
        </w:tc>
        <w:tc>
          <w:tcPr>
            <w:tcW w:w="156"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358"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400,253 </w:t>
            </w:r>
          </w:p>
        </w:tc>
        <w:tc>
          <w:tcPr>
            <w:tcW w:w="156" w:type="dxa"/>
            <w:tcBorders/>
            <w:tcMar>
              <w:top w:w="15" w:type="dxa"/>
              <w:left w:w="15" w:type="dxa"/>
              <w:bottom w:w="15" w:type="dxa"/>
              <w:right w:w="15" w:type="dxa"/>
            </w:tcMar>
            <w:vAlign w:val="bottom"/>
          </w:tcPr>
          <w:p/>
        </w:tc>
      </w:tr>
      <w:tr>
        <w:trPr>
          <w:trHeight w:val="240" w:hRule="atLeast"/>
        </w:trPr>
        <w:tc>
          <w:tcPr>
            <w:tcW w:w="8324" w:type="dxa"/>
            <w:tcBorders/>
            <w:shd w:fill="cceeff"/>
            <w:tcMar>
              <w:top w:w="15" w:type="dxa"/>
              <w:left w:w="15" w:type="dxa"/>
              <w:bottom w:w="30" w:type="dxa"/>
              <w:right w:w="15" w:type="dxa"/>
            </w:tcMar>
            <w:vAlign w:val="bottom"/>
          </w:tcPr>
          <w:p>
            <w:pPr>
              <w:spacing w:before="0" w:after="0"/>
              <w:ind w:left="264"/>
              <w:jc w:val="left"/>
            </w:pPr>
            <w:r>
              <w:rPr>
                <w:rFonts w:ascii="Times New Roman" w:hAnsi="Times New Roman"/>
                <w:b w:val="false"/>
                <w:i w:val="false"/>
                <w:color w:val="000000"/>
                <w:sz w:val="20"/>
              </w:rPr>
              <w:t xml:space="preserve"> Other expenses </w:t>
            </w:r>
          </w:p>
        </w:tc>
        <w:tc>
          <w:tcPr>
            <w:tcW w:w="128" w:type="dxa"/>
            <w:tcBorders/>
            <w:shd w:fill="cceeff"/>
            <w:tcMar>
              <w:top w:w="15" w:type="dxa"/>
              <w:left w:w="15" w:type="dxa"/>
              <w:bottom w:w="30" w:type="dxa"/>
              <w:right w:w="15" w:type="dxa"/>
            </w:tcMar>
            <w:vAlign w:val="bottom"/>
          </w:tcPr>
          <w:p/>
        </w:tc>
        <w:tc>
          <w:tcPr>
            <w:tcW w:w="128" w:type="dxa"/>
            <w:tcBorders>
              <w:bottom w:val="single" w:color="000000" w:sz="16"/>
            </w:tcBorders>
            <w:shd w:fill="cceeff"/>
            <w:tcMar>
              <w:top w:w="15" w:type="dxa"/>
              <w:left w:w="15" w:type="dxa"/>
              <w:bottom w:w="15" w:type="dxa"/>
              <w:right w:w="15" w:type="dxa"/>
            </w:tcMar>
            <w:vAlign w:val="bottom"/>
          </w:tcPr>
          <w:p/>
        </w:tc>
        <w:tc>
          <w:tcPr>
            <w:tcW w:w="1358"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(6,381 </w:t>
            </w:r>
          </w:p>
        </w:tc>
        <w:tc>
          <w:tcPr>
            <w:tcW w:w="156" w:type="dxa"/>
            <w:tcBorders/>
            <w:shd w:fill="cceeff"/>
            <w:tcMar>
              <w:top w:w="15" w:type="dxa"/>
              <w:left w:w="15" w:type="dxa"/>
              <w:bottom w:w="30"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c>
          <w:tcPr>
            <w:tcW w:w="128" w:type="dxa"/>
            <w:tcBorders/>
            <w:shd w:fill="cceeff"/>
            <w:tcMar>
              <w:top w:w="15" w:type="dxa"/>
              <w:left w:w="15" w:type="dxa"/>
              <w:bottom w:w="30" w:type="dxa"/>
              <w:right w:w="15" w:type="dxa"/>
            </w:tcMar>
            <w:vAlign w:val="bottom"/>
          </w:tcPr>
          <w:p/>
        </w:tc>
        <w:tc>
          <w:tcPr>
            <w:tcW w:w="128" w:type="dxa"/>
            <w:tcBorders>
              <w:bottom w:val="single" w:color="000000" w:sz="16"/>
            </w:tcBorders>
            <w:shd w:fill="cceeff"/>
            <w:tcMar>
              <w:top w:w="15" w:type="dxa"/>
              <w:left w:w="15" w:type="dxa"/>
              <w:bottom w:w="15" w:type="dxa"/>
              <w:right w:w="15" w:type="dxa"/>
            </w:tcMar>
            <w:vAlign w:val="bottom"/>
          </w:tcPr>
          <w:p/>
        </w:tc>
        <w:tc>
          <w:tcPr>
            <w:tcW w:w="1358"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(13,209 </w:t>
            </w:r>
          </w:p>
        </w:tc>
        <w:tc>
          <w:tcPr>
            <w:tcW w:w="156" w:type="dxa"/>
            <w:tcBorders/>
            <w:shd w:fill="cceeff"/>
            <w:tcMar>
              <w:top w:w="15" w:type="dxa"/>
              <w:left w:w="15" w:type="dxa"/>
              <w:bottom w:w="30"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c>
          <w:tcPr>
            <w:tcW w:w="128" w:type="dxa"/>
            <w:tcBorders/>
            <w:shd w:fill="cceeff"/>
            <w:tcMar>
              <w:top w:w="15" w:type="dxa"/>
              <w:left w:w="15" w:type="dxa"/>
              <w:bottom w:w="30" w:type="dxa"/>
              <w:right w:w="15" w:type="dxa"/>
            </w:tcMar>
            <w:vAlign w:val="bottom"/>
          </w:tcPr>
          <w:p/>
        </w:tc>
        <w:tc>
          <w:tcPr>
            <w:tcW w:w="128" w:type="dxa"/>
            <w:tcBorders>
              <w:bottom w:val="single" w:color="000000" w:sz="16"/>
            </w:tcBorders>
            <w:shd w:fill="cceeff"/>
            <w:tcMar>
              <w:top w:w="15" w:type="dxa"/>
              <w:left w:w="15" w:type="dxa"/>
              <w:bottom w:w="15" w:type="dxa"/>
              <w:right w:w="15" w:type="dxa"/>
            </w:tcMar>
            <w:vAlign w:val="bottom"/>
          </w:tcPr>
          <w:p/>
        </w:tc>
        <w:tc>
          <w:tcPr>
            <w:tcW w:w="1358"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(85,242 </w:t>
            </w:r>
          </w:p>
        </w:tc>
        <w:tc>
          <w:tcPr>
            <w:tcW w:w="156" w:type="dxa"/>
            <w:tcBorders/>
            <w:shd w:fill="cceeff"/>
            <w:tcMar>
              <w:top w:w="15" w:type="dxa"/>
              <w:left w:w="15" w:type="dxa"/>
              <w:bottom w:w="30"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r>
      <w:tr>
        <w:trPr>
          <w:trHeight w:val="255" w:hRule="atLeast"/>
        </w:trPr>
        <w:tc>
          <w:tcPr>
            <w:tcW w:w="8324" w:type="dxa"/>
            <w:tcBorders/>
            <w:tcMar>
              <w:top w:w="15" w:type="dxa"/>
              <w:left w:w="15" w:type="dxa"/>
              <w:bottom w:w="30" w:type="dxa"/>
              <w:right w:w="15" w:type="dxa"/>
            </w:tcMar>
            <w:vAlign w:val="bottom"/>
          </w:tcPr>
          <w:p>
            <w:pPr>
              <w:spacing w:before="0" w:after="0"/>
              <w:ind w:left="264"/>
              <w:jc w:val="left"/>
            </w:pPr>
            <w:r>
              <w:rPr>
                <w:rFonts w:ascii="Times New Roman" w:hAnsi="Times New Roman"/>
                <w:b/>
                <w:i w:val="false"/>
                <w:color w:val="000000"/>
                <w:sz w:val="20"/>
              </w:rPr>
              <w:t xml:space="preserve"> Operating Result </w:t>
            </w:r>
          </w:p>
        </w:tc>
        <w:tc>
          <w:tcPr>
            <w:tcW w:w="128" w:type="dxa"/>
            <w:tcBorders/>
            <w:tcMar>
              <w:top w:w="15" w:type="dxa"/>
              <w:left w:w="15" w:type="dxa"/>
              <w:bottom w:w="30" w:type="dxa"/>
              <w:right w:w="15" w:type="dxa"/>
            </w:tcMar>
            <w:vAlign w:val="bottom"/>
          </w:tcPr>
          <w:p/>
        </w:tc>
        <w:tc>
          <w:tcPr>
            <w:tcW w:w="128" w:type="dxa"/>
            <w:tcBorders>
              <w:bottom w:val="single" w:color="000000" w:sz="16"/>
            </w:tcBorders>
            <w:tcMar>
              <w:top w:w="15" w:type="dxa"/>
              <w:left w:w="15" w:type="dxa"/>
              <w:bottom w:w="15" w:type="dxa"/>
              <w:right w:w="15" w:type="dxa"/>
            </w:tcMar>
            <w:vAlign w:val="bottom"/>
          </w:tcPr>
          <w:p/>
        </w:tc>
        <w:tc>
          <w:tcPr>
            <w:tcW w:w="1358"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(47,634,816 </w:t>
            </w:r>
          </w:p>
        </w:tc>
        <w:tc>
          <w:tcPr>
            <w:tcW w:w="156" w:type="dxa"/>
            <w:tcBorders/>
            <w:tcMar>
              <w:top w:w="15" w:type="dxa"/>
              <w:left w:w="15" w:type="dxa"/>
              <w:bottom w:w="30" w:type="dxa"/>
              <w:right w:w="15" w:type="dxa"/>
            </w:tcMar>
            <w:vAlign w:val="bottom"/>
          </w:tcPr>
          <w:p>
            <w:pPr>
              <w:spacing w:before="0" w:after="0"/>
              <w:ind w:left="120"/>
              <w:jc w:val="left"/>
            </w:pPr>
            <w:r>
              <w:rPr>
                <w:rFonts w:ascii="Times New Roman" w:hAnsi="Times New Roman"/>
                <w:b/>
                <w:i w:val="false"/>
                <w:color w:val="000000"/>
                <w:sz w:val="20"/>
              </w:rPr>
              <w:t xml:space="preserve"> ) </w:t>
            </w:r>
          </w:p>
        </w:tc>
        <w:tc>
          <w:tcPr>
            <w:tcW w:w="128" w:type="dxa"/>
            <w:tcBorders/>
            <w:tcMar>
              <w:top w:w="15" w:type="dxa"/>
              <w:left w:w="15" w:type="dxa"/>
              <w:bottom w:w="30" w:type="dxa"/>
              <w:right w:w="15" w:type="dxa"/>
            </w:tcMar>
            <w:vAlign w:val="bottom"/>
          </w:tcPr>
          <w:p/>
        </w:tc>
        <w:tc>
          <w:tcPr>
            <w:tcW w:w="128" w:type="dxa"/>
            <w:tcBorders>
              <w:bottom w:val="single" w:color="000000" w:sz="16"/>
            </w:tcBorders>
            <w:tcMar>
              <w:top w:w="15" w:type="dxa"/>
              <w:left w:w="15" w:type="dxa"/>
              <w:bottom w:w="15" w:type="dxa"/>
              <w:right w:w="15" w:type="dxa"/>
            </w:tcMar>
            <w:vAlign w:val="bottom"/>
          </w:tcPr>
          <w:p/>
        </w:tc>
        <w:tc>
          <w:tcPr>
            <w:tcW w:w="1358"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(33,942,804 </w:t>
            </w:r>
          </w:p>
        </w:tc>
        <w:tc>
          <w:tcPr>
            <w:tcW w:w="156" w:type="dxa"/>
            <w:tcBorders/>
            <w:tcMar>
              <w:top w:w="15" w:type="dxa"/>
              <w:left w:w="15" w:type="dxa"/>
              <w:bottom w:w="30" w:type="dxa"/>
              <w:right w:w="15" w:type="dxa"/>
            </w:tcMar>
            <w:vAlign w:val="bottom"/>
          </w:tcPr>
          <w:p>
            <w:pPr>
              <w:spacing w:before="0" w:after="0"/>
              <w:ind w:left="120"/>
              <w:jc w:val="left"/>
            </w:pPr>
            <w:r>
              <w:rPr>
                <w:rFonts w:ascii="Times New Roman" w:hAnsi="Times New Roman"/>
                <w:b/>
                <w:i w:val="false"/>
                <w:color w:val="000000"/>
                <w:sz w:val="20"/>
              </w:rPr>
              <w:t xml:space="preserve"> ) </w:t>
            </w:r>
          </w:p>
        </w:tc>
        <w:tc>
          <w:tcPr>
            <w:tcW w:w="128" w:type="dxa"/>
            <w:tcBorders/>
            <w:tcMar>
              <w:top w:w="15" w:type="dxa"/>
              <w:left w:w="15" w:type="dxa"/>
              <w:bottom w:w="30" w:type="dxa"/>
              <w:right w:w="15" w:type="dxa"/>
            </w:tcMar>
            <w:vAlign w:val="bottom"/>
          </w:tcPr>
          <w:p/>
        </w:tc>
        <w:tc>
          <w:tcPr>
            <w:tcW w:w="128" w:type="dxa"/>
            <w:tcBorders>
              <w:bottom w:val="single" w:color="000000" w:sz="16"/>
            </w:tcBorders>
            <w:tcMar>
              <w:top w:w="15" w:type="dxa"/>
              <w:left w:w="15" w:type="dxa"/>
              <w:bottom w:w="15" w:type="dxa"/>
              <w:right w:w="15" w:type="dxa"/>
            </w:tcMar>
            <w:vAlign w:val="bottom"/>
          </w:tcPr>
          <w:p/>
        </w:tc>
        <w:tc>
          <w:tcPr>
            <w:tcW w:w="1358"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(56,768,173 </w:t>
            </w:r>
          </w:p>
        </w:tc>
        <w:tc>
          <w:tcPr>
            <w:tcW w:w="156" w:type="dxa"/>
            <w:tcBorders/>
            <w:tcMar>
              <w:top w:w="15" w:type="dxa"/>
              <w:left w:w="15" w:type="dxa"/>
              <w:bottom w:w="30" w:type="dxa"/>
              <w:right w:w="15" w:type="dxa"/>
            </w:tcMar>
            <w:vAlign w:val="bottom"/>
          </w:tcPr>
          <w:p>
            <w:pPr>
              <w:spacing w:before="0" w:after="0"/>
              <w:ind w:left="120"/>
              <w:jc w:val="left"/>
            </w:pPr>
            <w:r>
              <w:rPr>
                <w:rFonts w:ascii="Times New Roman" w:hAnsi="Times New Roman"/>
                <w:b/>
                <w:i w:val="false"/>
                <w:color w:val="000000"/>
                <w:sz w:val="20"/>
              </w:rPr>
              <w:t xml:space="preserve"> ) </w:t>
            </w:r>
          </w:p>
        </w:tc>
      </w:tr>
      <w:tr>
        <w:trPr>
          <w:trHeight w:val="210" w:hRule="atLeast"/>
        </w:trPr>
        <w:tc>
          <w:tcPr>
            <w:tcW w:w="8324" w:type="dxa"/>
            <w:tcBorders/>
            <w:shd w:fill="cceeff"/>
            <w:tcMar>
              <w:top w:w="15" w:type="dxa"/>
              <w:left w:w="15" w:type="dxa"/>
              <w:bottom w:w="15" w:type="dxa"/>
              <w:right w:w="15" w:type="dxa"/>
            </w:tcMar>
            <w:vAlign w:val="bottom"/>
          </w:tcPr>
          <w:p>
            <w:pPr>
              <w:spacing w:before="0" w:after="0"/>
              <w:ind w:left="264"/>
              <w:jc w:val="left"/>
            </w:pPr>
            <w:r>
              <w:rPr>
                <w:rFonts w:ascii="Times New Roman" w:hAnsi="Times New Roman"/>
                <w:b w:val="false"/>
                <w:i w:val="false"/>
                <w:color w:val="000000"/>
                <w:sz w:val="20"/>
              </w:rPr>
              <w:t xml:space="preserve"> Finance income </w:t>
            </w:r>
          </w:p>
        </w:tc>
        <w:tc>
          <w:tcPr>
            <w:tcW w:w="128"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358"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109,391 </w:t>
            </w:r>
          </w:p>
        </w:tc>
        <w:tc>
          <w:tcPr>
            <w:tcW w:w="156"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358"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887,702 </w:t>
            </w:r>
          </w:p>
        </w:tc>
        <w:tc>
          <w:tcPr>
            <w:tcW w:w="156"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358"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2,840,676 </w:t>
            </w:r>
          </w:p>
        </w:tc>
        <w:tc>
          <w:tcPr>
            <w:tcW w:w="156" w:type="dxa"/>
            <w:tcBorders/>
            <w:shd w:fill="cceeff"/>
            <w:tcMar>
              <w:top w:w="15" w:type="dxa"/>
              <w:left w:w="15" w:type="dxa"/>
              <w:bottom w:w="15" w:type="dxa"/>
              <w:right w:w="15" w:type="dxa"/>
            </w:tcMar>
            <w:vAlign w:val="bottom"/>
          </w:tcPr>
          <w:p/>
        </w:tc>
      </w:tr>
      <w:tr>
        <w:trPr>
          <w:trHeight w:val="210" w:hRule="atLeast"/>
        </w:trPr>
        <w:tc>
          <w:tcPr>
            <w:tcW w:w="8324" w:type="dxa"/>
            <w:tcBorders/>
            <w:tcMar>
              <w:top w:w="15" w:type="dxa"/>
              <w:left w:w="15" w:type="dxa"/>
              <w:bottom w:w="15" w:type="dxa"/>
              <w:right w:w="15" w:type="dxa"/>
            </w:tcMar>
            <w:vAlign w:val="bottom"/>
          </w:tcPr>
          <w:p>
            <w:pPr>
              <w:spacing w:before="0" w:after="0"/>
              <w:ind w:left="264"/>
              <w:jc w:val="left"/>
            </w:pPr>
            <w:r>
              <w:rPr>
                <w:rFonts w:ascii="Times New Roman" w:hAnsi="Times New Roman"/>
                <w:b w:val="false"/>
                <w:i w:val="false"/>
                <w:color w:val="000000"/>
                <w:sz w:val="20"/>
              </w:rPr>
              <w:t xml:space="preserve"> Finance expenses </w:t>
            </w:r>
          </w:p>
        </w:tc>
        <w:tc>
          <w:tcPr>
            <w:tcW w:w="128"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358"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(24,769 </w:t>
            </w:r>
          </w:p>
        </w:tc>
        <w:tc>
          <w:tcPr>
            <w:tcW w:w="156" w:type="dxa"/>
            <w:tcBorders/>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c>
          <w:tcPr>
            <w:tcW w:w="128"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358"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(26,000 </w:t>
            </w:r>
          </w:p>
        </w:tc>
        <w:tc>
          <w:tcPr>
            <w:tcW w:w="156" w:type="dxa"/>
            <w:tcBorders/>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c>
          <w:tcPr>
            <w:tcW w:w="128"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358"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(22,265 </w:t>
            </w:r>
          </w:p>
        </w:tc>
        <w:tc>
          <w:tcPr>
            <w:tcW w:w="156" w:type="dxa"/>
            <w:tcBorders/>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r>
      <w:tr>
        <w:trPr>
          <w:trHeight w:val="210" w:hRule="atLeast"/>
        </w:trPr>
        <w:tc>
          <w:tcPr>
            <w:tcW w:w="8324" w:type="dxa"/>
            <w:tcBorders/>
            <w:shd w:fill="cceeff"/>
            <w:tcMar>
              <w:top w:w="15" w:type="dxa"/>
              <w:left w:w="15" w:type="dxa"/>
              <w:bottom w:w="15" w:type="dxa"/>
              <w:right w:w="15" w:type="dxa"/>
            </w:tcMar>
            <w:vAlign w:val="bottom"/>
          </w:tcPr>
          <w:p>
            <w:pPr>
              <w:spacing w:before="0" w:after="0"/>
              <w:ind w:left="264"/>
              <w:jc w:val="left"/>
            </w:pPr>
            <w:r>
              <w:rPr>
                <w:rFonts w:ascii="Times New Roman" w:hAnsi="Times New Roman"/>
                <w:b w:val="false"/>
                <w:i w:val="false"/>
                <w:color w:val="000000"/>
                <w:sz w:val="20"/>
              </w:rPr>
              <w:t xml:space="preserve"> Foreign exchange result </w:t>
            </w:r>
          </w:p>
        </w:tc>
        <w:tc>
          <w:tcPr>
            <w:tcW w:w="128"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358"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1,964,135 </w:t>
            </w:r>
          </w:p>
        </w:tc>
        <w:tc>
          <w:tcPr>
            <w:tcW w:w="156"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358"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(776,512 </w:t>
            </w:r>
          </w:p>
        </w:tc>
        <w:tc>
          <w:tcPr>
            <w:tcW w:w="156" w:type="dxa"/>
            <w:tcBorders/>
            <w:shd w:fill="cceeff"/>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c>
          <w:tcPr>
            <w:tcW w:w="128"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358"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694,944 </w:t>
            </w:r>
          </w:p>
        </w:tc>
        <w:tc>
          <w:tcPr>
            <w:tcW w:w="156" w:type="dxa"/>
            <w:tcBorders/>
            <w:shd w:fill="cceeff"/>
            <w:tcMar>
              <w:top w:w="15" w:type="dxa"/>
              <w:left w:w="15" w:type="dxa"/>
              <w:bottom w:w="15" w:type="dxa"/>
              <w:right w:w="15" w:type="dxa"/>
            </w:tcMar>
            <w:vAlign w:val="bottom"/>
          </w:tcPr>
          <w:p/>
        </w:tc>
      </w:tr>
      <w:tr>
        <w:trPr>
          <w:trHeight w:val="210" w:hRule="atLeast"/>
        </w:trPr>
        <w:tc>
          <w:tcPr>
            <w:tcW w:w="8324" w:type="dxa"/>
            <w:tcBorders/>
            <w:tcMar>
              <w:top w:w="15" w:type="dxa"/>
              <w:left w:w="15" w:type="dxa"/>
              <w:bottom w:w="15" w:type="dxa"/>
              <w:right w:w="15" w:type="dxa"/>
            </w:tcMar>
            <w:vAlign w:val="bottom"/>
          </w:tcPr>
          <w:p>
            <w:pPr>
              <w:spacing w:before="0" w:after="0"/>
              <w:ind w:left="264"/>
              <w:jc w:val="left"/>
            </w:pPr>
            <w:r>
              <w:rPr>
                <w:rFonts w:ascii="Times New Roman" w:hAnsi="Times New Roman"/>
                <w:b w:val="false"/>
                <w:i w:val="false"/>
                <w:color w:val="000000"/>
                <w:sz w:val="20"/>
              </w:rPr>
              <w:t xml:space="preserve"> Other financial result </w:t>
            </w:r>
          </w:p>
        </w:tc>
        <w:tc>
          <w:tcPr>
            <w:tcW w:w="128"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358"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(44,000 </w:t>
            </w:r>
          </w:p>
        </w:tc>
        <w:tc>
          <w:tcPr>
            <w:tcW w:w="156" w:type="dxa"/>
            <w:tcBorders/>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c>
          <w:tcPr>
            <w:tcW w:w="128"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358"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(126,000 </w:t>
            </w:r>
          </w:p>
        </w:tc>
        <w:tc>
          <w:tcPr>
            <w:tcW w:w="156" w:type="dxa"/>
            <w:tcBorders/>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c>
          <w:tcPr>
            <w:tcW w:w="128"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358"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56" w:type="dxa"/>
            <w:tcBorders/>
            <w:tcMar>
              <w:top w:w="15" w:type="dxa"/>
              <w:left w:w="15" w:type="dxa"/>
              <w:bottom w:w="15" w:type="dxa"/>
              <w:right w:w="15" w:type="dxa"/>
            </w:tcMar>
            <w:vAlign w:val="bottom"/>
          </w:tcPr>
          <w:p/>
        </w:tc>
      </w:tr>
      <w:tr>
        <w:trPr>
          <w:trHeight w:val="255" w:hRule="atLeast"/>
        </w:trPr>
        <w:tc>
          <w:tcPr>
            <w:tcW w:w="8324" w:type="dxa"/>
            <w:tcBorders/>
            <w:shd w:fill="cceeff"/>
            <w:tcMar>
              <w:top w:w="15" w:type="dxa"/>
              <w:left w:w="15" w:type="dxa"/>
              <w:bottom w:w="30" w:type="dxa"/>
              <w:right w:w="15" w:type="dxa"/>
            </w:tcMar>
            <w:vAlign w:val="bottom"/>
          </w:tcPr>
          <w:p>
            <w:pPr>
              <w:spacing w:before="0" w:after="0"/>
              <w:ind w:left="264"/>
              <w:jc w:val="left"/>
            </w:pPr>
            <w:r>
              <w:rPr>
                <w:rFonts w:ascii="Times New Roman" w:hAnsi="Times New Roman"/>
                <w:b/>
                <w:i w:val="false"/>
                <w:color w:val="000000"/>
                <w:sz w:val="20"/>
              </w:rPr>
              <w:t xml:space="preserve"> Income Taxes </w:t>
            </w:r>
          </w:p>
        </w:tc>
        <w:tc>
          <w:tcPr>
            <w:tcW w:w="128" w:type="dxa"/>
            <w:tcBorders/>
            <w:shd w:fill="cceeff"/>
            <w:tcMar>
              <w:top w:w="15" w:type="dxa"/>
              <w:left w:w="15" w:type="dxa"/>
              <w:bottom w:w="30" w:type="dxa"/>
              <w:right w:w="15" w:type="dxa"/>
            </w:tcMar>
            <w:vAlign w:val="bottom"/>
          </w:tcPr>
          <w:p/>
        </w:tc>
        <w:tc>
          <w:tcPr>
            <w:tcW w:w="128" w:type="dxa"/>
            <w:tcBorders>
              <w:bottom w:val="single" w:color="000000" w:sz="16"/>
            </w:tcBorders>
            <w:shd w:fill="cceeff"/>
            <w:tcMar>
              <w:top w:w="15" w:type="dxa"/>
              <w:left w:w="15" w:type="dxa"/>
              <w:bottom w:w="15" w:type="dxa"/>
              <w:right w:w="15" w:type="dxa"/>
            </w:tcMar>
            <w:vAlign w:val="bottom"/>
          </w:tcPr>
          <w:p/>
        </w:tc>
        <w:tc>
          <w:tcPr>
            <w:tcW w:w="1358"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56" w:type="dxa"/>
            <w:tcBorders/>
            <w:shd w:fill="cceeff"/>
            <w:tcMar>
              <w:top w:w="15" w:type="dxa"/>
              <w:left w:w="15" w:type="dxa"/>
              <w:bottom w:w="30" w:type="dxa"/>
              <w:right w:w="15" w:type="dxa"/>
            </w:tcMar>
            <w:vAlign w:val="bottom"/>
          </w:tcPr>
          <w:p/>
        </w:tc>
        <w:tc>
          <w:tcPr>
            <w:tcW w:w="128" w:type="dxa"/>
            <w:tcBorders/>
            <w:shd w:fill="cceeff"/>
            <w:tcMar>
              <w:top w:w="15" w:type="dxa"/>
              <w:left w:w="15" w:type="dxa"/>
              <w:bottom w:w="30" w:type="dxa"/>
              <w:right w:w="15" w:type="dxa"/>
            </w:tcMar>
            <w:vAlign w:val="bottom"/>
          </w:tcPr>
          <w:p/>
        </w:tc>
        <w:tc>
          <w:tcPr>
            <w:tcW w:w="128" w:type="dxa"/>
            <w:tcBorders>
              <w:bottom w:val="single" w:color="000000" w:sz="16"/>
            </w:tcBorders>
            <w:shd w:fill="cceeff"/>
            <w:tcMar>
              <w:top w:w="15" w:type="dxa"/>
              <w:left w:w="15" w:type="dxa"/>
              <w:bottom w:w="15" w:type="dxa"/>
              <w:right w:w="15" w:type="dxa"/>
            </w:tcMar>
            <w:vAlign w:val="bottom"/>
          </w:tcPr>
          <w:p/>
        </w:tc>
        <w:tc>
          <w:tcPr>
            <w:tcW w:w="1358"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56" w:type="dxa"/>
            <w:tcBorders/>
            <w:shd w:fill="cceeff"/>
            <w:tcMar>
              <w:top w:w="15" w:type="dxa"/>
              <w:left w:w="15" w:type="dxa"/>
              <w:bottom w:w="30" w:type="dxa"/>
              <w:right w:w="15" w:type="dxa"/>
            </w:tcMar>
            <w:vAlign w:val="bottom"/>
          </w:tcPr>
          <w:p/>
        </w:tc>
        <w:tc>
          <w:tcPr>
            <w:tcW w:w="128" w:type="dxa"/>
            <w:tcBorders/>
            <w:shd w:fill="cceeff"/>
            <w:tcMar>
              <w:top w:w="15" w:type="dxa"/>
              <w:left w:w="15" w:type="dxa"/>
              <w:bottom w:w="30" w:type="dxa"/>
              <w:right w:w="15" w:type="dxa"/>
            </w:tcMar>
            <w:vAlign w:val="bottom"/>
          </w:tcPr>
          <w:p/>
        </w:tc>
        <w:tc>
          <w:tcPr>
            <w:tcW w:w="128" w:type="dxa"/>
            <w:tcBorders>
              <w:bottom w:val="single" w:color="000000" w:sz="16"/>
            </w:tcBorders>
            <w:shd w:fill="cceeff"/>
            <w:tcMar>
              <w:top w:w="15" w:type="dxa"/>
              <w:left w:w="15" w:type="dxa"/>
              <w:bottom w:w="15" w:type="dxa"/>
              <w:right w:w="15" w:type="dxa"/>
            </w:tcMar>
            <w:vAlign w:val="bottom"/>
          </w:tcPr>
          <w:p/>
        </w:tc>
        <w:tc>
          <w:tcPr>
            <w:tcW w:w="1358"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56" w:type="dxa"/>
            <w:tcBorders/>
            <w:shd w:fill="cceeff"/>
            <w:tcMar>
              <w:top w:w="15" w:type="dxa"/>
              <w:left w:w="15" w:type="dxa"/>
              <w:bottom w:w="30" w:type="dxa"/>
              <w:right w:w="15" w:type="dxa"/>
            </w:tcMar>
            <w:vAlign w:val="bottom"/>
          </w:tcPr>
          <w:p/>
        </w:tc>
      </w:tr>
      <w:tr>
        <w:trPr>
          <w:trHeight w:val="255" w:hRule="atLeast"/>
        </w:trPr>
        <w:tc>
          <w:tcPr>
            <w:tcW w:w="8324" w:type="dxa"/>
            <w:tcBorders/>
            <w:tcMar>
              <w:top w:w="15" w:type="dxa"/>
              <w:left w:w="15" w:type="dxa"/>
              <w:bottom w:w="30" w:type="dxa"/>
              <w:right w:w="15" w:type="dxa"/>
            </w:tcMar>
            <w:vAlign w:val="bottom"/>
          </w:tcPr>
          <w:p>
            <w:pPr>
              <w:spacing w:before="0" w:after="0"/>
              <w:ind w:left="264"/>
              <w:jc w:val="left"/>
            </w:pPr>
            <w:r>
              <w:rPr>
                <w:rFonts w:ascii="Times New Roman" w:hAnsi="Times New Roman"/>
                <w:b/>
                <w:i w:val="false"/>
                <w:color w:val="000000"/>
                <w:sz w:val="20"/>
              </w:rPr>
              <w:t xml:space="preserve"> Loss for the Period </w:t>
            </w:r>
          </w:p>
        </w:tc>
        <w:tc>
          <w:tcPr>
            <w:tcW w:w="128" w:type="dxa"/>
            <w:tcBorders/>
            <w:tcMar>
              <w:top w:w="15" w:type="dxa"/>
              <w:left w:w="15" w:type="dxa"/>
              <w:bottom w:w="30" w:type="dxa"/>
              <w:right w:w="15" w:type="dxa"/>
            </w:tcMar>
            <w:vAlign w:val="bottom"/>
          </w:tcPr>
          <w:p/>
        </w:tc>
        <w:tc>
          <w:tcPr>
            <w:tcW w:w="128" w:type="dxa"/>
            <w:tcBorders>
              <w:bottom w:val="single" w:color="000000" w:sz="16"/>
            </w:tcBorders>
            <w:tcMar>
              <w:top w:w="15" w:type="dxa"/>
              <w:left w:w="15" w:type="dxa"/>
              <w:bottom w:w="15" w:type="dxa"/>
              <w:right w:w="15" w:type="dxa"/>
            </w:tcMar>
            <w:vAlign w:val="bottom"/>
          </w:tcPr>
          <w:p/>
        </w:tc>
        <w:tc>
          <w:tcPr>
            <w:tcW w:w="1358"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(45,630,059 </w:t>
            </w:r>
          </w:p>
        </w:tc>
        <w:tc>
          <w:tcPr>
            <w:tcW w:w="156" w:type="dxa"/>
            <w:tcBorders/>
            <w:tcMar>
              <w:top w:w="15" w:type="dxa"/>
              <w:left w:w="15" w:type="dxa"/>
              <w:bottom w:w="30" w:type="dxa"/>
              <w:right w:w="15" w:type="dxa"/>
            </w:tcMar>
            <w:vAlign w:val="bottom"/>
          </w:tcPr>
          <w:p>
            <w:pPr>
              <w:spacing w:before="0" w:after="0"/>
              <w:ind w:left="120"/>
              <w:jc w:val="left"/>
            </w:pPr>
            <w:r>
              <w:rPr>
                <w:rFonts w:ascii="Times New Roman" w:hAnsi="Times New Roman"/>
                <w:b/>
                <w:i w:val="false"/>
                <w:color w:val="000000"/>
                <w:sz w:val="20"/>
              </w:rPr>
              <w:t xml:space="preserve"> ) </w:t>
            </w:r>
          </w:p>
        </w:tc>
        <w:tc>
          <w:tcPr>
            <w:tcW w:w="128" w:type="dxa"/>
            <w:tcBorders/>
            <w:tcMar>
              <w:top w:w="15" w:type="dxa"/>
              <w:left w:w="15" w:type="dxa"/>
              <w:bottom w:w="30" w:type="dxa"/>
              <w:right w:w="15" w:type="dxa"/>
            </w:tcMar>
            <w:vAlign w:val="bottom"/>
          </w:tcPr>
          <w:p/>
        </w:tc>
        <w:tc>
          <w:tcPr>
            <w:tcW w:w="128" w:type="dxa"/>
            <w:tcBorders>
              <w:bottom w:val="single" w:color="000000" w:sz="16"/>
            </w:tcBorders>
            <w:tcMar>
              <w:top w:w="15" w:type="dxa"/>
              <w:left w:w="15" w:type="dxa"/>
              <w:bottom w:w="15" w:type="dxa"/>
              <w:right w:w="15" w:type="dxa"/>
            </w:tcMar>
            <w:vAlign w:val="bottom"/>
          </w:tcPr>
          <w:p/>
        </w:tc>
        <w:tc>
          <w:tcPr>
            <w:tcW w:w="1358"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(33,983,614 </w:t>
            </w:r>
          </w:p>
        </w:tc>
        <w:tc>
          <w:tcPr>
            <w:tcW w:w="156" w:type="dxa"/>
            <w:tcBorders/>
            <w:tcMar>
              <w:top w:w="15" w:type="dxa"/>
              <w:left w:w="15" w:type="dxa"/>
              <w:bottom w:w="30" w:type="dxa"/>
              <w:right w:w="15" w:type="dxa"/>
            </w:tcMar>
            <w:vAlign w:val="bottom"/>
          </w:tcPr>
          <w:p>
            <w:pPr>
              <w:spacing w:before="0" w:after="0"/>
              <w:ind w:left="120"/>
              <w:jc w:val="left"/>
            </w:pPr>
            <w:r>
              <w:rPr>
                <w:rFonts w:ascii="Times New Roman" w:hAnsi="Times New Roman"/>
                <w:b/>
                <w:i w:val="false"/>
                <w:color w:val="000000"/>
                <w:sz w:val="20"/>
              </w:rPr>
              <w:t xml:space="preserve"> ) </w:t>
            </w:r>
          </w:p>
        </w:tc>
        <w:tc>
          <w:tcPr>
            <w:tcW w:w="128" w:type="dxa"/>
            <w:tcBorders/>
            <w:tcMar>
              <w:top w:w="15" w:type="dxa"/>
              <w:left w:w="15" w:type="dxa"/>
              <w:bottom w:w="30" w:type="dxa"/>
              <w:right w:w="15" w:type="dxa"/>
            </w:tcMar>
            <w:vAlign w:val="bottom"/>
          </w:tcPr>
          <w:p/>
        </w:tc>
        <w:tc>
          <w:tcPr>
            <w:tcW w:w="128" w:type="dxa"/>
            <w:tcBorders>
              <w:bottom w:val="single" w:color="000000" w:sz="16"/>
            </w:tcBorders>
            <w:tcMar>
              <w:top w:w="15" w:type="dxa"/>
              <w:left w:w="15" w:type="dxa"/>
              <w:bottom w:w="15" w:type="dxa"/>
              <w:right w:w="15" w:type="dxa"/>
            </w:tcMar>
            <w:vAlign w:val="bottom"/>
          </w:tcPr>
          <w:p/>
        </w:tc>
        <w:tc>
          <w:tcPr>
            <w:tcW w:w="1358"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(53,254,817 </w:t>
            </w:r>
          </w:p>
        </w:tc>
        <w:tc>
          <w:tcPr>
            <w:tcW w:w="156" w:type="dxa"/>
            <w:tcBorders/>
            <w:tcMar>
              <w:top w:w="15" w:type="dxa"/>
              <w:left w:w="15" w:type="dxa"/>
              <w:bottom w:w="30" w:type="dxa"/>
              <w:right w:w="15" w:type="dxa"/>
            </w:tcMar>
            <w:vAlign w:val="bottom"/>
          </w:tcPr>
          <w:p>
            <w:pPr>
              <w:spacing w:before="0" w:after="0"/>
              <w:ind w:left="120"/>
              <w:jc w:val="left"/>
            </w:pPr>
            <w:r>
              <w:rPr>
                <w:rFonts w:ascii="Times New Roman" w:hAnsi="Times New Roman"/>
                <w:b/>
                <w:i w:val="false"/>
                <w:color w:val="000000"/>
                <w:sz w:val="20"/>
              </w:rPr>
              <w:t xml:space="preserve"> ) </w:t>
            </w:r>
          </w:p>
        </w:tc>
      </w:tr>
      <w:tr>
        <w:trPr/>
        <w:tc>
          <w:tcPr>
            <w:tcW w:w="8324"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358" w:type="dxa"/>
            <w:tcBorders/>
            <w:shd w:fill="cceeff"/>
            <w:tcMar>
              <w:top w:w="15" w:type="dxa"/>
              <w:left w:w="15" w:type="dxa"/>
              <w:bottom w:w="15" w:type="dxa"/>
              <w:right w:w="15" w:type="dxa"/>
            </w:tcMar>
            <w:vAlign w:val="bottom"/>
          </w:tcPr>
          <w:p/>
        </w:tc>
        <w:tc>
          <w:tcPr>
            <w:tcW w:w="156"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358" w:type="dxa"/>
            <w:tcBorders/>
            <w:shd w:fill="cceeff"/>
            <w:tcMar>
              <w:top w:w="15" w:type="dxa"/>
              <w:left w:w="15" w:type="dxa"/>
              <w:bottom w:w="15" w:type="dxa"/>
              <w:right w:w="15" w:type="dxa"/>
            </w:tcMar>
            <w:vAlign w:val="bottom"/>
          </w:tcPr>
          <w:p/>
        </w:tc>
        <w:tc>
          <w:tcPr>
            <w:tcW w:w="156"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358" w:type="dxa"/>
            <w:tcBorders/>
            <w:shd w:fill="cceeff"/>
            <w:tcMar>
              <w:top w:w="15" w:type="dxa"/>
              <w:left w:w="15" w:type="dxa"/>
              <w:bottom w:w="15" w:type="dxa"/>
              <w:right w:w="15" w:type="dxa"/>
            </w:tcMar>
            <w:vAlign w:val="bottom"/>
          </w:tcPr>
          <w:p/>
        </w:tc>
        <w:tc>
          <w:tcPr>
            <w:tcW w:w="156" w:type="dxa"/>
            <w:tcBorders/>
            <w:shd w:fill="cceeff"/>
            <w:tcMar>
              <w:top w:w="15" w:type="dxa"/>
              <w:left w:w="15" w:type="dxa"/>
              <w:bottom w:w="15" w:type="dxa"/>
              <w:right w:w="15" w:type="dxa"/>
            </w:tcMar>
            <w:vAlign w:val="bottom"/>
          </w:tcPr>
          <w:p/>
        </w:tc>
      </w:tr>
      <w:tr>
        <w:trPr>
          <w:trHeight w:val="225" w:hRule="atLeast"/>
        </w:trPr>
        <w:tc>
          <w:tcPr>
            <w:tcW w:w="8324" w:type="dxa"/>
            <w:tcBorders/>
            <w:tcMar>
              <w:top w:w="15" w:type="dxa"/>
              <w:left w:w="15" w:type="dxa"/>
              <w:bottom w:w="15" w:type="dxa"/>
              <w:right w:w="15" w:type="dxa"/>
            </w:tcMar>
            <w:vAlign w:val="bottom"/>
          </w:tcPr>
          <w:p>
            <w:pPr>
              <w:spacing w:before="0" w:after="0"/>
              <w:ind w:left="264"/>
              <w:jc w:val="left"/>
            </w:pPr>
            <w:r>
              <w:rPr>
                <w:rFonts w:ascii="Times New Roman" w:hAnsi="Times New Roman"/>
                <w:b/>
                <w:i w:val="false"/>
                <w:color w:val="000000"/>
                <w:sz w:val="20"/>
              </w:rPr>
              <w:t xml:space="preserve"> Share Information </w:t>
            </w:r>
          </w:p>
        </w:tc>
        <w:tc>
          <w:tcPr>
            <w:tcW w:w="128"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358" w:type="dxa"/>
            <w:tcBorders/>
            <w:tcMar>
              <w:top w:w="15" w:type="dxa"/>
              <w:left w:w="15" w:type="dxa"/>
              <w:bottom w:w="15" w:type="dxa"/>
              <w:right w:w="15" w:type="dxa"/>
            </w:tcMar>
            <w:vAlign w:val="bottom"/>
          </w:tcPr>
          <w:p/>
        </w:tc>
        <w:tc>
          <w:tcPr>
            <w:tcW w:w="156"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358" w:type="dxa"/>
            <w:tcBorders/>
            <w:tcMar>
              <w:top w:w="15" w:type="dxa"/>
              <w:left w:w="15" w:type="dxa"/>
              <w:bottom w:w="15" w:type="dxa"/>
              <w:right w:w="15" w:type="dxa"/>
            </w:tcMar>
            <w:vAlign w:val="bottom"/>
          </w:tcPr>
          <w:p/>
        </w:tc>
        <w:tc>
          <w:tcPr>
            <w:tcW w:w="156"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358" w:type="dxa"/>
            <w:tcBorders/>
            <w:tcMar>
              <w:top w:w="15" w:type="dxa"/>
              <w:left w:w="15" w:type="dxa"/>
              <w:bottom w:w="15" w:type="dxa"/>
              <w:right w:w="15" w:type="dxa"/>
            </w:tcMar>
            <w:vAlign w:val="bottom"/>
          </w:tcPr>
          <w:p/>
        </w:tc>
        <w:tc>
          <w:tcPr>
            <w:tcW w:w="156" w:type="dxa"/>
            <w:tcBorders/>
            <w:tcMar>
              <w:top w:w="15" w:type="dxa"/>
              <w:left w:w="15" w:type="dxa"/>
              <w:bottom w:w="15" w:type="dxa"/>
              <w:right w:w="15" w:type="dxa"/>
            </w:tcMar>
            <w:vAlign w:val="bottom"/>
          </w:tcPr>
          <w:p/>
        </w:tc>
      </w:tr>
      <w:tr>
        <w:trPr>
          <w:trHeight w:val="210" w:hRule="atLeast"/>
        </w:trPr>
        <w:tc>
          <w:tcPr>
            <w:tcW w:w="8324" w:type="dxa"/>
            <w:tcBorders/>
            <w:shd w:fill="cceeff"/>
            <w:tcMar>
              <w:top w:w="15" w:type="dxa"/>
              <w:left w:w="15" w:type="dxa"/>
              <w:bottom w:w="15" w:type="dxa"/>
              <w:right w:w="15" w:type="dxa"/>
            </w:tcMar>
            <w:vAlign w:val="bottom"/>
          </w:tcPr>
          <w:p>
            <w:pPr>
              <w:spacing w:before="0" w:after="0"/>
              <w:ind w:left="264"/>
              <w:jc w:val="left"/>
            </w:pPr>
            <w:r>
              <w:rPr>
                <w:rFonts w:ascii="Times New Roman" w:hAnsi="Times New Roman"/>
                <w:b w:val="false"/>
                <w:i w:val="false"/>
                <w:color w:val="000000"/>
                <w:sz w:val="20"/>
              </w:rPr>
              <w:t xml:space="preserve"> Weighted average number of shares outstanding </w:t>
            </w:r>
          </w:p>
        </w:tc>
        <w:tc>
          <w:tcPr>
            <w:tcW w:w="128"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358"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41,629,974 </w:t>
            </w:r>
          </w:p>
        </w:tc>
        <w:tc>
          <w:tcPr>
            <w:tcW w:w="156"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358"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27,064,902 </w:t>
            </w:r>
          </w:p>
        </w:tc>
        <w:tc>
          <w:tcPr>
            <w:tcW w:w="156"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358"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26,004,519 </w:t>
            </w:r>
          </w:p>
        </w:tc>
        <w:tc>
          <w:tcPr>
            <w:tcW w:w="156" w:type="dxa"/>
            <w:tcBorders/>
            <w:shd w:fill="cceeff"/>
            <w:tcMar>
              <w:top w:w="15" w:type="dxa"/>
              <w:left w:w="15" w:type="dxa"/>
              <w:bottom w:w="15" w:type="dxa"/>
              <w:right w:w="15" w:type="dxa"/>
            </w:tcMar>
            <w:vAlign w:val="bottom"/>
          </w:tcPr>
          <w:p/>
        </w:tc>
      </w:tr>
      <w:tr>
        <w:trPr>
          <w:trHeight w:val="210" w:hRule="atLeast"/>
        </w:trPr>
        <w:tc>
          <w:tcPr>
            <w:tcW w:w="8324" w:type="dxa"/>
            <w:tcBorders/>
            <w:tcMar>
              <w:top w:w="15" w:type="dxa"/>
              <w:left w:w="15" w:type="dxa"/>
              <w:bottom w:w="15" w:type="dxa"/>
              <w:right w:w="15" w:type="dxa"/>
            </w:tcMar>
            <w:vAlign w:val="bottom"/>
          </w:tcPr>
          <w:p>
            <w:pPr>
              <w:spacing w:before="0" w:after="0"/>
              <w:ind w:left="264"/>
              <w:jc w:val="left"/>
            </w:pPr>
            <w:r>
              <w:rPr>
                <w:rFonts w:ascii="Times New Roman" w:hAnsi="Times New Roman"/>
                <w:b w:val="false"/>
                <w:i w:val="false"/>
                <w:color w:val="000000"/>
                <w:sz w:val="20"/>
              </w:rPr>
              <w:t xml:space="preserve"> Loss per share (basic/diluted) </w:t>
            </w:r>
          </w:p>
        </w:tc>
        <w:tc>
          <w:tcPr>
            <w:tcW w:w="128"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358"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(1.10 </w:t>
            </w:r>
          </w:p>
        </w:tc>
        <w:tc>
          <w:tcPr>
            <w:tcW w:w="156" w:type="dxa"/>
            <w:tcBorders/>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c>
          <w:tcPr>
            <w:tcW w:w="128"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358"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(1.26 </w:t>
            </w:r>
          </w:p>
        </w:tc>
        <w:tc>
          <w:tcPr>
            <w:tcW w:w="156" w:type="dxa"/>
            <w:tcBorders/>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c>
          <w:tcPr>
            <w:tcW w:w="128"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358"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(2.05 </w:t>
            </w:r>
          </w:p>
        </w:tc>
        <w:tc>
          <w:tcPr>
            <w:tcW w:w="156" w:type="dxa"/>
            <w:tcBorders/>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r>
      <w:tr>
        <w:trPr>
          <w:trHeight w:val="30" w:hRule="atLeast"/>
        </w:trPr>
        <w:tc>
          <w:tcPr>
            <w:tcW w:w="8324" w:type="dxa"/>
            <w:tcBorders/>
            <w:shd w:fill="cceeff"/>
            <w:tcMar>
              <w:top w:w="15" w:type="dxa"/>
              <w:left w:w="15" w:type="dxa"/>
              <w:bottom w:w="30" w:type="dxa"/>
              <w:right w:w="15" w:type="dxa"/>
            </w:tcMar>
            <w:vAlign w:val="bottom"/>
          </w:tcPr>
          <w:p/>
        </w:tc>
        <w:tc>
          <w:tcPr>
            <w:tcW w:w="128" w:type="dxa"/>
            <w:tcBorders/>
            <w:shd w:fill="cceeff"/>
            <w:tcMar>
              <w:top w:w="15" w:type="dxa"/>
              <w:left w:w="15" w:type="dxa"/>
              <w:bottom w:w="30" w:type="dxa"/>
              <w:right w:w="15" w:type="dxa"/>
            </w:tcMar>
            <w:vAlign w:val="bottom"/>
          </w:tcPr>
          <w:p/>
        </w:tc>
        <w:tc>
          <w:tcPr>
            <w:tcW w:w="128" w:type="dxa"/>
            <w:tcBorders>
              <w:bottom w:val="single" w:color="000000" w:sz="16"/>
            </w:tcBorders>
            <w:shd w:fill="cceeff"/>
            <w:tcMar>
              <w:top w:w="15" w:type="dxa"/>
              <w:left w:w="15" w:type="dxa"/>
              <w:bottom w:w="15" w:type="dxa"/>
              <w:right w:w="15" w:type="dxa"/>
            </w:tcMar>
            <w:vAlign w:val="bottom"/>
          </w:tcPr>
          <w:p/>
        </w:tc>
        <w:tc>
          <w:tcPr>
            <w:tcW w:w="1358" w:type="dxa"/>
            <w:tcBorders>
              <w:bottom w:val="single" w:color="000000" w:sz="16"/>
            </w:tcBorders>
            <w:shd w:fill="cceeff"/>
            <w:tcMar>
              <w:top w:w="15" w:type="dxa"/>
              <w:left w:w="15" w:type="dxa"/>
              <w:bottom w:w="15" w:type="dxa"/>
              <w:right w:w="15" w:type="dxa"/>
            </w:tcMar>
            <w:vAlign w:val="bottom"/>
          </w:tcPr>
          <w:p/>
        </w:tc>
        <w:tc>
          <w:tcPr>
            <w:tcW w:w="156" w:type="dxa"/>
            <w:tcBorders/>
            <w:shd w:fill="cceeff"/>
            <w:tcMar>
              <w:top w:w="15" w:type="dxa"/>
              <w:left w:w="15" w:type="dxa"/>
              <w:bottom w:w="30" w:type="dxa"/>
              <w:right w:w="15" w:type="dxa"/>
            </w:tcMar>
            <w:vAlign w:val="bottom"/>
          </w:tcPr>
          <w:p/>
        </w:tc>
        <w:tc>
          <w:tcPr>
            <w:tcW w:w="128" w:type="dxa"/>
            <w:tcBorders/>
            <w:shd w:fill="cceeff"/>
            <w:tcMar>
              <w:top w:w="15" w:type="dxa"/>
              <w:left w:w="15" w:type="dxa"/>
              <w:bottom w:w="30" w:type="dxa"/>
              <w:right w:w="15" w:type="dxa"/>
            </w:tcMar>
            <w:vAlign w:val="bottom"/>
          </w:tcPr>
          <w:p/>
        </w:tc>
        <w:tc>
          <w:tcPr>
            <w:tcW w:w="128" w:type="dxa"/>
            <w:tcBorders>
              <w:bottom w:val="single" w:color="000000" w:sz="16"/>
            </w:tcBorders>
            <w:shd w:fill="cceeff"/>
            <w:tcMar>
              <w:top w:w="15" w:type="dxa"/>
              <w:left w:w="15" w:type="dxa"/>
              <w:bottom w:w="15" w:type="dxa"/>
              <w:right w:w="15" w:type="dxa"/>
            </w:tcMar>
            <w:vAlign w:val="bottom"/>
          </w:tcPr>
          <w:p/>
        </w:tc>
        <w:tc>
          <w:tcPr>
            <w:tcW w:w="1358" w:type="dxa"/>
            <w:tcBorders>
              <w:bottom w:val="single" w:color="000000" w:sz="16"/>
            </w:tcBorders>
            <w:shd w:fill="cceeff"/>
            <w:tcMar>
              <w:top w:w="15" w:type="dxa"/>
              <w:left w:w="15" w:type="dxa"/>
              <w:bottom w:w="15" w:type="dxa"/>
              <w:right w:w="15" w:type="dxa"/>
            </w:tcMar>
            <w:vAlign w:val="bottom"/>
          </w:tcPr>
          <w:p/>
        </w:tc>
        <w:tc>
          <w:tcPr>
            <w:tcW w:w="156" w:type="dxa"/>
            <w:tcBorders/>
            <w:shd w:fill="cceeff"/>
            <w:tcMar>
              <w:top w:w="15" w:type="dxa"/>
              <w:left w:w="15" w:type="dxa"/>
              <w:bottom w:w="30" w:type="dxa"/>
              <w:right w:w="15" w:type="dxa"/>
            </w:tcMar>
            <w:vAlign w:val="bottom"/>
          </w:tcPr>
          <w:p/>
        </w:tc>
        <w:tc>
          <w:tcPr>
            <w:tcW w:w="128" w:type="dxa"/>
            <w:tcBorders/>
            <w:shd w:fill="cceeff"/>
            <w:tcMar>
              <w:top w:w="15" w:type="dxa"/>
              <w:left w:w="15" w:type="dxa"/>
              <w:bottom w:w="30" w:type="dxa"/>
              <w:right w:w="15" w:type="dxa"/>
            </w:tcMar>
            <w:vAlign w:val="bottom"/>
          </w:tcPr>
          <w:p/>
        </w:tc>
        <w:tc>
          <w:tcPr>
            <w:tcW w:w="128" w:type="dxa"/>
            <w:tcBorders>
              <w:bottom w:val="single" w:color="000000" w:sz="16"/>
            </w:tcBorders>
            <w:shd w:fill="cceeff"/>
            <w:tcMar>
              <w:top w:w="15" w:type="dxa"/>
              <w:left w:w="15" w:type="dxa"/>
              <w:bottom w:w="15" w:type="dxa"/>
              <w:right w:w="15" w:type="dxa"/>
            </w:tcMar>
            <w:vAlign w:val="bottom"/>
          </w:tcPr>
          <w:p/>
        </w:tc>
        <w:tc>
          <w:tcPr>
            <w:tcW w:w="1358" w:type="dxa"/>
            <w:tcBorders>
              <w:bottom w:val="single" w:color="000000" w:sz="16"/>
            </w:tcBorders>
            <w:shd w:fill="cceeff"/>
            <w:tcMar>
              <w:top w:w="15" w:type="dxa"/>
              <w:left w:w="15" w:type="dxa"/>
              <w:bottom w:w="15" w:type="dxa"/>
              <w:right w:w="15" w:type="dxa"/>
            </w:tcMar>
            <w:vAlign w:val="bottom"/>
          </w:tcPr>
          <w:p/>
        </w:tc>
        <w:tc>
          <w:tcPr>
            <w:tcW w:w="156" w:type="dxa"/>
            <w:tcBorders/>
            <w:shd w:fill="cceeff"/>
            <w:tcMar>
              <w:top w:w="15" w:type="dxa"/>
              <w:left w:w="15" w:type="dxa"/>
              <w:bottom w:w="30" w:type="dxa"/>
              <w:right w:w="15" w:type="dxa"/>
            </w:tcMar>
            <w:vAlign w:val="bottom"/>
          </w:tcPr>
          <w:p/>
        </w:tc>
      </w:tr>
      <w:tr>
        <w:trPr>
          <w:trHeight w:val="255" w:hRule="atLeast"/>
        </w:trPr>
        <w:tc>
          <w:tcPr>
            <w:tcW w:w="8324" w:type="dxa"/>
            <w:tcBorders/>
            <w:tcMar>
              <w:top w:w="15" w:type="dxa"/>
              <w:left w:w="15" w:type="dxa"/>
              <w:bottom w:w="30" w:type="dxa"/>
              <w:right w:w="15" w:type="dxa"/>
            </w:tcMar>
            <w:vAlign w:val="bottom"/>
          </w:tcPr>
          <w:p>
            <w:pPr>
              <w:spacing w:before="0" w:after="0"/>
              <w:ind w:left="264"/>
              <w:jc w:val="left"/>
            </w:pPr>
            <w:r>
              <w:rPr>
                <w:rFonts w:ascii="Times New Roman" w:hAnsi="Times New Roman"/>
                <w:b/>
                <w:i w:val="false"/>
                <w:color w:val="000000"/>
                <w:sz w:val="20"/>
              </w:rPr>
              <w:t xml:space="preserve"> Loss for the Period </w:t>
            </w:r>
          </w:p>
        </w:tc>
        <w:tc>
          <w:tcPr>
            <w:tcW w:w="128" w:type="dxa"/>
            <w:tcBorders/>
            <w:tcMar>
              <w:top w:w="15" w:type="dxa"/>
              <w:left w:w="15" w:type="dxa"/>
              <w:bottom w:w="30" w:type="dxa"/>
              <w:right w:w="15" w:type="dxa"/>
            </w:tcMar>
            <w:vAlign w:val="bottom"/>
          </w:tcPr>
          <w:p/>
        </w:tc>
        <w:tc>
          <w:tcPr>
            <w:tcW w:w="128" w:type="dxa"/>
            <w:tcBorders>
              <w:bottom w:val="single" w:color="000000" w:sz="16"/>
            </w:tcBorders>
            <w:tcMar>
              <w:top w:w="15" w:type="dxa"/>
              <w:left w:w="15" w:type="dxa"/>
              <w:bottom w:w="15" w:type="dxa"/>
              <w:right w:w="15" w:type="dxa"/>
            </w:tcMar>
            <w:vAlign w:val="bottom"/>
          </w:tcPr>
          <w:p/>
        </w:tc>
        <w:tc>
          <w:tcPr>
            <w:tcW w:w="1358"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(45,630,059 </w:t>
            </w:r>
          </w:p>
        </w:tc>
        <w:tc>
          <w:tcPr>
            <w:tcW w:w="156" w:type="dxa"/>
            <w:tcBorders/>
            <w:tcMar>
              <w:top w:w="15" w:type="dxa"/>
              <w:left w:w="15" w:type="dxa"/>
              <w:bottom w:w="30" w:type="dxa"/>
              <w:right w:w="15" w:type="dxa"/>
            </w:tcMar>
            <w:vAlign w:val="bottom"/>
          </w:tcPr>
          <w:p>
            <w:pPr>
              <w:spacing w:before="0" w:after="0"/>
              <w:ind w:left="120"/>
              <w:jc w:val="left"/>
            </w:pPr>
            <w:r>
              <w:rPr>
                <w:rFonts w:ascii="Times New Roman" w:hAnsi="Times New Roman"/>
                <w:b/>
                <w:i w:val="false"/>
                <w:color w:val="000000"/>
                <w:sz w:val="20"/>
              </w:rPr>
              <w:t xml:space="preserve"> ) </w:t>
            </w:r>
          </w:p>
        </w:tc>
        <w:tc>
          <w:tcPr>
            <w:tcW w:w="128" w:type="dxa"/>
            <w:tcBorders/>
            <w:tcMar>
              <w:top w:w="15" w:type="dxa"/>
              <w:left w:w="15" w:type="dxa"/>
              <w:bottom w:w="30" w:type="dxa"/>
              <w:right w:w="15" w:type="dxa"/>
            </w:tcMar>
            <w:vAlign w:val="bottom"/>
          </w:tcPr>
          <w:p/>
        </w:tc>
        <w:tc>
          <w:tcPr>
            <w:tcW w:w="128" w:type="dxa"/>
            <w:tcBorders>
              <w:bottom w:val="single" w:color="000000" w:sz="16"/>
            </w:tcBorders>
            <w:tcMar>
              <w:top w:w="15" w:type="dxa"/>
              <w:left w:w="15" w:type="dxa"/>
              <w:bottom w:w="15" w:type="dxa"/>
              <w:right w:w="15" w:type="dxa"/>
            </w:tcMar>
            <w:vAlign w:val="bottom"/>
          </w:tcPr>
          <w:p/>
        </w:tc>
        <w:tc>
          <w:tcPr>
            <w:tcW w:w="1358"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(33,983,614 </w:t>
            </w:r>
          </w:p>
        </w:tc>
        <w:tc>
          <w:tcPr>
            <w:tcW w:w="156" w:type="dxa"/>
            <w:tcBorders/>
            <w:tcMar>
              <w:top w:w="15" w:type="dxa"/>
              <w:left w:w="15" w:type="dxa"/>
              <w:bottom w:w="30" w:type="dxa"/>
              <w:right w:w="15" w:type="dxa"/>
            </w:tcMar>
            <w:vAlign w:val="bottom"/>
          </w:tcPr>
          <w:p>
            <w:pPr>
              <w:spacing w:before="0" w:after="0"/>
              <w:ind w:left="120"/>
              <w:jc w:val="left"/>
            </w:pPr>
            <w:r>
              <w:rPr>
                <w:rFonts w:ascii="Times New Roman" w:hAnsi="Times New Roman"/>
                <w:b/>
                <w:i w:val="false"/>
                <w:color w:val="000000"/>
                <w:sz w:val="20"/>
              </w:rPr>
              <w:t xml:space="preserve"> ) </w:t>
            </w:r>
          </w:p>
        </w:tc>
        <w:tc>
          <w:tcPr>
            <w:tcW w:w="128" w:type="dxa"/>
            <w:tcBorders/>
            <w:tcMar>
              <w:top w:w="15" w:type="dxa"/>
              <w:left w:w="15" w:type="dxa"/>
              <w:bottom w:w="30" w:type="dxa"/>
              <w:right w:w="15" w:type="dxa"/>
            </w:tcMar>
            <w:vAlign w:val="bottom"/>
          </w:tcPr>
          <w:p/>
        </w:tc>
        <w:tc>
          <w:tcPr>
            <w:tcW w:w="128" w:type="dxa"/>
            <w:tcBorders>
              <w:bottom w:val="single" w:color="000000" w:sz="16"/>
            </w:tcBorders>
            <w:tcMar>
              <w:top w:w="15" w:type="dxa"/>
              <w:left w:w="15" w:type="dxa"/>
              <w:bottom w:w="15" w:type="dxa"/>
              <w:right w:w="15" w:type="dxa"/>
            </w:tcMar>
            <w:vAlign w:val="bottom"/>
          </w:tcPr>
          <w:p/>
        </w:tc>
        <w:tc>
          <w:tcPr>
            <w:tcW w:w="1358"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(53,254,817 </w:t>
            </w:r>
          </w:p>
        </w:tc>
        <w:tc>
          <w:tcPr>
            <w:tcW w:w="156" w:type="dxa"/>
            <w:tcBorders/>
            <w:tcMar>
              <w:top w:w="15" w:type="dxa"/>
              <w:left w:w="15" w:type="dxa"/>
              <w:bottom w:w="30" w:type="dxa"/>
              <w:right w:w="15" w:type="dxa"/>
            </w:tcMar>
            <w:vAlign w:val="bottom"/>
          </w:tcPr>
          <w:p>
            <w:pPr>
              <w:spacing w:before="0" w:after="0"/>
              <w:ind w:left="120"/>
              <w:jc w:val="left"/>
            </w:pPr>
            <w:r>
              <w:rPr>
                <w:rFonts w:ascii="Times New Roman" w:hAnsi="Times New Roman"/>
                <w:b/>
                <w:i w:val="false"/>
                <w:color w:val="000000"/>
                <w:sz w:val="20"/>
              </w:rPr>
              <w:t xml:space="preserve"> ) </w:t>
            </w:r>
          </w:p>
        </w:tc>
      </w:tr>
      <w:tr>
        <w:trPr>
          <w:trHeight w:val="435" w:hRule="atLeast"/>
        </w:trPr>
        <w:tc>
          <w:tcPr>
            <w:tcW w:w="8324" w:type="dxa"/>
            <w:tcBorders/>
            <w:shd w:fill="cceeff"/>
            <w:tcMar>
              <w:top w:w="15" w:type="dxa"/>
              <w:left w:w="15" w:type="dxa"/>
              <w:bottom w:w="15" w:type="dxa"/>
              <w:right w:w="15" w:type="dxa"/>
            </w:tcMar>
            <w:vAlign w:val="top"/>
          </w:tcPr>
          <w:p>
            <w:pPr>
              <w:spacing w:before="0" w:after="0"/>
              <w:ind w:left="264"/>
              <w:jc w:val="left"/>
            </w:pPr>
            <w:r>
              <w:rPr>
                <w:rFonts w:ascii="Times New Roman" w:hAnsi="Times New Roman"/>
                <w:b w:val="false"/>
                <w:i w:val="false"/>
                <w:color w:val="000000"/>
                <w:sz w:val="20"/>
              </w:rPr>
              <w:t xml:space="preserve"> Other comprehensive income (loss) that may be re-clas-si-fied to profit or loss in subsequent periods: </w:t>
            </w:r>
          </w:p>
        </w:tc>
        <w:tc>
          <w:tcPr>
            <w:tcW w:w="128"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358" w:type="dxa"/>
            <w:tcBorders/>
            <w:shd w:fill="cceeff"/>
            <w:tcMar>
              <w:top w:w="15" w:type="dxa"/>
              <w:left w:w="15" w:type="dxa"/>
              <w:bottom w:w="15" w:type="dxa"/>
              <w:right w:w="15" w:type="dxa"/>
            </w:tcMar>
            <w:vAlign w:val="bottom"/>
          </w:tcPr>
          <w:p/>
        </w:tc>
        <w:tc>
          <w:tcPr>
            <w:tcW w:w="156"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358" w:type="dxa"/>
            <w:tcBorders/>
            <w:shd w:fill="cceeff"/>
            <w:tcMar>
              <w:top w:w="15" w:type="dxa"/>
              <w:left w:w="15" w:type="dxa"/>
              <w:bottom w:w="15" w:type="dxa"/>
              <w:right w:w="15" w:type="dxa"/>
            </w:tcMar>
            <w:vAlign w:val="bottom"/>
          </w:tcPr>
          <w:p/>
        </w:tc>
        <w:tc>
          <w:tcPr>
            <w:tcW w:w="156"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358" w:type="dxa"/>
            <w:tcBorders/>
            <w:shd w:fill="cceeff"/>
            <w:tcMar>
              <w:top w:w="15" w:type="dxa"/>
              <w:left w:w="15" w:type="dxa"/>
              <w:bottom w:w="15" w:type="dxa"/>
              <w:right w:w="15" w:type="dxa"/>
            </w:tcMar>
            <w:vAlign w:val="bottom"/>
          </w:tcPr>
          <w:p/>
        </w:tc>
        <w:tc>
          <w:tcPr>
            <w:tcW w:w="156" w:type="dxa"/>
            <w:tcBorders/>
            <w:shd w:fill="cceeff"/>
            <w:tcMar>
              <w:top w:w="15" w:type="dxa"/>
              <w:left w:w="15" w:type="dxa"/>
              <w:bottom w:w="15" w:type="dxa"/>
              <w:right w:w="15" w:type="dxa"/>
            </w:tcMar>
            <w:vAlign w:val="bottom"/>
          </w:tcPr>
          <w:p/>
        </w:tc>
      </w:tr>
      <w:tr>
        <w:trPr>
          <w:trHeight w:val="240" w:hRule="atLeast"/>
        </w:trPr>
        <w:tc>
          <w:tcPr>
            <w:tcW w:w="8324" w:type="dxa"/>
            <w:tcBorders/>
            <w:tcMar>
              <w:top w:w="15" w:type="dxa"/>
              <w:left w:w="15" w:type="dxa"/>
              <w:bottom w:w="30" w:type="dxa"/>
              <w:right w:w="15" w:type="dxa"/>
            </w:tcMar>
            <w:vAlign w:val="top"/>
          </w:tcPr>
          <w:p>
            <w:pPr>
              <w:spacing w:before="0" w:after="0"/>
              <w:ind w:left="264"/>
              <w:jc w:val="left"/>
            </w:pPr>
            <w:r>
              <w:rPr>
                <w:rFonts w:ascii="Times New Roman" w:hAnsi="Times New Roman"/>
                <w:b w:val="false"/>
                <w:i w:val="false"/>
                <w:color w:val="000000"/>
                <w:sz w:val="20"/>
              </w:rPr>
              <w:t xml:space="preserve"> Exchange differences on translation of foreign currency </w:t>
            </w:r>
          </w:p>
        </w:tc>
        <w:tc>
          <w:tcPr>
            <w:tcW w:w="128" w:type="dxa"/>
            <w:tcBorders/>
            <w:tcMar>
              <w:top w:w="15" w:type="dxa"/>
              <w:left w:w="15" w:type="dxa"/>
              <w:bottom w:w="30" w:type="dxa"/>
              <w:right w:w="15" w:type="dxa"/>
            </w:tcMar>
            <w:vAlign w:val="bottom"/>
          </w:tcPr>
          <w:p/>
        </w:tc>
        <w:tc>
          <w:tcPr>
            <w:tcW w:w="128" w:type="dxa"/>
            <w:tcBorders>
              <w:bottom w:val="single" w:color="000000" w:sz="16"/>
            </w:tcBorders>
            <w:tcMar>
              <w:top w:w="15" w:type="dxa"/>
              <w:left w:w="15" w:type="dxa"/>
              <w:bottom w:w="15" w:type="dxa"/>
              <w:right w:w="15" w:type="dxa"/>
            </w:tcMar>
            <w:vAlign w:val="bottom"/>
          </w:tcPr>
          <w:p/>
        </w:tc>
        <w:tc>
          <w:tcPr>
            <w:tcW w:w="1358"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6,777,061 </w:t>
            </w:r>
          </w:p>
        </w:tc>
        <w:tc>
          <w:tcPr>
            <w:tcW w:w="156" w:type="dxa"/>
            <w:tcBorders/>
            <w:tcMar>
              <w:top w:w="15" w:type="dxa"/>
              <w:left w:w="15" w:type="dxa"/>
              <w:bottom w:w="30" w:type="dxa"/>
              <w:right w:w="15" w:type="dxa"/>
            </w:tcMar>
            <w:vAlign w:val="bottom"/>
          </w:tcPr>
          <w:p/>
        </w:tc>
        <w:tc>
          <w:tcPr>
            <w:tcW w:w="128" w:type="dxa"/>
            <w:tcBorders/>
            <w:tcMar>
              <w:top w:w="15" w:type="dxa"/>
              <w:left w:w="15" w:type="dxa"/>
              <w:bottom w:w="30" w:type="dxa"/>
              <w:right w:w="15" w:type="dxa"/>
            </w:tcMar>
            <w:vAlign w:val="bottom"/>
          </w:tcPr>
          <w:p/>
        </w:tc>
        <w:tc>
          <w:tcPr>
            <w:tcW w:w="128" w:type="dxa"/>
            <w:tcBorders>
              <w:bottom w:val="single" w:color="000000" w:sz="16"/>
            </w:tcBorders>
            <w:tcMar>
              <w:top w:w="15" w:type="dxa"/>
              <w:left w:w="15" w:type="dxa"/>
              <w:bottom w:w="15" w:type="dxa"/>
              <w:right w:w="15" w:type="dxa"/>
            </w:tcMar>
            <w:vAlign w:val="bottom"/>
          </w:tcPr>
          <w:p/>
        </w:tc>
        <w:tc>
          <w:tcPr>
            <w:tcW w:w="1358"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(5,954,019 </w:t>
            </w:r>
          </w:p>
        </w:tc>
        <w:tc>
          <w:tcPr>
            <w:tcW w:w="156" w:type="dxa"/>
            <w:tcBorders/>
            <w:tcMar>
              <w:top w:w="15" w:type="dxa"/>
              <w:left w:w="15" w:type="dxa"/>
              <w:bottom w:w="30"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c>
          <w:tcPr>
            <w:tcW w:w="128" w:type="dxa"/>
            <w:tcBorders/>
            <w:tcMar>
              <w:top w:w="15" w:type="dxa"/>
              <w:left w:w="15" w:type="dxa"/>
              <w:bottom w:w="30" w:type="dxa"/>
              <w:right w:w="15" w:type="dxa"/>
            </w:tcMar>
            <w:vAlign w:val="bottom"/>
          </w:tcPr>
          <w:p/>
        </w:tc>
        <w:tc>
          <w:tcPr>
            <w:tcW w:w="128" w:type="dxa"/>
            <w:tcBorders>
              <w:bottom w:val="single" w:color="000000" w:sz="16"/>
            </w:tcBorders>
            <w:tcMar>
              <w:top w:w="15" w:type="dxa"/>
              <w:left w:w="15" w:type="dxa"/>
              <w:bottom w:w="15" w:type="dxa"/>
              <w:right w:w="15" w:type="dxa"/>
            </w:tcMar>
            <w:vAlign w:val="bottom"/>
          </w:tcPr>
          <w:p/>
        </w:tc>
        <w:tc>
          <w:tcPr>
            <w:tcW w:w="1358"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2,177,033 </w:t>
            </w:r>
          </w:p>
        </w:tc>
        <w:tc>
          <w:tcPr>
            <w:tcW w:w="156" w:type="dxa"/>
            <w:tcBorders/>
            <w:tcMar>
              <w:top w:w="15" w:type="dxa"/>
              <w:left w:w="15" w:type="dxa"/>
              <w:bottom w:w="30" w:type="dxa"/>
              <w:right w:w="15" w:type="dxa"/>
            </w:tcMar>
            <w:vAlign w:val="bottom"/>
          </w:tcPr>
          <w:p/>
        </w:tc>
      </w:tr>
      <w:tr>
        <w:trPr>
          <w:trHeight w:val="285" w:hRule="atLeast"/>
        </w:trPr>
        <w:tc>
          <w:tcPr>
            <w:tcW w:w="8324" w:type="dxa"/>
            <w:tcBorders/>
            <w:shd w:fill="cceeff"/>
            <w:tcMar>
              <w:top w:w="15" w:type="dxa"/>
              <w:left w:w="15" w:type="dxa"/>
              <w:bottom w:w="60" w:type="dxa"/>
              <w:right w:w="15" w:type="dxa"/>
            </w:tcMar>
            <w:vAlign w:val="bottom"/>
          </w:tcPr>
          <w:p>
            <w:pPr>
              <w:spacing w:before="0" w:after="0"/>
              <w:ind w:left="264"/>
              <w:jc w:val="left"/>
            </w:pPr>
            <w:r>
              <w:rPr>
                <w:rFonts w:ascii="Times New Roman" w:hAnsi="Times New Roman"/>
                <w:b/>
                <w:i w:val="false"/>
                <w:color w:val="000000"/>
                <w:sz w:val="20"/>
              </w:rPr>
              <w:t xml:space="preserve"> Total Comprehensive Loss </w:t>
            </w:r>
          </w:p>
        </w:tc>
        <w:tc>
          <w:tcPr>
            <w:tcW w:w="128" w:type="dxa"/>
            <w:tcBorders/>
            <w:shd w:fill="cceeff"/>
            <w:tcMar>
              <w:top w:w="15" w:type="dxa"/>
              <w:left w:w="15" w:type="dxa"/>
              <w:bottom w:w="60" w:type="dxa"/>
              <w:right w:w="15" w:type="dxa"/>
            </w:tcMar>
            <w:vAlign w:val="bottom"/>
          </w:tcPr>
          <w:p/>
        </w:tc>
        <w:tc>
          <w:tcPr>
            <w:tcW w:w="128" w:type="dxa"/>
            <w:tcBorders>
              <w:bottom w:val="double" w:color="000000" w:sz="11"/>
            </w:tcBorders>
            <w:shd w:fill="cceeff"/>
            <w:tcMar>
              <w:top w:w="15" w:type="dxa"/>
              <w:left w:w="15" w:type="dxa"/>
              <w:bottom w:w="15" w:type="dxa"/>
              <w:right w:w="15" w:type="dxa"/>
            </w:tcMar>
            <w:vAlign w:val="bottom"/>
          </w:tcPr>
          <w:p/>
        </w:tc>
        <w:tc>
          <w:tcPr>
            <w:tcW w:w="1358" w:type="dxa"/>
            <w:tcBorders>
              <w:bottom w:val="double" w:color="000000" w:sz="11"/>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(38,852,998 </w:t>
            </w:r>
          </w:p>
        </w:tc>
        <w:tc>
          <w:tcPr>
            <w:tcW w:w="156" w:type="dxa"/>
            <w:tcBorders/>
            <w:shd w:fill="cceeff"/>
            <w:tcMar>
              <w:top w:w="15" w:type="dxa"/>
              <w:left w:w="15" w:type="dxa"/>
              <w:bottom w:w="60" w:type="dxa"/>
              <w:right w:w="15" w:type="dxa"/>
            </w:tcMar>
            <w:vAlign w:val="bottom"/>
          </w:tcPr>
          <w:p>
            <w:pPr>
              <w:spacing w:before="0" w:after="0"/>
              <w:ind w:left="120"/>
              <w:jc w:val="left"/>
            </w:pPr>
            <w:r>
              <w:rPr>
                <w:rFonts w:ascii="Times New Roman" w:hAnsi="Times New Roman"/>
                <w:b/>
                <w:i w:val="false"/>
                <w:color w:val="000000"/>
                <w:sz w:val="20"/>
              </w:rPr>
              <w:t xml:space="preserve"> ) </w:t>
            </w:r>
          </w:p>
        </w:tc>
        <w:tc>
          <w:tcPr>
            <w:tcW w:w="128" w:type="dxa"/>
            <w:tcBorders/>
            <w:shd w:fill="cceeff"/>
            <w:tcMar>
              <w:top w:w="15" w:type="dxa"/>
              <w:left w:w="15" w:type="dxa"/>
              <w:bottom w:w="60" w:type="dxa"/>
              <w:right w:w="15" w:type="dxa"/>
            </w:tcMar>
            <w:vAlign w:val="bottom"/>
          </w:tcPr>
          <w:p/>
        </w:tc>
        <w:tc>
          <w:tcPr>
            <w:tcW w:w="128" w:type="dxa"/>
            <w:tcBorders>
              <w:bottom w:val="double" w:color="000000" w:sz="11"/>
            </w:tcBorders>
            <w:shd w:fill="cceeff"/>
            <w:tcMar>
              <w:top w:w="15" w:type="dxa"/>
              <w:left w:w="15" w:type="dxa"/>
              <w:bottom w:w="15" w:type="dxa"/>
              <w:right w:w="15" w:type="dxa"/>
            </w:tcMar>
            <w:vAlign w:val="bottom"/>
          </w:tcPr>
          <w:p/>
        </w:tc>
        <w:tc>
          <w:tcPr>
            <w:tcW w:w="1358" w:type="dxa"/>
            <w:tcBorders>
              <w:bottom w:val="double" w:color="000000" w:sz="11"/>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(39,937,633 </w:t>
            </w:r>
          </w:p>
        </w:tc>
        <w:tc>
          <w:tcPr>
            <w:tcW w:w="156" w:type="dxa"/>
            <w:tcBorders/>
            <w:shd w:fill="cceeff"/>
            <w:tcMar>
              <w:top w:w="15" w:type="dxa"/>
              <w:left w:w="15" w:type="dxa"/>
              <w:bottom w:w="60" w:type="dxa"/>
              <w:right w:w="15" w:type="dxa"/>
            </w:tcMar>
            <w:vAlign w:val="bottom"/>
          </w:tcPr>
          <w:p>
            <w:pPr>
              <w:spacing w:before="0" w:after="0"/>
              <w:ind w:left="120"/>
              <w:jc w:val="left"/>
            </w:pPr>
            <w:r>
              <w:rPr>
                <w:rFonts w:ascii="Times New Roman" w:hAnsi="Times New Roman"/>
                <w:b/>
                <w:i w:val="false"/>
                <w:color w:val="000000"/>
                <w:sz w:val="20"/>
              </w:rPr>
              <w:t xml:space="preserve"> ) </w:t>
            </w:r>
          </w:p>
        </w:tc>
        <w:tc>
          <w:tcPr>
            <w:tcW w:w="128" w:type="dxa"/>
            <w:tcBorders/>
            <w:shd w:fill="cceeff"/>
            <w:tcMar>
              <w:top w:w="15" w:type="dxa"/>
              <w:left w:w="15" w:type="dxa"/>
              <w:bottom w:w="60" w:type="dxa"/>
              <w:right w:w="15" w:type="dxa"/>
            </w:tcMar>
            <w:vAlign w:val="bottom"/>
          </w:tcPr>
          <w:p/>
        </w:tc>
        <w:tc>
          <w:tcPr>
            <w:tcW w:w="128" w:type="dxa"/>
            <w:tcBorders>
              <w:bottom w:val="double" w:color="000000" w:sz="11"/>
            </w:tcBorders>
            <w:shd w:fill="cceeff"/>
            <w:tcMar>
              <w:top w:w="15" w:type="dxa"/>
              <w:left w:w="15" w:type="dxa"/>
              <w:bottom w:w="15" w:type="dxa"/>
              <w:right w:w="15" w:type="dxa"/>
            </w:tcMar>
            <w:vAlign w:val="bottom"/>
          </w:tcPr>
          <w:p/>
        </w:tc>
        <w:tc>
          <w:tcPr>
            <w:tcW w:w="1358" w:type="dxa"/>
            <w:tcBorders>
              <w:bottom w:val="double" w:color="000000" w:sz="11"/>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(51,077,785 </w:t>
            </w:r>
          </w:p>
        </w:tc>
        <w:tc>
          <w:tcPr>
            <w:tcW w:w="156" w:type="dxa"/>
            <w:tcBorders/>
            <w:shd w:fill="cceeff"/>
            <w:tcMar>
              <w:top w:w="15" w:type="dxa"/>
              <w:left w:w="15" w:type="dxa"/>
              <w:bottom w:w="60" w:type="dxa"/>
              <w:right w:w="15" w:type="dxa"/>
            </w:tcMar>
            <w:vAlign w:val="bottom"/>
          </w:tcPr>
          <w:p>
            <w:pPr>
              <w:spacing w:before="0" w:after="0"/>
              <w:ind w:left="120"/>
              <w:jc w:val="left"/>
            </w:pPr>
            <w:r>
              <w:rPr>
                <w:rFonts w:ascii="Times New Roman" w:hAnsi="Times New Roman"/>
                <w:b/>
                <w:i w:val="false"/>
                <w:color w:val="000000"/>
                <w:sz w:val="20"/>
              </w:rPr>
              <w:t xml:space="preserve"> ) </w:t>
            </w:r>
          </w:p>
        </w:tc>
      </w:tr>
    </w:tbl>
    <w:bookmarkEnd w:id="93"/>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DSPFPageBreakArea" w:id="94"/>
    <w:p>
      <w:pPr>
        <w:spacing w:before="0" w:after="0"/>
        <w:ind w:left="120"/>
        <w:jc w:val="left"/>
      </w:pPr>
      <w:bookmarkStart w:name="DSPFPageBreak" w:id="95"/>
    </w:p>
    <w:p>
      <w:r>
        <w:pict>
          <v:rect style="width:0;height:1.5pt" id="_x0000_i1025" o:hr="t" o:hrstd="t" o:hralign="center" stroked="f" fillcolor="#a0a0a0"/>
        </w:pict>
      </w:r>
    </w:p>
    <w:bookmarkEnd w:id="95"/>
    <w:bookmarkStart w:name="DSPFPageHeader" w:id="96"/>
    <w:tbl>
      <w:tblPr>
        <w:tblW w:w="0" w:type="auto"/>
        <w:tblCellSpacing w:w="0" w:type="dxa"/>
        <w:tblBorders>
          <w:top w:val="none"/>
          <w:left w:val="none"/>
          <w:bottom w:val="none"/>
          <w:right w:val="none"/>
          <w:insideH w:val="none"/>
          <w:insideV w:val="none"/>
        </w:tblBorders>
      </w:tblPr>
      <w:tblGrid>
        <w:gridCol w:w="6817"/>
        <w:gridCol w:w="6817"/>
      </w:tblGrid>
      <w:tr>
        <w:trPr/>
        <w:tc>
          <w:tcPr>
            <w:tcW w:w="6817" w:type="dxa"/>
            <w:tcBorders/>
            <w:tcMar>
              <w:top w:w="15" w:type="dxa"/>
              <w:left w:w="15" w:type="dxa"/>
              <w:bottom w:w="15" w:type="dxa"/>
              <w:right w:w="15" w:type="dxa"/>
            </w:tcMar>
            <w:vAlign w:val="center"/>
          </w:tcPr>
          <w:p>
            <w:r>
              <w:drawing>
                <wp:inline distT="0" distB="0" distL="0" distR="0">
                  <wp:extent cx="1543050" cy="55245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43050" cy="552450"/>
                          </a:xfrm>
                          <a:prstGeom prst="rect">
                            <a:avLst/>
                          </a:prstGeom>
                        </pic:spPr>
                      </pic:pic>
                    </a:graphicData>
                  </a:graphic>
                </wp:inline>
              </w:drawing>
            </w:r>
          </w:p>
        </w:tc>
        <w:tc>
          <w:tcPr>
            <w:tcW w:w="6817" w:type="dxa"/>
            <w:tcBorders/>
            <w:tcMar>
              <w:top w:w="15" w:type="dxa"/>
              <w:left w:w="15" w:type="dxa"/>
              <w:bottom w:w="15" w:type="dxa"/>
              <w:right w:w="15" w:type="dxa"/>
            </w:tcMar>
            <w:vAlign w:val="center"/>
          </w:tcPr>
          <w:p>
            <w:pPr>
              <w:spacing w:before="0" w:after="0"/>
              <w:ind w:left="120"/>
              <w:jc w:val="left"/>
            </w:pPr>
          </w:p>
        </w:tc>
      </w:tr>
    </w:tbl>
    <w:bookmarkEnd w:id="96"/>
    <w:bookmarkEnd w:id="94"/>
    <w:p>
      <w:pPr>
        <w:spacing w:before="0" w:after="0"/>
        <w:ind w:left="120"/>
        <w:jc w:val="both"/>
      </w:pPr>
      <w:r>
        <w:rPr>
          <w:rFonts w:ascii="Times New Roman" w:hAnsi="Times New Roman"/>
          <w:b/>
          <w:i w:val="false"/>
          <w:color w:val="000000"/>
          <w:sz w:val="20"/>
        </w:rPr>
        <w:t xml:space="preserve"> InflaRx N.V. and subsidiaries </w:t>
      </w:r>
    </w:p>
    <w:p>
      <w:pPr>
        <w:spacing w:before="0" w:after="0"/>
        <w:ind w:left="120"/>
        <w:jc w:val="both"/>
      </w:pPr>
      <w:r>
        <w:rPr>
          <w:rFonts w:ascii="Times New Roman" w:hAnsi="Times New Roman"/>
          <w:b/>
          <w:i w:val="false"/>
          <w:color w:val="000000"/>
          <w:sz w:val="20"/>
        </w:rPr>
        <w:t xml:space="preserve"> Consolidated Statements of Financial Position as December 31, 2021 and 2020 </w:t>
      </w:r>
    </w:p>
    <w:p>
      <w:pPr>
        <w:spacing w:before="0" w:after="0"/>
        <w:ind w:left="120"/>
        <w:jc w:val="left"/>
      </w:pPr>
    </w:p>
    <w:bookmarkStart w:name="z7c66fb50d3f34e3889e501787c918594" w:id="97"/>
    <w:tbl>
      <w:tblPr>
        <w:tblW w:w="0" w:type="auto"/>
        <w:tblCellSpacing w:w="0" w:type="dxa"/>
        <w:tblBorders>
          <w:top w:val="none"/>
          <w:left w:val="none"/>
          <w:bottom w:val="none"/>
          <w:right w:val="none"/>
          <w:insideH w:val="none"/>
          <w:insideV w:val="none"/>
        </w:tblBorders>
      </w:tblPr>
      <w:tblGrid>
        <w:gridCol w:w="9828"/>
        <w:gridCol w:w="128"/>
        <w:gridCol w:w="128"/>
        <w:gridCol w:w="1491"/>
        <w:gridCol w:w="156"/>
        <w:gridCol w:w="128"/>
        <w:gridCol w:w="128"/>
        <w:gridCol w:w="1491"/>
        <w:gridCol w:w="156"/>
      </w:tblGrid>
      <w:tr>
        <w:trPr>
          <w:trHeight w:val="255" w:hRule="atLeast"/>
        </w:trPr>
        <w:tc>
          <w:tcPr>
            <w:tcW w:w="9828" w:type="dxa"/>
            <w:tcBorders/>
            <w:tcMar>
              <w:top w:w="15" w:type="dxa"/>
              <w:left w:w="15" w:type="dxa"/>
              <w:bottom w:w="30" w:type="dxa"/>
              <w:right w:w="15" w:type="dxa"/>
            </w:tcMar>
            <w:vAlign w:val="bottom"/>
          </w:tcPr>
          <w:p>
            <w:pPr>
              <w:spacing w:before="0" w:after="0"/>
              <w:ind w:left="264"/>
              <w:jc w:val="left"/>
            </w:pPr>
            <w:r>
              <w:rPr>
                <w:rFonts w:ascii="Times New Roman" w:hAnsi="Times New Roman"/>
                <w:b/>
                <w:i w:val="false"/>
                <w:color w:val="000000"/>
                <w:sz w:val="20"/>
              </w:rPr>
              <w:t xml:space="preserve"> in € </w:t>
            </w:r>
          </w:p>
        </w:tc>
        <w:tc>
          <w:tcPr>
            <w:tcW w:w="128" w:type="dxa"/>
            <w:tcBorders/>
            <w:tcMar>
              <w:top w:w="15" w:type="dxa"/>
              <w:left w:w="15" w:type="dxa"/>
              <w:bottom w:w="30" w:type="dxa"/>
              <w:right w:w="15" w:type="dxa"/>
            </w:tcMar>
            <w:vAlign w:val="bottom"/>
          </w:tcPr>
          <w:p/>
        </w:tc>
        <w:tc>
          <w:tcPr>
            <w:tcW w:w="0" w:type="auto"/>
            <w:gridSpan w:val="2"/>
            <w:tcBorders>
              <w:bottom w:val="single" w:color="000000" w:sz="16"/>
            </w:tcBorders>
            <w:tcMar>
              <w:top w:w="15" w:type="dxa"/>
              <w:left w:w="15" w:type="dxa"/>
              <w:bottom w:w="15" w:type="dxa"/>
              <w:right w:w="15" w:type="dxa"/>
            </w:tcMar>
            <w:vAlign w:val="bottom"/>
          </w:tcPr>
          <w:p>
            <w:pPr>
              <w:spacing w:before="0" w:after="0"/>
              <w:ind w:left="120"/>
              <w:jc w:val="center"/>
            </w:pPr>
            <w:r>
              <w:rPr>
                <w:rFonts w:ascii="Times New Roman" w:hAnsi="Times New Roman"/>
                <w:b/>
                <w:i w:val="false"/>
                <w:color w:val="000000"/>
                <w:sz w:val="20"/>
              </w:rPr>
              <w:t xml:space="preserve"> 2021 </w:t>
            </w:r>
          </w:p>
        </w:tc>
        <w:tc>
          <w:tcPr>
            <w:tcW w:w="156" w:type="dxa"/>
            <w:tcBorders/>
            <w:tcMar>
              <w:top w:w="15" w:type="dxa"/>
              <w:left w:w="15" w:type="dxa"/>
              <w:bottom w:w="30" w:type="dxa"/>
              <w:right w:w="15" w:type="dxa"/>
            </w:tcMar>
            <w:vAlign w:val="bottom"/>
          </w:tcPr>
          <w:p/>
        </w:tc>
        <w:tc>
          <w:tcPr>
            <w:tcW w:w="128" w:type="dxa"/>
            <w:tcBorders/>
            <w:tcMar>
              <w:top w:w="15" w:type="dxa"/>
              <w:left w:w="15" w:type="dxa"/>
              <w:bottom w:w="30" w:type="dxa"/>
              <w:right w:w="15" w:type="dxa"/>
            </w:tcMar>
            <w:vAlign w:val="bottom"/>
          </w:tcPr>
          <w:p/>
        </w:tc>
        <w:tc>
          <w:tcPr>
            <w:tcW w:w="0" w:type="auto"/>
            <w:gridSpan w:val="2"/>
            <w:tcBorders>
              <w:bottom w:val="single" w:color="000000" w:sz="16"/>
            </w:tcBorders>
            <w:tcMar>
              <w:top w:w="15" w:type="dxa"/>
              <w:left w:w="15" w:type="dxa"/>
              <w:bottom w:w="15" w:type="dxa"/>
              <w:right w:w="15" w:type="dxa"/>
            </w:tcMar>
            <w:vAlign w:val="bottom"/>
          </w:tcPr>
          <w:p>
            <w:pPr>
              <w:spacing w:before="0" w:after="0"/>
              <w:ind w:left="120"/>
              <w:jc w:val="center"/>
            </w:pPr>
            <w:r>
              <w:rPr>
                <w:rFonts w:ascii="Times New Roman" w:hAnsi="Times New Roman"/>
                <w:b/>
                <w:i w:val="false"/>
                <w:color w:val="000000"/>
                <w:sz w:val="20"/>
              </w:rPr>
              <w:t xml:space="preserve"> 2020 </w:t>
            </w:r>
          </w:p>
        </w:tc>
        <w:tc>
          <w:tcPr>
            <w:tcW w:w="156" w:type="dxa"/>
            <w:tcBorders/>
            <w:tcMar>
              <w:top w:w="15" w:type="dxa"/>
              <w:left w:w="15" w:type="dxa"/>
              <w:bottom w:w="30" w:type="dxa"/>
              <w:right w:w="15" w:type="dxa"/>
            </w:tcMar>
            <w:vAlign w:val="bottom"/>
          </w:tcPr>
          <w:p/>
        </w:tc>
      </w:tr>
      <w:tr>
        <w:trPr/>
        <w:tc>
          <w:tcPr>
            <w:tcW w:w="9828"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0" w:type="auto"/>
            <w:gridSpan w:val="2"/>
            <w:tcBorders/>
            <w:tcMar>
              <w:top w:w="15" w:type="dxa"/>
              <w:left w:w="15" w:type="dxa"/>
              <w:bottom w:w="15" w:type="dxa"/>
              <w:right w:w="15" w:type="dxa"/>
            </w:tcMar>
            <w:vAlign w:val="bottom"/>
          </w:tcPr>
          <w:p/>
        </w:tc>
        <w:tc>
          <w:tcPr>
            <w:tcW w:w="156"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0" w:type="auto"/>
            <w:gridSpan w:val="2"/>
            <w:tcBorders/>
            <w:tcMar>
              <w:top w:w="15" w:type="dxa"/>
              <w:left w:w="15" w:type="dxa"/>
              <w:bottom w:w="15" w:type="dxa"/>
              <w:right w:w="15" w:type="dxa"/>
            </w:tcMar>
            <w:vAlign w:val="bottom"/>
          </w:tcPr>
          <w:p/>
        </w:tc>
        <w:tc>
          <w:tcPr>
            <w:tcW w:w="156" w:type="dxa"/>
            <w:tcBorders/>
            <w:tcMar>
              <w:top w:w="15" w:type="dxa"/>
              <w:left w:w="15" w:type="dxa"/>
              <w:bottom w:w="15" w:type="dxa"/>
              <w:right w:w="15" w:type="dxa"/>
            </w:tcMar>
            <w:vAlign w:val="bottom"/>
          </w:tcPr>
          <w:p/>
        </w:tc>
      </w:tr>
      <w:tr>
        <w:trPr>
          <w:trHeight w:val="225" w:hRule="atLeast"/>
        </w:trPr>
        <w:tc>
          <w:tcPr>
            <w:tcW w:w="9828" w:type="dxa"/>
            <w:tcBorders/>
            <w:tcMar>
              <w:top w:w="15" w:type="dxa"/>
              <w:left w:w="15" w:type="dxa"/>
              <w:bottom w:w="15" w:type="dxa"/>
              <w:right w:w="15" w:type="dxa"/>
            </w:tcMar>
            <w:vAlign w:val="bottom"/>
          </w:tcPr>
          <w:p>
            <w:pPr>
              <w:spacing w:before="0" w:after="0"/>
              <w:ind w:left="264"/>
              <w:jc w:val="left"/>
            </w:pPr>
            <w:r>
              <w:rPr>
                <w:rFonts w:ascii="Times New Roman" w:hAnsi="Times New Roman"/>
                <w:b/>
                <w:i w:val="false"/>
                <w:color w:val="000000"/>
                <w:sz w:val="20"/>
              </w:rPr>
              <w:t xml:space="preserve"> ASSETS </w:t>
            </w:r>
          </w:p>
        </w:tc>
        <w:tc>
          <w:tcPr>
            <w:tcW w:w="128" w:type="dxa"/>
            <w:tcBorders/>
            <w:tcMar>
              <w:top w:w="15" w:type="dxa"/>
              <w:left w:w="15" w:type="dxa"/>
              <w:bottom w:w="15" w:type="dxa"/>
              <w:right w:w="15" w:type="dxa"/>
            </w:tcMar>
            <w:vAlign w:val="bottom"/>
          </w:tcPr>
          <w:p/>
        </w:tc>
        <w:tc>
          <w:tcPr>
            <w:tcW w:w="0" w:type="auto"/>
            <w:gridSpan w:val="2"/>
            <w:tcBorders/>
            <w:tcMar>
              <w:top w:w="15" w:type="dxa"/>
              <w:left w:w="15" w:type="dxa"/>
              <w:bottom w:w="15" w:type="dxa"/>
              <w:right w:w="15" w:type="dxa"/>
            </w:tcMar>
            <w:vAlign w:val="bottom"/>
          </w:tcPr>
          <w:p/>
        </w:tc>
        <w:tc>
          <w:tcPr>
            <w:tcW w:w="156"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0" w:type="auto"/>
            <w:gridSpan w:val="2"/>
            <w:tcBorders/>
            <w:tcMar>
              <w:top w:w="15" w:type="dxa"/>
              <w:left w:w="15" w:type="dxa"/>
              <w:bottom w:w="15" w:type="dxa"/>
              <w:right w:w="15" w:type="dxa"/>
            </w:tcMar>
            <w:vAlign w:val="bottom"/>
          </w:tcPr>
          <w:p/>
        </w:tc>
        <w:tc>
          <w:tcPr>
            <w:tcW w:w="156" w:type="dxa"/>
            <w:tcBorders/>
            <w:tcMar>
              <w:top w:w="15" w:type="dxa"/>
              <w:left w:w="15" w:type="dxa"/>
              <w:bottom w:w="15" w:type="dxa"/>
              <w:right w:w="15" w:type="dxa"/>
            </w:tcMar>
            <w:vAlign w:val="bottom"/>
          </w:tcPr>
          <w:p/>
        </w:tc>
      </w:tr>
      <w:tr>
        <w:trPr>
          <w:trHeight w:val="225" w:hRule="atLeast"/>
        </w:trPr>
        <w:tc>
          <w:tcPr>
            <w:tcW w:w="9828" w:type="dxa"/>
            <w:tcBorders/>
            <w:tcMar>
              <w:top w:w="15" w:type="dxa"/>
              <w:left w:w="15" w:type="dxa"/>
              <w:bottom w:w="15" w:type="dxa"/>
              <w:right w:w="15" w:type="dxa"/>
            </w:tcMar>
            <w:vAlign w:val="bottom"/>
          </w:tcPr>
          <w:p>
            <w:pPr>
              <w:spacing w:before="0" w:after="0"/>
              <w:ind w:left="264"/>
              <w:jc w:val="left"/>
            </w:pPr>
            <w:r>
              <w:rPr>
                <w:rFonts w:ascii="Times New Roman" w:hAnsi="Times New Roman"/>
                <w:b/>
                <w:i w:val="false"/>
                <w:color w:val="000000"/>
                <w:sz w:val="20"/>
              </w:rPr>
              <w:t xml:space="preserve"> Non-current assets </w:t>
            </w:r>
          </w:p>
        </w:tc>
        <w:tc>
          <w:tcPr>
            <w:tcW w:w="128" w:type="dxa"/>
            <w:tcBorders/>
            <w:tcMar>
              <w:top w:w="15" w:type="dxa"/>
              <w:left w:w="15" w:type="dxa"/>
              <w:bottom w:w="15" w:type="dxa"/>
              <w:right w:w="15" w:type="dxa"/>
            </w:tcMar>
            <w:vAlign w:val="bottom"/>
          </w:tcPr>
          <w:p/>
        </w:tc>
        <w:tc>
          <w:tcPr>
            <w:tcW w:w="0" w:type="auto"/>
            <w:gridSpan w:val="2"/>
            <w:tcBorders/>
            <w:tcMar>
              <w:top w:w="15" w:type="dxa"/>
              <w:left w:w="15" w:type="dxa"/>
              <w:bottom w:w="15" w:type="dxa"/>
              <w:right w:w="15" w:type="dxa"/>
            </w:tcMar>
            <w:vAlign w:val="bottom"/>
          </w:tcPr>
          <w:p/>
        </w:tc>
        <w:tc>
          <w:tcPr>
            <w:tcW w:w="156"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0" w:type="auto"/>
            <w:gridSpan w:val="2"/>
            <w:tcBorders/>
            <w:tcMar>
              <w:top w:w="15" w:type="dxa"/>
              <w:left w:w="15" w:type="dxa"/>
              <w:bottom w:w="15" w:type="dxa"/>
              <w:right w:w="15" w:type="dxa"/>
            </w:tcMar>
            <w:vAlign w:val="bottom"/>
          </w:tcPr>
          <w:p/>
        </w:tc>
        <w:tc>
          <w:tcPr>
            <w:tcW w:w="156" w:type="dxa"/>
            <w:tcBorders/>
            <w:tcMar>
              <w:top w:w="15" w:type="dxa"/>
              <w:left w:w="15" w:type="dxa"/>
              <w:bottom w:w="15" w:type="dxa"/>
              <w:right w:w="15" w:type="dxa"/>
            </w:tcMar>
            <w:vAlign w:val="bottom"/>
          </w:tcPr>
          <w:p/>
        </w:tc>
      </w:tr>
      <w:tr>
        <w:trPr>
          <w:trHeight w:val="210" w:hRule="atLeast"/>
        </w:trPr>
        <w:tc>
          <w:tcPr>
            <w:tcW w:w="9828" w:type="dxa"/>
            <w:tcBorders/>
            <w:shd w:fill="cceeff"/>
            <w:tcMar>
              <w:top w:w="15" w:type="dxa"/>
              <w:left w:w="15" w:type="dxa"/>
              <w:bottom w:w="15" w:type="dxa"/>
              <w:right w:w="15" w:type="dxa"/>
            </w:tcMar>
            <w:vAlign w:val="bottom"/>
          </w:tcPr>
          <w:p>
            <w:pPr>
              <w:spacing w:before="0" w:after="0"/>
              <w:ind w:left="264"/>
              <w:jc w:val="left"/>
            </w:pPr>
            <w:r>
              <w:rPr>
                <w:rFonts w:ascii="Times New Roman" w:hAnsi="Times New Roman"/>
                <w:b w:val="false"/>
                <w:i w:val="false"/>
                <w:color w:val="000000"/>
                <w:sz w:val="20"/>
              </w:rPr>
              <w:t xml:space="preserve"> Property and equipment* </w:t>
            </w:r>
          </w:p>
        </w:tc>
        <w:tc>
          <w:tcPr>
            <w:tcW w:w="128"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491"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274,373 </w:t>
            </w:r>
          </w:p>
        </w:tc>
        <w:tc>
          <w:tcPr>
            <w:tcW w:w="156"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491"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408,263 </w:t>
            </w:r>
          </w:p>
        </w:tc>
        <w:tc>
          <w:tcPr>
            <w:tcW w:w="156" w:type="dxa"/>
            <w:tcBorders/>
            <w:shd w:fill="cceeff"/>
            <w:tcMar>
              <w:top w:w="15" w:type="dxa"/>
              <w:left w:w="15" w:type="dxa"/>
              <w:bottom w:w="15" w:type="dxa"/>
              <w:right w:w="15" w:type="dxa"/>
            </w:tcMar>
            <w:vAlign w:val="bottom"/>
          </w:tcPr>
          <w:p/>
        </w:tc>
      </w:tr>
      <w:tr>
        <w:trPr>
          <w:trHeight w:val="210" w:hRule="atLeast"/>
        </w:trPr>
        <w:tc>
          <w:tcPr>
            <w:tcW w:w="9828" w:type="dxa"/>
            <w:tcBorders/>
            <w:tcMar>
              <w:top w:w="15" w:type="dxa"/>
              <w:left w:w="15" w:type="dxa"/>
              <w:bottom w:w="15" w:type="dxa"/>
              <w:right w:w="15" w:type="dxa"/>
            </w:tcMar>
            <w:vAlign w:val="bottom"/>
          </w:tcPr>
          <w:p>
            <w:pPr>
              <w:spacing w:before="0" w:after="0"/>
              <w:ind w:left="264"/>
              <w:jc w:val="left"/>
            </w:pPr>
            <w:r>
              <w:rPr>
                <w:rFonts w:ascii="Times New Roman" w:hAnsi="Times New Roman"/>
                <w:b w:val="false"/>
                <w:i w:val="false"/>
                <w:color w:val="000000"/>
                <w:sz w:val="20"/>
              </w:rPr>
              <w:t xml:space="preserve"> Right-of-use assets* </w:t>
            </w:r>
          </w:p>
        </w:tc>
        <w:tc>
          <w:tcPr>
            <w:tcW w:w="128"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491"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1,408,078 </w:t>
            </w:r>
          </w:p>
        </w:tc>
        <w:tc>
          <w:tcPr>
            <w:tcW w:w="156"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491"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546,694 </w:t>
            </w:r>
          </w:p>
        </w:tc>
        <w:tc>
          <w:tcPr>
            <w:tcW w:w="156" w:type="dxa"/>
            <w:tcBorders/>
            <w:tcMar>
              <w:top w:w="15" w:type="dxa"/>
              <w:left w:w="15" w:type="dxa"/>
              <w:bottom w:w="15" w:type="dxa"/>
              <w:right w:w="15" w:type="dxa"/>
            </w:tcMar>
            <w:vAlign w:val="bottom"/>
          </w:tcPr>
          <w:p/>
        </w:tc>
      </w:tr>
      <w:tr>
        <w:trPr>
          <w:trHeight w:val="210" w:hRule="atLeast"/>
        </w:trPr>
        <w:tc>
          <w:tcPr>
            <w:tcW w:w="9828" w:type="dxa"/>
            <w:tcBorders/>
            <w:shd w:fill="cceeff"/>
            <w:tcMar>
              <w:top w:w="15" w:type="dxa"/>
              <w:left w:w="15" w:type="dxa"/>
              <w:bottom w:w="15" w:type="dxa"/>
              <w:right w:w="15" w:type="dxa"/>
            </w:tcMar>
            <w:vAlign w:val="bottom"/>
          </w:tcPr>
          <w:p>
            <w:pPr>
              <w:spacing w:before="0" w:after="0"/>
              <w:ind w:left="264"/>
              <w:jc w:val="left"/>
            </w:pPr>
            <w:r>
              <w:rPr>
                <w:rFonts w:ascii="Times New Roman" w:hAnsi="Times New Roman"/>
                <w:b w:val="false"/>
                <w:i w:val="false"/>
                <w:color w:val="000000"/>
                <w:sz w:val="20"/>
              </w:rPr>
              <w:t xml:space="preserve"> Intangible assets </w:t>
            </w:r>
          </w:p>
        </w:tc>
        <w:tc>
          <w:tcPr>
            <w:tcW w:w="128"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491"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235,216 </w:t>
            </w:r>
          </w:p>
        </w:tc>
        <w:tc>
          <w:tcPr>
            <w:tcW w:w="156"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491"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350,183 </w:t>
            </w:r>
          </w:p>
        </w:tc>
        <w:tc>
          <w:tcPr>
            <w:tcW w:w="156" w:type="dxa"/>
            <w:tcBorders/>
            <w:shd w:fill="cceeff"/>
            <w:tcMar>
              <w:top w:w="15" w:type="dxa"/>
              <w:left w:w="15" w:type="dxa"/>
              <w:bottom w:w="15" w:type="dxa"/>
              <w:right w:w="15" w:type="dxa"/>
            </w:tcMar>
            <w:vAlign w:val="bottom"/>
          </w:tcPr>
          <w:p/>
        </w:tc>
      </w:tr>
      <w:tr>
        <w:trPr>
          <w:trHeight w:val="210" w:hRule="atLeast"/>
        </w:trPr>
        <w:tc>
          <w:tcPr>
            <w:tcW w:w="9828" w:type="dxa"/>
            <w:tcBorders/>
            <w:tcMar>
              <w:top w:w="15" w:type="dxa"/>
              <w:left w:w="15" w:type="dxa"/>
              <w:bottom w:w="15" w:type="dxa"/>
              <w:right w:w="15" w:type="dxa"/>
            </w:tcMar>
            <w:vAlign w:val="top"/>
          </w:tcPr>
          <w:p>
            <w:pPr>
              <w:spacing w:before="0" w:after="0"/>
              <w:ind w:left="264"/>
              <w:jc w:val="left"/>
            </w:pPr>
            <w:r>
              <w:rPr>
                <w:rFonts w:ascii="Times New Roman" w:hAnsi="Times New Roman"/>
                <w:b w:val="false"/>
                <w:i w:val="false"/>
                <w:color w:val="000000"/>
                <w:sz w:val="20"/>
              </w:rPr>
              <w:t xml:space="preserve"> Other assets </w:t>
            </w:r>
          </w:p>
        </w:tc>
        <w:tc>
          <w:tcPr>
            <w:tcW w:w="128"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491"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336,566 </w:t>
            </w:r>
          </w:p>
        </w:tc>
        <w:tc>
          <w:tcPr>
            <w:tcW w:w="156"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491"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353,522 </w:t>
            </w:r>
          </w:p>
        </w:tc>
        <w:tc>
          <w:tcPr>
            <w:tcW w:w="156" w:type="dxa"/>
            <w:tcBorders/>
            <w:tcMar>
              <w:top w:w="15" w:type="dxa"/>
              <w:left w:w="15" w:type="dxa"/>
              <w:bottom w:w="15" w:type="dxa"/>
              <w:right w:w="15" w:type="dxa"/>
            </w:tcMar>
            <w:vAlign w:val="bottom"/>
          </w:tcPr>
          <w:p/>
        </w:tc>
      </w:tr>
      <w:tr>
        <w:trPr>
          <w:trHeight w:val="240" w:hRule="atLeast"/>
        </w:trPr>
        <w:tc>
          <w:tcPr>
            <w:tcW w:w="9828" w:type="dxa"/>
            <w:tcBorders/>
            <w:shd w:fill="cceeff"/>
            <w:tcMar>
              <w:top w:w="15" w:type="dxa"/>
              <w:left w:w="15" w:type="dxa"/>
              <w:bottom w:w="30" w:type="dxa"/>
              <w:right w:w="15" w:type="dxa"/>
            </w:tcMar>
            <w:vAlign w:val="top"/>
          </w:tcPr>
          <w:p>
            <w:pPr>
              <w:spacing w:before="0" w:after="0"/>
              <w:ind w:left="264"/>
              <w:jc w:val="left"/>
            </w:pPr>
            <w:r>
              <w:rPr>
                <w:rFonts w:ascii="Times New Roman" w:hAnsi="Times New Roman"/>
                <w:b w:val="false"/>
                <w:i w:val="false"/>
                <w:color w:val="000000"/>
                <w:sz w:val="20"/>
              </w:rPr>
              <w:t xml:space="preserve"> Financial assets </w:t>
            </w:r>
          </w:p>
        </w:tc>
        <w:tc>
          <w:tcPr>
            <w:tcW w:w="128" w:type="dxa"/>
            <w:tcBorders/>
            <w:shd w:fill="cceeff"/>
            <w:tcMar>
              <w:top w:w="15" w:type="dxa"/>
              <w:left w:w="15" w:type="dxa"/>
              <w:bottom w:w="30" w:type="dxa"/>
              <w:right w:w="15" w:type="dxa"/>
            </w:tcMar>
            <w:vAlign w:val="bottom"/>
          </w:tcPr>
          <w:p/>
        </w:tc>
        <w:tc>
          <w:tcPr>
            <w:tcW w:w="128" w:type="dxa"/>
            <w:tcBorders>
              <w:bottom w:val="single" w:color="000000" w:sz="16"/>
            </w:tcBorders>
            <w:shd w:fill="cceeff"/>
            <w:tcMar>
              <w:top w:w="15" w:type="dxa"/>
              <w:left w:w="15" w:type="dxa"/>
              <w:bottom w:w="15" w:type="dxa"/>
              <w:right w:w="15" w:type="dxa"/>
            </w:tcMar>
            <w:vAlign w:val="bottom"/>
          </w:tcPr>
          <w:p/>
        </w:tc>
        <w:tc>
          <w:tcPr>
            <w:tcW w:w="1491"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27,206,990 </w:t>
            </w:r>
          </w:p>
        </w:tc>
        <w:tc>
          <w:tcPr>
            <w:tcW w:w="156" w:type="dxa"/>
            <w:tcBorders/>
            <w:shd w:fill="cceeff"/>
            <w:tcMar>
              <w:top w:w="15" w:type="dxa"/>
              <w:left w:w="15" w:type="dxa"/>
              <w:bottom w:w="30" w:type="dxa"/>
              <w:right w:w="15" w:type="dxa"/>
            </w:tcMar>
            <w:vAlign w:val="bottom"/>
          </w:tcPr>
          <w:p/>
        </w:tc>
        <w:tc>
          <w:tcPr>
            <w:tcW w:w="128" w:type="dxa"/>
            <w:tcBorders/>
            <w:shd w:fill="cceeff"/>
            <w:tcMar>
              <w:top w:w="15" w:type="dxa"/>
              <w:left w:w="15" w:type="dxa"/>
              <w:bottom w:w="30" w:type="dxa"/>
              <w:right w:w="15" w:type="dxa"/>
            </w:tcMar>
            <w:vAlign w:val="bottom"/>
          </w:tcPr>
          <w:p/>
        </w:tc>
        <w:tc>
          <w:tcPr>
            <w:tcW w:w="128" w:type="dxa"/>
            <w:tcBorders>
              <w:bottom w:val="single" w:color="000000" w:sz="16"/>
            </w:tcBorders>
            <w:shd w:fill="cceeff"/>
            <w:tcMar>
              <w:top w:w="15" w:type="dxa"/>
              <w:left w:w="15" w:type="dxa"/>
              <w:bottom w:w="15" w:type="dxa"/>
              <w:right w:w="15" w:type="dxa"/>
            </w:tcMar>
            <w:vAlign w:val="bottom"/>
          </w:tcPr>
          <w:p/>
        </w:tc>
        <w:tc>
          <w:tcPr>
            <w:tcW w:w="1491"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272,268 </w:t>
            </w:r>
          </w:p>
        </w:tc>
        <w:tc>
          <w:tcPr>
            <w:tcW w:w="156" w:type="dxa"/>
            <w:tcBorders/>
            <w:shd w:fill="cceeff"/>
            <w:tcMar>
              <w:top w:w="15" w:type="dxa"/>
              <w:left w:w="15" w:type="dxa"/>
              <w:bottom w:w="30" w:type="dxa"/>
              <w:right w:w="15" w:type="dxa"/>
            </w:tcMar>
            <w:vAlign w:val="bottom"/>
          </w:tcPr>
          <w:p/>
        </w:tc>
      </w:tr>
      <w:tr>
        <w:trPr>
          <w:trHeight w:val="255" w:hRule="atLeast"/>
        </w:trPr>
        <w:tc>
          <w:tcPr>
            <w:tcW w:w="9828" w:type="dxa"/>
            <w:tcBorders/>
            <w:tcMar>
              <w:top w:w="15" w:type="dxa"/>
              <w:left w:w="15" w:type="dxa"/>
              <w:bottom w:w="30" w:type="dxa"/>
              <w:right w:w="15" w:type="dxa"/>
            </w:tcMar>
            <w:vAlign w:val="bottom"/>
          </w:tcPr>
          <w:p>
            <w:pPr>
              <w:spacing w:before="0" w:after="0"/>
              <w:ind w:left="264"/>
              <w:jc w:val="left"/>
            </w:pPr>
            <w:r>
              <w:rPr>
                <w:rFonts w:ascii="Times New Roman" w:hAnsi="Times New Roman"/>
                <w:b/>
                <w:i w:val="false"/>
                <w:color w:val="000000"/>
                <w:sz w:val="20"/>
              </w:rPr>
              <w:t xml:space="preserve"> Total non-current assets </w:t>
            </w:r>
          </w:p>
        </w:tc>
        <w:tc>
          <w:tcPr>
            <w:tcW w:w="128" w:type="dxa"/>
            <w:tcBorders/>
            <w:tcMar>
              <w:top w:w="15" w:type="dxa"/>
              <w:left w:w="15" w:type="dxa"/>
              <w:bottom w:w="30" w:type="dxa"/>
              <w:right w:w="15" w:type="dxa"/>
            </w:tcMar>
            <w:vAlign w:val="bottom"/>
          </w:tcPr>
          <w:p/>
        </w:tc>
        <w:tc>
          <w:tcPr>
            <w:tcW w:w="128" w:type="dxa"/>
            <w:tcBorders>
              <w:bottom w:val="single" w:color="000000" w:sz="16"/>
            </w:tcBorders>
            <w:tcMar>
              <w:top w:w="15" w:type="dxa"/>
              <w:left w:w="15" w:type="dxa"/>
              <w:bottom w:w="15" w:type="dxa"/>
              <w:right w:w="15" w:type="dxa"/>
            </w:tcMar>
            <w:vAlign w:val="bottom"/>
          </w:tcPr>
          <w:p/>
        </w:tc>
        <w:tc>
          <w:tcPr>
            <w:tcW w:w="1491"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29,461,224 </w:t>
            </w:r>
          </w:p>
        </w:tc>
        <w:tc>
          <w:tcPr>
            <w:tcW w:w="156" w:type="dxa"/>
            <w:tcBorders/>
            <w:tcMar>
              <w:top w:w="15" w:type="dxa"/>
              <w:left w:w="15" w:type="dxa"/>
              <w:bottom w:w="30" w:type="dxa"/>
              <w:right w:w="15" w:type="dxa"/>
            </w:tcMar>
            <w:vAlign w:val="bottom"/>
          </w:tcPr>
          <w:p/>
        </w:tc>
        <w:tc>
          <w:tcPr>
            <w:tcW w:w="128" w:type="dxa"/>
            <w:tcBorders/>
            <w:tcMar>
              <w:top w:w="15" w:type="dxa"/>
              <w:left w:w="15" w:type="dxa"/>
              <w:bottom w:w="30" w:type="dxa"/>
              <w:right w:w="15" w:type="dxa"/>
            </w:tcMar>
            <w:vAlign w:val="bottom"/>
          </w:tcPr>
          <w:p/>
        </w:tc>
        <w:tc>
          <w:tcPr>
            <w:tcW w:w="128" w:type="dxa"/>
            <w:tcBorders>
              <w:bottom w:val="single" w:color="000000" w:sz="16"/>
            </w:tcBorders>
            <w:tcMar>
              <w:top w:w="15" w:type="dxa"/>
              <w:left w:w="15" w:type="dxa"/>
              <w:bottom w:w="15" w:type="dxa"/>
              <w:right w:w="15" w:type="dxa"/>
            </w:tcMar>
            <w:vAlign w:val="bottom"/>
          </w:tcPr>
          <w:p/>
        </w:tc>
        <w:tc>
          <w:tcPr>
            <w:tcW w:w="1491"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1,930,930 </w:t>
            </w:r>
          </w:p>
        </w:tc>
        <w:tc>
          <w:tcPr>
            <w:tcW w:w="156" w:type="dxa"/>
            <w:tcBorders/>
            <w:tcMar>
              <w:top w:w="15" w:type="dxa"/>
              <w:left w:w="15" w:type="dxa"/>
              <w:bottom w:w="30" w:type="dxa"/>
              <w:right w:w="15" w:type="dxa"/>
            </w:tcMar>
            <w:vAlign w:val="bottom"/>
          </w:tcPr>
          <w:p/>
        </w:tc>
      </w:tr>
      <w:tr>
        <w:trPr>
          <w:trHeight w:val="225" w:hRule="atLeast"/>
        </w:trPr>
        <w:tc>
          <w:tcPr>
            <w:tcW w:w="9828" w:type="dxa"/>
            <w:tcBorders/>
            <w:shd w:fill="cceeff"/>
            <w:tcMar>
              <w:top w:w="15" w:type="dxa"/>
              <w:left w:w="15" w:type="dxa"/>
              <w:bottom w:w="15" w:type="dxa"/>
              <w:right w:w="15" w:type="dxa"/>
            </w:tcMar>
            <w:vAlign w:val="bottom"/>
          </w:tcPr>
          <w:p>
            <w:pPr>
              <w:spacing w:before="0" w:after="0"/>
              <w:ind w:left="264"/>
              <w:jc w:val="left"/>
            </w:pPr>
            <w:r>
              <w:rPr>
                <w:rFonts w:ascii="Times New Roman" w:hAnsi="Times New Roman"/>
                <w:b/>
                <w:i w:val="false"/>
                <w:color w:val="000000"/>
                <w:sz w:val="20"/>
              </w:rPr>
              <w:t xml:space="preserve"> Current assets </w:t>
            </w:r>
          </w:p>
        </w:tc>
        <w:tc>
          <w:tcPr>
            <w:tcW w:w="128"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491" w:type="dxa"/>
            <w:tcBorders/>
            <w:shd w:fill="cceeff"/>
            <w:tcMar>
              <w:top w:w="15" w:type="dxa"/>
              <w:left w:w="15" w:type="dxa"/>
              <w:bottom w:w="15" w:type="dxa"/>
              <w:right w:w="15" w:type="dxa"/>
            </w:tcMar>
            <w:vAlign w:val="bottom"/>
          </w:tcPr>
          <w:p/>
        </w:tc>
        <w:tc>
          <w:tcPr>
            <w:tcW w:w="156"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491" w:type="dxa"/>
            <w:tcBorders/>
            <w:shd w:fill="cceeff"/>
            <w:tcMar>
              <w:top w:w="15" w:type="dxa"/>
              <w:left w:w="15" w:type="dxa"/>
              <w:bottom w:w="15" w:type="dxa"/>
              <w:right w:w="15" w:type="dxa"/>
            </w:tcMar>
            <w:vAlign w:val="bottom"/>
          </w:tcPr>
          <w:p/>
        </w:tc>
        <w:tc>
          <w:tcPr>
            <w:tcW w:w="156" w:type="dxa"/>
            <w:tcBorders/>
            <w:shd w:fill="cceeff"/>
            <w:tcMar>
              <w:top w:w="15" w:type="dxa"/>
              <w:left w:w="15" w:type="dxa"/>
              <w:bottom w:w="15" w:type="dxa"/>
              <w:right w:w="15" w:type="dxa"/>
            </w:tcMar>
            <w:vAlign w:val="bottom"/>
          </w:tcPr>
          <w:p/>
        </w:tc>
      </w:tr>
      <w:tr>
        <w:trPr>
          <w:trHeight w:val="210" w:hRule="atLeast"/>
        </w:trPr>
        <w:tc>
          <w:tcPr>
            <w:tcW w:w="9828" w:type="dxa"/>
            <w:tcBorders/>
            <w:tcMar>
              <w:top w:w="15" w:type="dxa"/>
              <w:left w:w="15" w:type="dxa"/>
              <w:bottom w:w="15" w:type="dxa"/>
              <w:right w:w="15" w:type="dxa"/>
            </w:tcMar>
            <w:vAlign w:val="bottom"/>
          </w:tcPr>
          <w:p>
            <w:pPr>
              <w:spacing w:before="0" w:after="0"/>
              <w:ind w:left="264"/>
              <w:jc w:val="left"/>
            </w:pPr>
            <w:r>
              <w:rPr>
                <w:rFonts w:ascii="Times New Roman" w:hAnsi="Times New Roman"/>
                <w:b w:val="false"/>
                <w:i w:val="false"/>
                <w:color w:val="000000"/>
                <w:sz w:val="20"/>
              </w:rPr>
              <w:t xml:space="preserve"> Current other assets* </w:t>
            </w:r>
          </w:p>
        </w:tc>
        <w:tc>
          <w:tcPr>
            <w:tcW w:w="128"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491"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10,983,458 </w:t>
            </w:r>
          </w:p>
        </w:tc>
        <w:tc>
          <w:tcPr>
            <w:tcW w:w="156"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491"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3,734,700 </w:t>
            </w:r>
          </w:p>
        </w:tc>
        <w:tc>
          <w:tcPr>
            <w:tcW w:w="156" w:type="dxa"/>
            <w:tcBorders/>
            <w:tcMar>
              <w:top w:w="15" w:type="dxa"/>
              <w:left w:w="15" w:type="dxa"/>
              <w:bottom w:w="15" w:type="dxa"/>
              <w:right w:w="15" w:type="dxa"/>
            </w:tcMar>
            <w:vAlign w:val="bottom"/>
          </w:tcPr>
          <w:p/>
        </w:tc>
      </w:tr>
      <w:tr>
        <w:trPr>
          <w:trHeight w:val="210" w:hRule="atLeast"/>
        </w:trPr>
        <w:tc>
          <w:tcPr>
            <w:tcW w:w="9828" w:type="dxa"/>
            <w:tcBorders/>
            <w:shd w:fill="cceeff"/>
            <w:tcMar>
              <w:top w:w="15" w:type="dxa"/>
              <w:left w:w="15" w:type="dxa"/>
              <w:bottom w:w="15" w:type="dxa"/>
              <w:right w:w="15" w:type="dxa"/>
            </w:tcMar>
            <w:vAlign w:val="top"/>
          </w:tcPr>
          <w:p>
            <w:pPr>
              <w:spacing w:before="0" w:after="0"/>
              <w:ind w:left="264"/>
              <w:jc w:val="left"/>
            </w:pPr>
            <w:r>
              <w:rPr>
                <w:rFonts w:ascii="Times New Roman" w:hAnsi="Times New Roman"/>
                <w:b w:val="false"/>
                <w:i w:val="false"/>
                <w:color w:val="000000"/>
                <w:sz w:val="20"/>
              </w:rPr>
              <w:t xml:space="preserve"> Income tax receivable* </w:t>
            </w:r>
          </w:p>
        </w:tc>
        <w:tc>
          <w:tcPr>
            <w:tcW w:w="128"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491"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1,282,177 </w:t>
            </w:r>
          </w:p>
        </w:tc>
        <w:tc>
          <w:tcPr>
            <w:tcW w:w="156"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491"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1,419,490 </w:t>
            </w:r>
          </w:p>
        </w:tc>
        <w:tc>
          <w:tcPr>
            <w:tcW w:w="156" w:type="dxa"/>
            <w:tcBorders/>
            <w:shd w:fill="cceeff"/>
            <w:tcMar>
              <w:top w:w="15" w:type="dxa"/>
              <w:left w:w="15" w:type="dxa"/>
              <w:bottom w:w="15" w:type="dxa"/>
              <w:right w:w="15" w:type="dxa"/>
            </w:tcMar>
            <w:vAlign w:val="bottom"/>
          </w:tcPr>
          <w:p/>
        </w:tc>
      </w:tr>
      <w:tr>
        <w:trPr>
          <w:trHeight w:val="210" w:hRule="atLeast"/>
        </w:trPr>
        <w:tc>
          <w:tcPr>
            <w:tcW w:w="9828" w:type="dxa"/>
            <w:tcBorders/>
            <w:tcMar>
              <w:top w:w="15" w:type="dxa"/>
              <w:left w:w="15" w:type="dxa"/>
              <w:bottom w:w="15" w:type="dxa"/>
              <w:right w:w="15" w:type="dxa"/>
            </w:tcMar>
            <w:vAlign w:val="top"/>
          </w:tcPr>
          <w:p>
            <w:pPr>
              <w:spacing w:before="0" w:after="0"/>
              <w:ind w:left="264"/>
              <w:jc w:val="left"/>
            </w:pPr>
            <w:r>
              <w:rPr>
                <w:rFonts w:ascii="Times New Roman" w:hAnsi="Times New Roman"/>
                <w:b w:val="false"/>
                <w:i w:val="false"/>
                <w:color w:val="000000"/>
                <w:sz w:val="20"/>
              </w:rPr>
              <w:t xml:space="preserve"> Financial assets </w:t>
            </w:r>
          </w:p>
        </w:tc>
        <w:tc>
          <w:tcPr>
            <w:tcW w:w="128"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491"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57,162,266 </w:t>
            </w:r>
          </w:p>
        </w:tc>
        <w:tc>
          <w:tcPr>
            <w:tcW w:w="156"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491"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55,162,033 </w:t>
            </w:r>
          </w:p>
        </w:tc>
        <w:tc>
          <w:tcPr>
            <w:tcW w:w="156" w:type="dxa"/>
            <w:tcBorders/>
            <w:tcMar>
              <w:top w:w="15" w:type="dxa"/>
              <w:left w:w="15" w:type="dxa"/>
              <w:bottom w:w="15" w:type="dxa"/>
              <w:right w:w="15" w:type="dxa"/>
            </w:tcMar>
            <w:vAlign w:val="bottom"/>
          </w:tcPr>
          <w:p/>
        </w:tc>
      </w:tr>
      <w:tr>
        <w:trPr>
          <w:trHeight w:val="240" w:hRule="atLeast"/>
        </w:trPr>
        <w:tc>
          <w:tcPr>
            <w:tcW w:w="9828" w:type="dxa"/>
            <w:tcBorders/>
            <w:shd w:fill="cceeff"/>
            <w:tcMar>
              <w:top w:w="15" w:type="dxa"/>
              <w:left w:w="15" w:type="dxa"/>
              <w:bottom w:w="30" w:type="dxa"/>
              <w:right w:w="15" w:type="dxa"/>
            </w:tcMar>
            <w:vAlign w:val="top"/>
          </w:tcPr>
          <w:p>
            <w:pPr>
              <w:spacing w:before="0" w:after="0"/>
              <w:ind w:left="264"/>
              <w:jc w:val="left"/>
            </w:pPr>
            <w:r>
              <w:rPr>
                <w:rFonts w:ascii="Times New Roman" w:hAnsi="Times New Roman"/>
                <w:b w:val="false"/>
                <w:i w:val="false"/>
                <w:color w:val="000000"/>
                <w:sz w:val="20"/>
              </w:rPr>
              <w:t xml:space="preserve"> Cash and cash equivalents </w:t>
            </w:r>
          </w:p>
        </w:tc>
        <w:tc>
          <w:tcPr>
            <w:tcW w:w="128" w:type="dxa"/>
            <w:tcBorders/>
            <w:shd w:fill="cceeff"/>
            <w:tcMar>
              <w:top w:w="15" w:type="dxa"/>
              <w:left w:w="15" w:type="dxa"/>
              <w:bottom w:w="30" w:type="dxa"/>
              <w:right w:w="15" w:type="dxa"/>
            </w:tcMar>
            <w:vAlign w:val="bottom"/>
          </w:tcPr>
          <w:p/>
        </w:tc>
        <w:tc>
          <w:tcPr>
            <w:tcW w:w="128" w:type="dxa"/>
            <w:tcBorders>
              <w:bottom w:val="single" w:color="000000" w:sz="16"/>
            </w:tcBorders>
            <w:shd w:fill="cceeff"/>
            <w:tcMar>
              <w:top w:w="15" w:type="dxa"/>
              <w:left w:w="15" w:type="dxa"/>
              <w:bottom w:w="15" w:type="dxa"/>
              <w:right w:w="15" w:type="dxa"/>
            </w:tcMar>
            <w:vAlign w:val="bottom"/>
          </w:tcPr>
          <w:p/>
        </w:tc>
        <w:tc>
          <w:tcPr>
            <w:tcW w:w="1491"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26,249,995 </w:t>
            </w:r>
          </w:p>
        </w:tc>
        <w:tc>
          <w:tcPr>
            <w:tcW w:w="156" w:type="dxa"/>
            <w:tcBorders/>
            <w:shd w:fill="cceeff"/>
            <w:tcMar>
              <w:top w:w="15" w:type="dxa"/>
              <w:left w:w="15" w:type="dxa"/>
              <w:bottom w:w="30" w:type="dxa"/>
              <w:right w:w="15" w:type="dxa"/>
            </w:tcMar>
            <w:vAlign w:val="bottom"/>
          </w:tcPr>
          <w:p/>
        </w:tc>
        <w:tc>
          <w:tcPr>
            <w:tcW w:w="128" w:type="dxa"/>
            <w:tcBorders/>
            <w:shd w:fill="cceeff"/>
            <w:tcMar>
              <w:top w:w="15" w:type="dxa"/>
              <w:left w:w="15" w:type="dxa"/>
              <w:bottom w:w="30" w:type="dxa"/>
              <w:right w:w="15" w:type="dxa"/>
            </w:tcMar>
            <w:vAlign w:val="bottom"/>
          </w:tcPr>
          <w:p/>
        </w:tc>
        <w:tc>
          <w:tcPr>
            <w:tcW w:w="128" w:type="dxa"/>
            <w:tcBorders>
              <w:bottom w:val="single" w:color="000000" w:sz="16"/>
            </w:tcBorders>
            <w:shd w:fill="cceeff"/>
            <w:tcMar>
              <w:top w:w="15" w:type="dxa"/>
              <w:left w:w="15" w:type="dxa"/>
              <w:bottom w:w="15" w:type="dxa"/>
              <w:right w:w="15" w:type="dxa"/>
            </w:tcMar>
            <w:vAlign w:val="bottom"/>
          </w:tcPr>
          <w:p/>
        </w:tc>
        <w:tc>
          <w:tcPr>
            <w:tcW w:w="1491"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25,968,681 </w:t>
            </w:r>
          </w:p>
        </w:tc>
        <w:tc>
          <w:tcPr>
            <w:tcW w:w="156" w:type="dxa"/>
            <w:tcBorders/>
            <w:shd w:fill="cceeff"/>
            <w:tcMar>
              <w:top w:w="15" w:type="dxa"/>
              <w:left w:w="15" w:type="dxa"/>
              <w:bottom w:w="30" w:type="dxa"/>
              <w:right w:w="15" w:type="dxa"/>
            </w:tcMar>
            <w:vAlign w:val="bottom"/>
          </w:tcPr>
          <w:p/>
        </w:tc>
      </w:tr>
      <w:tr>
        <w:trPr>
          <w:trHeight w:val="255" w:hRule="atLeast"/>
        </w:trPr>
        <w:tc>
          <w:tcPr>
            <w:tcW w:w="9828" w:type="dxa"/>
            <w:tcBorders/>
            <w:tcMar>
              <w:top w:w="15" w:type="dxa"/>
              <w:left w:w="15" w:type="dxa"/>
              <w:bottom w:w="30" w:type="dxa"/>
              <w:right w:w="15" w:type="dxa"/>
            </w:tcMar>
            <w:vAlign w:val="bottom"/>
          </w:tcPr>
          <w:p>
            <w:pPr>
              <w:spacing w:before="0" w:after="0"/>
              <w:ind w:left="264"/>
              <w:jc w:val="left"/>
            </w:pPr>
            <w:r>
              <w:rPr>
                <w:rFonts w:ascii="Times New Roman" w:hAnsi="Times New Roman"/>
                <w:b/>
                <w:i w:val="false"/>
                <w:color w:val="000000"/>
                <w:sz w:val="20"/>
              </w:rPr>
              <w:t xml:space="preserve"> Total current assets </w:t>
            </w:r>
          </w:p>
        </w:tc>
        <w:tc>
          <w:tcPr>
            <w:tcW w:w="128" w:type="dxa"/>
            <w:tcBorders/>
            <w:tcMar>
              <w:top w:w="15" w:type="dxa"/>
              <w:left w:w="15" w:type="dxa"/>
              <w:bottom w:w="30" w:type="dxa"/>
              <w:right w:w="15" w:type="dxa"/>
            </w:tcMar>
            <w:vAlign w:val="bottom"/>
          </w:tcPr>
          <w:p/>
        </w:tc>
        <w:tc>
          <w:tcPr>
            <w:tcW w:w="128" w:type="dxa"/>
            <w:tcBorders>
              <w:bottom w:val="single" w:color="000000" w:sz="16"/>
            </w:tcBorders>
            <w:tcMar>
              <w:top w:w="15" w:type="dxa"/>
              <w:left w:w="15" w:type="dxa"/>
              <w:bottom w:w="15" w:type="dxa"/>
              <w:right w:w="15" w:type="dxa"/>
            </w:tcMar>
            <w:vAlign w:val="bottom"/>
          </w:tcPr>
          <w:p/>
        </w:tc>
        <w:tc>
          <w:tcPr>
            <w:tcW w:w="1491"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95,677,896 </w:t>
            </w:r>
          </w:p>
        </w:tc>
        <w:tc>
          <w:tcPr>
            <w:tcW w:w="156" w:type="dxa"/>
            <w:tcBorders/>
            <w:tcMar>
              <w:top w:w="15" w:type="dxa"/>
              <w:left w:w="15" w:type="dxa"/>
              <w:bottom w:w="30" w:type="dxa"/>
              <w:right w:w="15" w:type="dxa"/>
            </w:tcMar>
            <w:vAlign w:val="bottom"/>
          </w:tcPr>
          <w:p/>
        </w:tc>
        <w:tc>
          <w:tcPr>
            <w:tcW w:w="128" w:type="dxa"/>
            <w:tcBorders/>
            <w:tcMar>
              <w:top w:w="15" w:type="dxa"/>
              <w:left w:w="15" w:type="dxa"/>
              <w:bottom w:w="30" w:type="dxa"/>
              <w:right w:w="15" w:type="dxa"/>
            </w:tcMar>
            <w:vAlign w:val="bottom"/>
          </w:tcPr>
          <w:p/>
        </w:tc>
        <w:tc>
          <w:tcPr>
            <w:tcW w:w="128" w:type="dxa"/>
            <w:tcBorders>
              <w:bottom w:val="single" w:color="000000" w:sz="16"/>
            </w:tcBorders>
            <w:tcMar>
              <w:top w:w="15" w:type="dxa"/>
              <w:left w:w="15" w:type="dxa"/>
              <w:bottom w:w="15" w:type="dxa"/>
              <w:right w:w="15" w:type="dxa"/>
            </w:tcMar>
            <w:vAlign w:val="bottom"/>
          </w:tcPr>
          <w:p/>
        </w:tc>
        <w:tc>
          <w:tcPr>
            <w:tcW w:w="1491"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86,284,904 </w:t>
            </w:r>
          </w:p>
        </w:tc>
        <w:tc>
          <w:tcPr>
            <w:tcW w:w="156" w:type="dxa"/>
            <w:tcBorders/>
            <w:tcMar>
              <w:top w:w="15" w:type="dxa"/>
              <w:left w:w="15" w:type="dxa"/>
              <w:bottom w:w="30" w:type="dxa"/>
              <w:right w:w="15" w:type="dxa"/>
            </w:tcMar>
            <w:vAlign w:val="bottom"/>
          </w:tcPr>
          <w:p/>
        </w:tc>
      </w:tr>
      <w:tr>
        <w:trPr>
          <w:trHeight w:val="285" w:hRule="atLeast"/>
        </w:trPr>
        <w:tc>
          <w:tcPr>
            <w:tcW w:w="9828" w:type="dxa"/>
            <w:tcBorders/>
            <w:shd w:fill="cceeff"/>
            <w:tcMar>
              <w:top w:w="15" w:type="dxa"/>
              <w:left w:w="15" w:type="dxa"/>
              <w:bottom w:w="60" w:type="dxa"/>
              <w:right w:w="15" w:type="dxa"/>
            </w:tcMar>
            <w:vAlign w:val="bottom"/>
          </w:tcPr>
          <w:p>
            <w:pPr>
              <w:spacing w:before="0" w:after="0"/>
              <w:ind w:left="264"/>
              <w:jc w:val="left"/>
            </w:pPr>
            <w:r>
              <w:rPr>
                <w:rFonts w:ascii="Times New Roman" w:hAnsi="Times New Roman"/>
                <w:b/>
                <w:i w:val="false"/>
                <w:color w:val="000000"/>
                <w:sz w:val="20"/>
              </w:rPr>
              <w:t xml:space="preserve"> TOTAL ASSETS </w:t>
            </w:r>
          </w:p>
        </w:tc>
        <w:tc>
          <w:tcPr>
            <w:tcW w:w="128" w:type="dxa"/>
            <w:tcBorders/>
            <w:shd w:fill="cceeff"/>
            <w:tcMar>
              <w:top w:w="15" w:type="dxa"/>
              <w:left w:w="15" w:type="dxa"/>
              <w:bottom w:w="60" w:type="dxa"/>
              <w:right w:w="15" w:type="dxa"/>
            </w:tcMar>
            <w:vAlign w:val="bottom"/>
          </w:tcPr>
          <w:p/>
        </w:tc>
        <w:tc>
          <w:tcPr>
            <w:tcW w:w="128" w:type="dxa"/>
            <w:tcBorders>
              <w:bottom w:val="double" w:color="000000" w:sz="11"/>
            </w:tcBorders>
            <w:shd w:fill="cceeff"/>
            <w:tcMar>
              <w:top w:w="15" w:type="dxa"/>
              <w:left w:w="15" w:type="dxa"/>
              <w:bottom w:w="15" w:type="dxa"/>
              <w:right w:w="15" w:type="dxa"/>
            </w:tcMar>
            <w:vAlign w:val="bottom"/>
          </w:tcPr>
          <w:p/>
        </w:tc>
        <w:tc>
          <w:tcPr>
            <w:tcW w:w="1491" w:type="dxa"/>
            <w:tcBorders>
              <w:bottom w:val="double" w:color="000000" w:sz="11"/>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125,139,120 </w:t>
            </w:r>
          </w:p>
        </w:tc>
        <w:tc>
          <w:tcPr>
            <w:tcW w:w="156" w:type="dxa"/>
            <w:tcBorders/>
            <w:shd w:fill="cceeff"/>
            <w:tcMar>
              <w:top w:w="15" w:type="dxa"/>
              <w:left w:w="15" w:type="dxa"/>
              <w:bottom w:w="60" w:type="dxa"/>
              <w:right w:w="15" w:type="dxa"/>
            </w:tcMar>
            <w:vAlign w:val="bottom"/>
          </w:tcPr>
          <w:p/>
        </w:tc>
        <w:tc>
          <w:tcPr>
            <w:tcW w:w="128" w:type="dxa"/>
            <w:tcBorders/>
            <w:shd w:fill="cceeff"/>
            <w:tcMar>
              <w:top w:w="15" w:type="dxa"/>
              <w:left w:w="15" w:type="dxa"/>
              <w:bottom w:w="60" w:type="dxa"/>
              <w:right w:w="15" w:type="dxa"/>
            </w:tcMar>
            <w:vAlign w:val="bottom"/>
          </w:tcPr>
          <w:p/>
        </w:tc>
        <w:tc>
          <w:tcPr>
            <w:tcW w:w="128" w:type="dxa"/>
            <w:tcBorders>
              <w:bottom w:val="double" w:color="000000" w:sz="11"/>
            </w:tcBorders>
            <w:shd w:fill="cceeff"/>
            <w:tcMar>
              <w:top w:w="15" w:type="dxa"/>
              <w:left w:w="15" w:type="dxa"/>
              <w:bottom w:w="15" w:type="dxa"/>
              <w:right w:w="15" w:type="dxa"/>
            </w:tcMar>
            <w:vAlign w:val="bottom"/>
          </w:tcPr>
          <w:p/>
        </w:tc>
        <w:tc>
          <w:tcPr>
            <w:tcW w:w="1491" w:type="dxa"/>
            <w:tcBorders>
              <w:bottom w:val="double" w:color="000000" w:sz="11"/>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88,215,834 </w:t>
            </w:r>
          </w:p>
        </w:tc>
        <w:tc>
          <w:tcPr>
            <w:tcW w:w="156" w:type="dxa"/>
            <w:tcBorders/>
            <w:shd w:fill="cceeff"/>
            <w:tcMar>
              <w:top w:w="15" w:type="dxa"/>
              <w:left w:w="15" w:type="dxa"/>
              <w:bottom w:w="60" w:type="dxa"/>
              <w:right w:w="15" w:type="dxa"/>
            </w:tcMar>
            <w:vAlign w:val="bottom"/>
          </w:tcPr>
          <w:p/>
        </w:tc>
      </w:tr>
      <w:tr>
        <w:trPr/>
        <w:tc>
          <w:tcPr>
            <w:tcW w:w="9828"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491" w:type="dxa"/>
            <w:tcBorders/>
            <w:tcMar>
              <w:top w:w="15" w:type="dxa"/>
              <w:left w:w="15" w:type="dxa"/>
              <w:bottom w:w="15" w:type="dxa"/>
              <w:right w:w="15" w:type="dxa"/>
            </w:tcMar>
            <w:vAlign w:val="bottom"/>
          </w:tcPr>
          <w:p/>
        </w:tc>
        <w:tc>
          <w:tcPr>
            <w:tcW w:w="156"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491" w:type="dxa"/>
            <w:tcBorders/>
            <w:tcMar>
              <w:top w:w="15" w:type="dxa"/>
              <w:left w:w="15" w:type="dxa"/>
              <w:bottom w:w="15" w:type="dxa"/>
              <w:right w:w="15" w:type="dxa"/>
            </w:tcMar>
            <w:vAlign w:val="bottom"/>
          </w:tcPr>
          <w:p/>
        </w:tc>
        <w:tc>
          <w:tcPr>
            <w:tcW w:w="156" w:type="dxa"/>
            <w:tcBorders/>
            <w:tcMar>
              <w:top w:w="15" w:type="dxa"/>
              <w:left w:w="15" w:type="dxa"/>
              <w:bottom w:w="15" w:type="dxa"/>
              <w:right w:w="15" w:type="dxa"/>
            </w:tcMar>
            <w:vAlign w:val="bottom"/>
          </w:tcPr>
          <w:p/>
        </w:tc>
      </w:tr>
      <w:tr>
        <w:trPr>
          <w:trHeight w:val="225" w:hRule="atLeast"/>
        </w:trPr>
        <w:tc>
          <w:tcPr>
            <w:tcW w:w="9828" w:type="dxa"/>
            <w:tcBorders/>
            <w:shd w:fill="cceeff"/>
            <w:tcMar>
              <w:top w:w="15" w:type="dxa"/>
              <w:left w:w="15" w:type="dxa"/>
              <w:bottom w:w="15" w:type="dxa"/>
              <w:right w:w="15" w:type="dxa"/>
            </w:tcMar>
            <w:vAlign w:val="bottom"/>
          </w:tcPr>
          <w:p>
            <w:pPr>
              <w:spacing w:before="0" w:after="0"/>
              <w:ind w:left="264"/>
              <w:jc w:val="left"/>
            </w:pPr>
            <w:r>
              <w:rPr>
                <w:rFonts w:ascii="Times New Roman" w:hAnsi="Times New Roman"/>
                <w:b/>
                <w:i w:val="false"/>
                <w:color w:val="000000"/>
                <w:sz w:val="20"/>
              </w:rPr>
              <w:t xml:space="preserve"> EQUITY AND LIABILITIES </w:t>
            </w:r>
          </w:p>
        </w:tc>
        <w:tc>
          <w:tcPr>
            <w:tcW w:w="128"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491" w:type="dxa"/>
            <w:tcBorders/>
            <w:shd w:fill="cceeff"/>
            <w:tcMar>
              <w:top w:w="15" w:type="dxa"/>
              <w:left w:w="15" w:type="dxa"/>
              <w:bottom w:w="15" w:type="dxa"/>
              <w:right w:w="15" w:type="dxa"/>
            </w:tcMar>
            <w:vAlign w:val="bottom"/>
          </w:tcPr>
          <w:p/>
        </w:tc>
        <w:tc>
          <w:tcPr>
            <w:tcW w:w="156"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491" w:type="dxa"/>
            <w:tcBorders/>
            <w:shd w:fill="cceeff"/>
            <w:tcMar>
              <w:top w:w="15" w:type="dxa"/>
              <w:left w:w="15" w:type="dxa"/>
              <w:bottom w:w="15" w:type="dxa"/>
              <w:right w:w="15" w:type="dxa"/>
            </w:tcMar>
            <w:vAlign w:val="bottom"/>
          </w:tcPr>
          <w:p/>
        </w:tc>
        <w:tc>
          <w:tcPr>
            <w:tcW w:w="156" w:type="dxa"/>
            <w:tcBorders/>
            <w:shd w:fill="cceeff"/>
            <w:tcMar>
              <w:top w:w="15" w:type="dxa"/>
              <w:left w:w="15" w:type="dxa"/>
              <w:bottom w:w="15" w:type="dxa"/>
              <w:right w:w="15" w:type="dxa"/>
            </w:tcMar>
            <w:vAlign w:val="bottom"/>
          </w:tcPr>
          <w:p/>
        </w:tc>
      </w:tr>
      <w:tr>
        <w:trPr>
          <w:trHeight w:val="225" w:hRule="atLeast"/>
        </w:trPr>
        <w:tc>
          <w:tcPr>
            <w:tcW w:w="9828" w:type="dxa"/>
            <w:tcBorders/>
            <w:tcMar>
              <w:top w:w="15" w:type="dxa"/>
              <w:left w:w="15" w:type="dxa"/>
              <w:bottom w:w="15" w:type="dxa"/>
              <w:right w:w="15" w:type="dxa"/>
            </w:tcMar>
            <w:vAlign w:val="bottom"/>
          </w:tcPr>
          <w:p>
            <w:pPr>
              <w:spacing w:before="0" w:after="0"/>
              <w:ind w:left="264"/>
              <w:jc w:val="left"/>
            </w:pPr>
            <w:r>
              <w:rPr>
                <w:rFonts w:ascii="Times New Roman" w:hAnsi="Times New Roman"/>
                <w:b/>
                <w:i w:val="false"/>
                <w:color w:val="000000"/>
                <w:sz w:val="20"/>
              </w:rPr>
              <w:t xml:space="preserve"> Equity </w:t>
            </w:r>
          </w:p>
        </w:tc>
        <w:tc>
          <w:tcPr>
            <w:tcW w:w="128"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491" w:type="dxa"/>
            <w:tcBorders/>
            <w:tcMar>
              <w:top w:w="15" w:type="dxa"/>
              <w:left w:w="15" w:type="dxa"/>
              <w:bottom w:w="15" w:type="dxa"/>
              <w:right w:w="15" w:type="dxa"/>
            </w:tcMar>
            <w:vAlign w:val="bottom"/>
          </w:tcPr>
          <w:p/>
        </w:tc>
        <w:tc>
          <w:tcPr>
            <w:tcW w:w="156"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491" w:type="dxa"/>
            <w:tcBorders/>
            <w:tcMar>
              <w:top w:w="15" w:type="dxa"/>
              <w:left w:w="15" w:type="dxa"/>
              <w:bottom w:w="15" w:type="dxa"/>
              <w:right w:w="15" w:type="dxa"/>
            </w:tcMar>
            <w:vAlign w:val="bottom"/>
          </w:tcPr>
          <w:p/>
        </w:tc>
        <w:tc>
          <w:tcPr>
            <w:tcW w:w="156" w:type="dxa"/>
            <w:tcBorders/>
            <w:tcMar>
              <w:top w:w="15" w:type="dxa"/>
              <w:left w:w="15" w:type="dxa"/>
              <w:bottom w:w="15" w:type="dxa"/>
              <w:right w:w="15" w:type="dxa"/>
            </w:tcMar>
            <w:vAlign w:val="bottom"/>
          </w:tcPr>
          <w:p/>
        </w:tc>
      </w:tr>
      <w:tr>
        <w:trPr>
          <w:trHeight w:val="210" w:hRule="atLeast"/>
        </w:trPr>
        <w:tc>
          <w:tcPr>
            <w:tcW w:w="9828" w:type="dxa"/>
            <w:tcBorders/>
            <w:shd w:fill="cceeff"/>
            <w:tcMar>
              <w:top w:w="15" w:type="dxa"/>
              <w:left w:w="15" w:type="dxa"/>
              <w:bottom w:w="15" w:type="dxa"/>
              <w:right w:w="15" w:type="dxa"/>
            </w:tcMar>
            <w:vAlign w:val="bottom"/>
          </w:tcPr>
          <w:p>
            <w:pPr>
              <w:spacing w:before="0" w:after="0"/>
              <w:ind w:left="264"/>
              <w:jc w:val="left"/>
            </w:pPr>
            <w:r>
              <w:rPr>
                <w:rFonts w:ascii="Times New Roman" w:hAnsi="Times New Roman"/>
                <w:b w:val="false"/>
                <w:i w:val="false"/>
                <w:color w:val="000000"/>
                <w:sz w:val="20"/>
              </w:rPr>
              <w:t xml:space="preserve"> Issued capital </w:t>
            </w:r>
          </w:p>
        </w:tc>
        <w:tc>
          <w:tcPr>
            <w:tcW w:w="128"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491"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5,304,452 </w:t>
            </w:r>
          </w:p>
        </w:tc>
        <w:tc>
          <w:tcPr>
            <w:tcW w:w="156"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491"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3,387,410 </w:t>
            </w:r>
          </w:p>
        </w:tc>
        <w:tc>
          <w:tcPr>
            <w:tcW w:w="156" w:type="dxa"/>
            <w:tcBorders/>
            <w:shd w:fill="cceeff"/>
            <w:tcMar>
              <w:top w:w="15" w:type="dxa"/>
              <w:left w:w="15" w:type="dxa"/>
              <w:bottom w:w="15" w:type="dxa"/>
              <w:right w:w="15" w:type="dxa"/>
            </w:tcMar>
            <w:vAlign w:val="bottom"/>
          </w:tcPr>
          <w:p/>
        </w:tc>
      </w:tr>
      <w:tr>
        <w:trPr>
          <w:trHeight w:val="210" w:hRule="atLeast"/>
        </w:trPr>
        <w:tc>
          <w:tcPr>
            <w:tcW w:w="9828" w:type="dxa"/>
            <w:tcBorders/>
            <w:tcMar>
              <w:top w:w="15" w:type="dxa"/>
              <w:left w:w="15" w:type="dxa"/>
              <w:bottom w:w="15" w:type="dxa"/>
              <w:right w:w="15" w:type="dxa"/>
            </w:tcMar>
            <w:vAlign w:val="bottom"/>
          </w:tcPr>
          <w:p>
            <w:pPr>
              <w:spacing w:before="0" w:after="0"/>
              <w:ind w:left="264"/>
              <w:jc w:val="left"/>
            </w:pPr>
            <w:r>
              <w:rPr>
                <w:rFonts w:ascii="Times New Roman" w:hAnsi="Times New Roman"/>
                <w:b w:val="false"/>
                <w:i w:val="false"/>
                <w:color w:val="000000"/>
                <w:sz w:val="20"/>
              </w:rPr>
              <w:t xml:space="preserve"> Share premium </w:t>
            </w:r>
          </w:p>
        </w:tc>
        <w:tc>
          <w:tcPr>
            <w:tcW w:w="128"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491"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280,310,744 </w:t>
            </w:r>
          </w:p>
        </w:tc>
        <w:tc>
          <w:tcPr>
            <w:tcW w:w="156"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491"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220,289,876 </w:t>
            </w:r>
          </w:p>
        </w:tc>
        <w:tc>
          <w:tcPr>
            <w:tcW w:w="156" w:type="dxa"/>
            <w:tcBorders/>
            <w:tcMar>
              <w:top w:w="15" w:type="dxa"/>
              <w:left w:w="15" w:type="dxa"/>
              <w:bottom w:w="15" w:type="dxa"/>
              <w:right w:w="15" w:type="dxa"/>
            </w:tcMar>
            <w:vAlign w:val="bottom"/>
          </w:tcPr>
          <w:p/>
        </w:tc>
      </w:tr>
      <w:tr>
        <w:trPr>
          <w:trHeight w:val="210" w:hRule="atLeast"/>
        </w:trPr>
        <w:tc>
          <w:tcPr>
            <w:tcW w:w="9828" w:type="dxa"/>
            <w:tcBorders/>
            <w:shd w:fill="cceeff"/>
            <w:tcMar>
              <w:top w:w="15" w:type="dxa"/>
              <w:left w:w="15" w:type="dxa"/>
              <w:bottom w:w="15" w:type="dxa"/>
              <w:right w:w="15" w:type="dxa"/>
            </w:tcMar>
            <w:vAlign w:val="bottom"/>
          </w:tcPr>
          <w:p>
            <w:pPr>
              <w:spacing w:before="0" w:after="0"/>
              <w:ind w:left="264"/>
              <w:jc w:val="left"/>
            </w:pPr>
            <w:r>
              <w:rPr>
                <w:rFonts w:ascii="Times New Roman" w:hAnsi="Times New Roman"/>
                <w:b w:val="false"/>
                <w:i w:val="false"/>
                <w:color w:val="000000"/>
                <w:sz w:val="20"/>
              </w:rPr>
              <w:t xml:space="preserve"> Other capital reserves </w:t>
            </w:r>
          </w:p>
        </w:tc>
        <w:tc>
          <w:tcPr>
            <w:tcW w:w="128"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491"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30,591,209 </w:t>
            </w:r>
          </w:p>
        </w:tc>
        <w:tc>
          <w:tcPr>
            <w:tcW w:w="156"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491"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26,259,004 </w:t>
            </w:r>
          </w:p>
        </w:tc>
        <w:tc>
          <w:tcPr>
            <w:tcW w:w="156" w:type="dxa"/>
            <w:tcBorders/>
            <w:shd w:fill="cceeff"/>
            <w:tcMar>
              <w:top w:w="15" w:type="dxa"/>
              <w:left w:w="15" w:type="dxa"/>
              <w:bottom w:w="15" w:type="dxa"/>
              <w:right w:w="15" w:type="dxa"/>
            </w:tcMar>
            <w:vAlign w:val="bottom"/>
          </w:tcPr>
          <w:p/>
        </w:tc>
      </w:tr>
      <w:tr>
        <w:trPr>
          <w:trHeight w:val="210" w:hRule="atLeast"/>
        </w:trPr>
        <w:tc>
          <w:tcPr>
            <w:tcW w:w="9828" w:type="dxa"/>
            <w:tcBorders/>
            <w:tcMar>
              <w:top w:w="15" w:type="dxa"/>
              <w:left w:w="15" w:type="dxa"/>
              <w:bottom w:w="15" w:type="dxa"/>
              <w:right w:w="15" w:type="dxa"/>
            </w:tcMar>
            <w:vAlign w:val="bottom"/>
          </w:tcPr>
          <w:p>
            <w:pPr>
              <w:spacing w:before="0" w:after="0"/>
              <w:ind w:left="264"/>
              <w:jc w:val="left"/>
            </w:pPr>
            <w:r>
              <w:rPr>
                <w:rFonts w:ascii="Times New Roman" w:hAnsi="Times New Roman"/>
                <w:b w:val="false"/>
                <w:i w:val="false"/>
                <w:color w:val="000000"/>
                <w:sz w:val="20"/>
              </w:rPr>
              <w:t xml:space="preserve"> Accumulated deficit </w:t>
            </w:r>
          </w:p>
        </w:tc>
        <w:tc>
          <w:tcPr>
            <w:tcW w:w="128"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491"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(213,975,679 </w:t>
            </w:r>
          </w:p>
        </w:tc>
        <w:tc>
          <w:tcPr>
            <w:tcW w:w="156" w:type="dxa"/>
            <w:tcBorders/>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c>
          <w:tcPr>
            <w:tcW w:w="128"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491"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(168,345,620 </w:t>
            </w:r>
          </w:p>
        </w:tc>
        <w:tc>
          <w:tcPr>
            <w:tcW w:w="156" w:type="dxa"/>
            <w:tcBorders/>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r>
      <w:tr>
        <w:trPr>
          <w:trHeight w:val="240" w:hRule="atLeast"/>
        </w:trPr>
        <w:tc>
          <w:tcPr>
            <w:tcW w:w="9828" w:type="dxa"/>
            <w:tcBorders/>
            <w:shd w:fill="cceeff"/>
            <w:tcMar>
              <w:top w:w="15" w:type="dxa"/>
              <w:left w:w="15" w:type="dxa"/>
              <w:bottom w:w="30" w:type="dxa"/>
              <w:right w:w="15" w:type="dxa"/>
            </w:tcMar>
            <w:vAlign w:val="bottom"/>
          </w:tcPr>
          <w:p>
            <w:pPr>
              <w:spacing w:before="0" w:after="0"/>
              <w:ind w:left="264"/>
              <w:jc w:val="left"/>
            </w:pPr>
            <w:r>
              <w:rPr>
                <w:rFonts w:ascii="Times New Roman" w:hAnsi="Times New Roman"/>
                <w:b w:val="false"/>
                <w:i w:val="false"/>
                <w:color w:val="000000"/>
                <w:sz w:val="20"/>
              </w:rPr>
              <w:t xml:space="preserve"> Other components of equity </w:t>
            </w:r>
          </w:p>
        </w:tc>
        <w:tc>
          <w:tcPr>
            <w:tcW w:w="128" w:type="dxa"/>
            <w:tcBorders/>
            <w:shd w:fill="cceeff"/>
            <w:tcMar>
              <w:top w:w="15" w:type="dxa"/>
              <w:left w:w="15" w:type="dxa"/>
              <w:bottom w:w="30" w:type="dxa"/>
              <w:right w:w="15" w:type="dxa"/>
            </w:tcMar>
            <w:vAlign w:val="bottom"/>
          </w:tcPr>
          <w:p/>
        </w:tc>
        <w:tc>
          <w:tcPr>
            <w:tcW w:w="128" w:type="dxa"/>
            <w:tcBorders>
              <w:bottom w:val="single" w:color="000000" w:sz="16"/>
            </w:tcBorders>
            <w:shd w:fill="cceeff"/>
            <w:tcMar>
              <w:top w:w="15" w:type="dxa"/>
              <w:left w:w="15" w:type="dxa"/>
              <w:bottom w:w="15" w:type="dxa"/>
              <w:right w:w="15" w:type="dxa"/>
            </w:tcMar>
            <w:vAlign w:val="bottom"/>
          </w:tcPr>
          <w:p/>
        </w:tc>
        <w:tc>
          <w:tcPr>
            <w:tcW w:w="1491"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3,050,270 </w:t>
            </w:r>
          </w:p>
        </w:tc>
        <w:tc>
          <w:tcPr>
            <w:tcW w:w="156" w:type="dxa"/>
            <w:tcBorders/>
            <w:shd w:fill="cceeff"/>
            <w:tcMar>
              <w:top w:w="15" w:type="dxa"/>
              <w:left w:w="15" w:type="dxa"/>
              <w:bottom w:w="30" w:type="dxa"/>
              <w:right w:w="15" w:type="dxa"/>
            </w:tcMar>
            <w:vAlign w:val="bottom"/>
          </w:tcPr>
          <w:p/>
        </w:tc>
        <w:tc>
          <w:tcPr>
            <w:tcW w:w="128" w:type="dxa"/>
            <w:tcBorders/>
            <w:shd w:fill="cceeff"/>
            <w:tcMar>
              <w:top w:w="15" w:type="dxa"/>
              <w:left w:w="15" w:type="dxa"/>
              <w:bottom w:w="30" w:type="dxa"/>
              <w:right w:w="15" w:type="dxa"/>
            </w:tcMar>
            <w:vAlign w:val="bottom"/>
          </w:tcPr>
          <w:p/>
        </w:tc>
        <w:tc>
          <w:tcPr>
            <w:tcW w:w="128" w:type="dxa"/>
            <w:tcBorders>
              <w:bottom w:val="single" w:color="000000" w:sz="16"/>
            </w:tcBorders>
            <w:shd w:fill="cceeff"/>
            <w:tcMar>
              <w:top w:w="15" w:type="dxa"/>
              <w:left w:w="15" w:type="dxa"/>
              <w:bottom w:w="15" w:type="dxa"/>
              <w:right w:w="15" w:type="dxa"/>
            </w:tcMar>
            <w:vAlign w:val="bottom"/>
          </w:tcPr>
          <w:p/>
        </w:tc>
        <w:tc>
          <w:tcPr>
            <w:tcW w:w="1491"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(3,726,791 </w:t>
            </w:r>
          </w:p>
        </w:tc>
        <w:tc>
          <w:tcPr>
            <w:tcW w:w="156" w:type="dxa"/>
            <w:tcBorders/>
            <w:shd w:fill="cceeff"/>
            <w:tcMar>
              <w:top w:w="15" w:type="dxa"/>
              <w:left w:w="15" w:type="dxa"/>
              <w:bottom w:w="30"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r>
      <w:tr>
        <w:trPr>
          <w:trHeight w:val="255" w:hRule="atLeast"/>
        </w:trPr>
        <w:tc>
          <w:tcPr>
            <w:tcW w:w="9828" w:type="dxa"/>
            <w:tcBorders/>
            <w:tcMar>
              <w:top w:w="15" w:type="dxa"/>
              <w:left w:w="15" w:type="dxa"/>
              <w:bottom w:w="30" w:type="dxa"/>
              <w:right w:w="15" w:type="dxa"/>
            </w:tcMar>
            <w:vAlign w:val="bottom"/>
          </w:tcPr>
          <w:p>
            <w:pPr>
              <w:spacing w:before="0" w:after="0"/>
              <w:ind w:left="264"/>
              <w:jc w:val="left"/>
            </w:pPr>
            <w:r>
              <w:rPr>
                <w:rFonts w:ascii="Times New Roman" w:hAnsi="Times New Roman"/>
                <w:b/>
                <w:i w:val="false"/>
                <w:color w:val="000000"/>
                <w:sz w:val="20"/>
              </w:rPr>
              <w:t xml:space="preserve"> Total equity </w:t>
            </w:r>
          </w:p>
        </w:tc>
        <w:tc>
          <w:tcPr>
            <w:tcW w:w="128" w:type="dxa"/>
            <w:tcBorders/>
            <w:tcMar>
              <w:top w:w="15" w:type="dxa"/>
              <w:left w:w="15" w:type="dxa"/>
              <w:bottom w:w="30" w:type="dxa"/>
              <w:right w:w="15" w:type="dxa"/>
            </w:tcMar>
            <w:vAlign w:val="bottom"/>
          </w:tcPr>
          <w:p/>
        </w:tc>
        <w:tc>
          <w:tcPr>
            <w:tcW w:w="128" w:type="dxa"/>
            <w:tcBorders>
              <w:bottom w:val="single" w:color="000000" w:sz="16"/>
            </w:tcBorders>
            <w:tcMar>
              <w:top w:w="15" w:type="dxa"/>
              <w:left w:w="15" w:type="dxa"/>
              <w:bottom w:w="15" w:type="dxa"/>
              <w:right w:w="15" w:type="dxa"/>
            </w:tcMar>
            <w:vAlign w:val="bottom"/>
          </w:tcPr>
          <w:p/>
        </w:tc>
        <w:tc>
          <w:tcPr>
            <w:tcW w:w="1491"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105,280,996 </w:t>
            </w:r>
          </w:p>
        </w:tc>
        <w:tc>
          <w:tcPr>
            <w:tcW w:w="156" w:type="dxa"/>
            <w:tcBorders/>
            <w:tcMar>
              <w:top w:w="15" w:type="dxa"/>
              <w:left w:w="15" w:type="dxa"/>
              <w:bottom w:w="30" w:type="dxa"/>
              <w:right w:w="15" w:type="dxa"/>
            </w:tcMar>
            <w:vAlign w:val="bottom"/>
          </w:tcPr>
          <w:p/>
        </w:tc>
        <w:tc>
          <w:tcPr>
            <w:tcW w:w="128" w:type="dxa"/>
            <w:tcBorders/>
            <w:tcMar>
              <w:top w:w="15" w:type="dxa"/>
              <w:left w:w="15" w:type="dxa"/>
              <w:bottom w:w="30" w:type="dxa"/>
              <w:right w:w="15" w:type="dxa"/>
            </w:tcMar>
            <w:vAlign w:val="bottom"/>
          </w:tcPr>
          <w:p/>
        </w:tc>
        <w:tc>
          <w:tcPr>
            <w:tcW w:w="128" w:type="dxa"/>
            <w:tcBorders>
              <w:bottom w:val="single" w:color="000000" w:sz="16"/>
            </w:tcBorders>
            <w:tcMar>
              <w:top w:w="15" w:type="dxa"/>
              <w:left w:w="15" w:type="dxa"/>
              <w:bottom w:w="15" w:type="dxa"/>
              <w:right w:w="15" w:type="dxa"/>
            </w:tcMar>
            <w:vAlign w:val="bottom"/>
          </w:tcPr>
          <w:p/>
        </w:tc>
        <w:tc>
          <w:tcPr>
            <w:tcW w:w="1491"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77,863,880 </w:t>
            </w:r>
          </w:p>
        </w:tc>
        <w:tc>
          <w:tcPr>
            <w:tcW w:w="156" w:type="dxa"/>
            <w:tcBorders/>
            <w:tcMar>
              <w:top w:w="15" w:type="dxa"/>
              <w:left w:w="15" w:type="dxa"/>
              <w:bottom w:w="30" w:type="dxa"/>
              <w:right w:w="15" w:type="dxa"/>
            </w:tcMar>
            <w:vAlign w:val="bottom"/>
          </w:tcPr>
          <w:p/>
        </w:tc>
      </w:tr>
      <w:tr>
        <w:trPr>
          <w:trHeight w:val="225" w:hRule="atLeast"/>
        </w:trPr>
        <w:tc>
          <w:tcPr>
            <w:tcW w:w="9828" w:type="dxa"/>
            <w:tcBorders/>
            <w:shd w:fill="cceeff"/>
            <w:tcMar>
              <w:top w:w="15" w:type="dxa"/>
              <w:left w:w="15" w:type="dxa"/>
              <w:bottom w:w="15" w:type="dxa"/>
              <w:right w:w="15" w:type="dxa"/>
            </w:tcMar>
            <w:vAlign w:val="bottom"/>
          </w:tcPr>
          <w:p>
            <w:pPr>
              <w:spacing w:before="0" w:after="0"/>
              <w:ind w:left="264"/>
              <w:jc w:val="left"/>
            </w:pPr>
            <w:r>
              <w:rPr>
                <w:rFonts w:ascii="Times New Roman" w:hAnsi="Times New Roman"/>
                <w:b/>
                <w:i w:val="false"/>
                <w:color w:val="000000"/>
                <w:sz w:val="20"/>
              </w:rPr>
              <w:t xml:space="preserve"> Non-current liabilities </w:t>
            </w:r>
          </w:p>
        </w:tc>
        <w:tc>
          <w:tcPr>
            <w:tcW w:w="128"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491" w:type="dxa"/>
            <w:tcBorders/>
            <w:shd w:fill="cceeff"/>
            <w:tcMar>
              <w:top w:w="15" w:type="dxa"/>
              <w:left w:w="15" w:type="dxa"/>
              <w:bottom w:w="15" w:type="dxa"/>
              <w:right w:w="15" w:type="dxa"/>
            </w:tcMar>
            <w:vAlign w:val="bottom"/>
          </w:tcPr>
          <w:p/>
        </w:tc>
        <w:tc>
          <w:tcPr>
            <w:tcW w:w="156"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491" w:type="dxa"/>
            <w:tcBorders/>
            <w:shd w:fill="cceeff"/>
            <w:tcMar>
              <w:top w:w="15" w:type="dxa"/>
              <w:left w:w="15" w:type="dxa"/>
              <w:bottom w:w="15" w:type="dxa"/>
              <w:right w:w="15" w:type="dxa"/>
            </w:tcMar>
            <w:vAlign w:val="bottom"/>
          </w:tcPr>
          <w:p/>
        </w:tc>
        <w:tc>
          <w:tcPr>
            <w:tcW w:w="156" w:type="dxa"/>
            <w:tcBorders/>
            <w:shd w:fill="cceeff"/>
            <w:tcMar>
              <w:top w:w="15" w:type="dxa"/>
              <w:left w:w="15" w:type="dxa"/>
              <w:bottom w:w="15" w:type="dxa"/>
              <w:right w:w="15" w:type="dxa"/>
            </w:tcMar>
            <w:vAlign w:val="bottom"/>
          </w:tcPr>
          <w:p/>
        </w:tc>
      </w:tr>
      <w:tr>
        <w:trPr>
          <w:trHeight w:val="210" w:hRule="atLeast"/>
        </w:trPr>
        <w:tc>
          <w:tcPr>
            <w:tcW w:w="9828" w:type="dxa"/>
            <w:tcBorders/>
            <w:tcMar>
              <w:top w:w="15" w:type="dxa"/>
              <w:left w:w="15" w:type="dxa"/>
              <w:bottom w:w="15" w:type="dxa"/>
              <w:right w:w="15" w:type="dxa"/>
            </w:tcMar>
            <w:vAlign w:val="bottom"/>
          </w:tcPr>
          <w:p>
            <w:pPr>
              <w:spacing w:before="0" w:after="0"/>
              <w:ind w:left="264"/>
              <w:jc w:val="left"/>
            </w:pPr>
            <w:r>
              <w:rPr>
                <w:rFonts w:ascii="Times New Roman" w:hAnsi="Times New Roman"/>
                <w:b w:val="false"/>
                <w:i w:val="false"/>
                <w:color w:val="000000"/>
                <w:sz w:val="20"/>
              </w:rPr>
              <w:t xml:space="preserve"> Lease liabilities </w:t>
            </w:r>
          </w:p>
        </w:tc>
        <w:tc>
          <w:tcPr>
            <w:tcW w:w="128"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491"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1,066,354 </w:t>
            </w:r>
          </w:p>
        </w:tc>
        <w:tc>
          <w:tcPr>
            <w:tcW w:w="156"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491"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220,525 </w:t>
            </w:r>
          </w:p>
        </w:tc>
        <w:tc>
          <w:tcPr>
            <w:tcW w:w="156" w:type="dxa"/>
            <w:tcBorders/>
            <w:tcMar>
              <w:top w:w="15" w:type="dxa"/>
              <w:left w:w="15" w:type="dxa"/>
              <w:bottom w:w="15" w:type="dxa"/>
              <w:right w:w="15" w:type="dxa"/>
            </w:tcMar>
            <w:vAlign w:val="bottom"/>
          </w:tcPr>
          <w:p/>
        </w:tc>
      </w:tr>
      <w:tr>
        <w:trPr>
          <w:trHeight w:val="240" w:hRule="atLeast"/>
        </w:trPr>
        <w:tc>
          <w:tcPr>
            <w:tcW w:w="9828" w:type="dxa"/>
            <w:tcBorders/>
            <w:shd w:fill="cceeff"/>
            <w:tcMar>
              <w:top w:w="15" w:type="dxa"/>
              <w:left w:w="15" w:type="dxa"/>
              <w:bottom w:w="30" w:type="dxa"/>
              <w:right w:w="15" w:type="dxa"/>
            </w:tcMar>
            <w:vAlign w:val="bottom"/>
          </w:tcPr>
          <w:p>
            <w:pPr>
              <w:spacing w:before="0" w:after="0"/>
              <w:ind w:left="264"/>
              <w:jc w:val="left"/>
            </w:pPr>
            <w:r>
              <w:rPr>
                <w:rFonts w:ascii="Times New Roman" w:hAnsi="Times New Roman"/>
                <w:b w:val="false"/>
                <w:i w:val="false"/>
                <w:color w:val="000000"/>
                <w:sz w:val="20"/>
              </w:rPr>
              <w:t xml:space="preserve"> Other liabilities </w:t>
            </w:r>
          </w:p>
        </w:tc>
        <w:tc>
          <w:tcPr>
            <w:tcW w:w="128" w:type="dxa"/>
            <w:tcBorders/>
            <w:shd w:fill="cceeff"/>
            <w:tcMar>
              <w:top w:w="15" w:type="dxa"/>
              <w:left w:w="15" w:type="dxa"/>
              <w:bottom w:w="30" w:type="dxa"/>
              <w:right w:w="15" w:type="dxa"/>
            </w:tcMar>
            <w:vAlign w:val="bottom"/>
          </w:tcPr>
          <w:p/>
        </w:tc>
        <w:tc>
          <w:tcPr>
            <w:tcW w:w="128" w:type="dxa"/>
            <w:tcBorders>
              <w:bottom w:val="single" w:color="000000" w:sz="16"/>
            </w:tcBorders>
            <w:shd w:fill="cceeff"/>
            <w:tcMar>
              <w:top w:w="15" w:type="dxa"/>
              <w:left w:w="15" w:type="dxa"/>
              <w:bottom w:w="15" w:type="dxa"/>
              <w:right w:w="15" w:type="dxa"/>
            </w:tcMar>
            <w:vAlign w:val="bottom"/>
          </w:tcPr>
          <w:p/>
        </w:tc>
        <w:tc>
          <w:tcPr>
            <w:tcW w:w="1491"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35,019 </w:t>
            </w:r>
          </w:p>
        </w:tc>
        <w:tc>
          <w:tcPr>
            <w:tcW w:w="156" w:type="dxa"/>
            <w:tcBorders/>
            <w:shd w:fill="cceeff"/>
            <w:tcMar>
              <w:top w:w="15" w:type="dxa"/>
              <w:left w:w="15" w:type="dxa"/>
              <w:bottom w:w="30" w:type="dxa"/>
              <w:right w:w="15" w:type="dxa"/>
            </w:tcMar>
            <w:vAlign w:val="bottom"/>
          </w:tcPr>
          <w:p/>
        </w:tc>
        <w:tc>
          <w:tcPr>
            <w:tcW w:w="128" w:type="dxa"/>
            <w:tcBorders/>
            <w:shd w:fill="cceeff"/>
            <w:tcMar>
              <w:top w:w="15" w:type="dxa"/>
              <w:left w:w="15" w:type="dxa"/>
              <w:bottom w:w="30" w:type="dxa"/>
              <w:right w:w="15" w:type="dxa"/>
            </w:tcMar>
            <w:vAlign w:val="bottom"/>
          </w:tcPr>
          <w:p/>
        </w:tc>
        <w:tc>
          <w:tcPr>
            <w:tcW w:w="128" w:type="dxa"/>
            <w:tcBorders>
              <w:bottom w:val="single" w:color="000000" w:sz="16"/>
            </w:tcBorders>
            <w:shd w:fill="cceeff"/>
            <w:tcMar>
              <w:top w:w="15" w:type="dxa"/>
              <w:left w:w="15" w:type="dxa"/>
              <w:bottom w:w="15" w:type="dxa"/>
              <w:right w:w="15" w:type="dxa"/>
            </w:tcMar>
            <w:vAlign w:val="bottom"/>
          </w:tcPr>
          <w:p/>
        </w:tc>
        <w:tc>
          <w:tcPr>
            <w:tcW w:w="1491"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33,323 </w:t>
            </w:r>
          </w:p>
        </w:tc>
        <w:tc>
          <w:tcPr>
            <w:tcW w:w="156" w:type="dxa"/>
            <w:tcBorders/>
            <w:shd w:fill="cceeff"/>
            <w:tcMar>
              <w:top w:w="15" w:type="dxa"/>
              <w:left w:w="15" w:type="dxa"/>
              <w:bottom w:w="30" w:type="dxa"/>
              <w:right w:w="15" w:type="dxa"/>
            </w:tcMar>
            <w:vAlign w:val="bottom"/>
          </w:tcPr>
          <w:p/>
        </w:tc>
      </w:tr>
      <w:tr>
        <w:trPr>
          <w:trHeight w:val="255" w:hRule="atLeast"/>
        </w:trPr>
        <w:tc>
          <w:tcPr>
            <w:tcW w:w="9828" w:type="dxa"/>
            <w:tcBorders/>
            <w:tcMar>
              <w:top w:w="15" w:type="dxa"/>
              <w:left w:w="15" w:type="dxa"/>
              <w:bottom w:w="30" w:type="dxa"/>
              <w:right w:w="15" w:type="dxa"/>
            </w:tcMar>
            <w:vAlign w:val="bottom"/>
          </w:tcPr>
          <w:p>
            <w:pPr>
              <w:spacing w:before="0" w:after="0"/>
              <w:ind w:left="264"/>
              <w:jc w:val="left"/>
            </w:pPr>
            <w:r>
              <w:rPr>
                <w:rFonts w:ascii="Times New Roman" w:hAnsi="Times New Roman"/>
                <w:b/>
                <w:i w:val="false"/>
                <w:color w:val="000000"/>
                <w:sz w:val="20"/>
              </w:rPr>
              <w:t xml:space="preserve"> Total non-current liabilities </w:t>
            </w:r>
          </w:p>
        </w:tc>
        <w:tc>
          <w:tcPr>
            <w:tcW w:w="128" w:type="dxa"/>
            <w:tcBorders/>
            <w:tcMar>
              <w:top w:w="15" w:type="dxa"/>
              <w:left w:w="15" w:type="dxa"/>
              <w:bottom w:w="30" w:type="dxa"/>
              <w:right w:w="15" w:type="dxa"/>
            </w:tcMar>
            <w:vAlign w:val="bottom"/>
          </w:tcPr>
          <w:p/>
        </w:tc>
        <w:tc>
          <w:tcPr>
            <w:tcW w:w="128" w:type="dxa"/>
            <w:tcBorders>
              <w:bottom w:val="single" w:color="000000" w:sz="16"/>
            </w:tcBorders>
            <w:tcMar>
              <w:top w:w="15" w:type="dxa"/>
              <w:left w:w="15" w:type="dxa"/>
              <w:bottom w:w="15" w:type="dxa"/>
              <w:right w:w="15" w:type="dxa"/>
            </w:tcMar>
            <w:vAlign w:val="bottom"/>
          </w:tcPr>
          <w:p/>
        </w:tc>
        <w:tc>
          <w:tcPr>
            <w:tcW w:w="1491"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1,101,373 </w:t>
            </w:r>
          </w:p>
        </w:tc>
        <w:tc>
          <w:tcPr>
            <w:tcW w:w="156" w:type="dxa"/>
            <w:tcBorders/>
            <w:tcMar>
              <w:top w:w="15" w:type="dxa"/>
              <w:left w:w="15" w:type="dxa"/>
              <w:bottom w:w="30" w:type="dxa"/>
              <w:right w:w="15" w:type="dxa"/>
            </w:tcMar>
            <w:vAlign w:val="bottom"/>
          </w:tcPr>
          <w:p/>
        </w:tc>
        <w:tc>
          <w:tcPr>
            <w:tcW w:w="128" w:type="dxa"/>
            <w:tcBorders/>
            <w:tcMar>
              <w:top w:w="15" w:type="dxa"/>
              <w:left w:w="15" w:type="dxa"/>
              <w:bottom w:w="30" w:type="dxa"/>
              <w:right w:w="15" w:type="dxa"/>
            </w:tcMar>
            <w:vAlign w:val="bottom"/>
          </w:tcPr>
          <w:p/>
        </w:tc>
        <w:tc>
          <w:tcPr>
            <w:tcW w:w="128" w:type="dxa"/>
            <w:tcBorders>
              <w:bottom w:val="single" w:color="000000" w:sz="16"/>
            </w:tcBorders>
            <w:tcMar>
              <w:top w:w="15" w:type="dxa"/>
              <w:left w:w="15" w:type="dxa"/>
              <w:bottom w:w="15" w:type="dxa"/>
              <w:right w:w="15" w:type="dxa"/>
            </w:tcMar>
            <w:vAlign w:val="bottom"/>
          </w:tcPr>
          <w:p/>
        </w:tc>
        <w:tc>
          <w:tcPr>
            <w:tcW w:w="1491"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253,847 </w:t>
            </w:r>
          </w:p>
        </w:tc>
        <w:tc>
          <w:tcPr>
            <w:tcW w:w="156" w:type="dxa"/>
            <w:tcBorders/>
            <w:tcMar>
              <w:top w:w="15" w:type="dxa"/>
              <w:left w:w="15" w:type="dxa"/>
              <w:bottom w:w="30" w:type="dxa"/>
              <w:right w:w="15" w:type="dxa"/>
            </w:tcMar>
            <w:vAlign w:val="bottom"/>
          </w:tcPr>
          <w:p/>
        </w:tc>
      </w:tr>
      <w:tr>
        <w:trPr>
          <w:trHeight w:val="225" w:hRule="atLeast"/>
        </w:trPr>
        <w:tc>
          <w:tcPr>
            <w:tcW w:w="9828" w:type="dxa"/>
            <w:tcBorders/>
            <w:shd w:fill="cceeff"/>
            <w:tcMar>
              <w:top w:w="15" w:type="dxa"/>
              <w:left w:w="15" w:type="dxa"/>
              <w:bottom w:w="15" w:type="dxa"/>
              <w:right w:w="15" w:type="dxa"/>
            </w:tcMar>
            <w:vAlign w:val="bottom"/>
          </w:tcPr>
          <w:p>
            <w:pPr>
              <w:spacing w:before="0" w:after="0"/>
              <w:ind w:left="264"/>
              <w:jc w:val="left"/>
            </w:pPr>
            <w:r>
              <w:rPr>
                <w:rFonts w:ascii="Times New Roman" w:hAnsi="Times New Roman"/>
                <w:b/>
                <w:i w:val="false"/>
                <w:color w:val="000000"/>
                <w:sz w:val="20"/>
              </w:rPr>
              <w:t xml:space="preserve"> Current liabilities </w:t>
            </w:r>
          </w:p>
        </w:tc>
        <w:tc>
          <w:tcPr>
            <w:tcW w:w="128"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491" w:type="dxa"/>
            <w:tcBorders/>
            <w:shd w:fill="cceeff"/>
            <w:tcMar>
              <w:top w:w="15" w:type="dxa"/>
              <w:left w:w="15" w:type="dxa"/>
              <w:bottom w:w="15" w:type="dxa"/>
              <w:right w:w="15" w:type="dxa"/>
            </w:tcMar>
            <w:vAlign w:val="bottom"/>
          </w:tcPr>
          <w:p/>
        </w:tc>
        <w:tc>
          <w:tcPr>
            <w:tcW w:w="156"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491" w:type="dxa"/>
            <w:tcBorders/>
            <w:shd w:fill="cceeff"/>
            <w:tcMar>
              <w:top w:w="15" w:type="dxa"/>
              <w:left w:w="15" w:type="dxa"/>
              <w:bottom w:w="15" w:type="dxa"/>
              <w:right w:w="15" w:type="dxa"/>
            </w:tcMar>
            <w:vAlign w:val="bottom"/>
          </w:tcPr>
          <w:p/>
        </w:tc>
        <w:tc>
          <w:tcPr>
            <w:tcW w:w="156" w:type="dxa"/>
            <w:tcBorders/>
            <w:shd w:fill="cceeff"/>
            <w:tcMar>
              <w:top w:w="15" w:type="dxa"/>
              <w:left w:w="15" w:type="dxa"/>
              <w:bottom w:w="15" w:type="dxa"/>
              <w:right w:w="15" w:type="dxa"/>
            </w:tcMar>
            <w:vAlign w:val="bottom"/>
          </w:tcPr>
          <w:p/>
        </w:tc>
      </w:tr>
      <w:tr>
        <w:trPr>
          <w:trHeight w:val="210" w:hRule="atLeast"/>
        </w:trPr>
        <w:tc>
          <w:tcPr>
            <w:tcW w:w="9828" w:type="dxa"/>
            <w:tcBorders/>
            <w:tcMar>
              <w:top w:w="15" w:type="dxa"/>
              <w:left w:w="15" w:type="dxa"/>
              <w:bottom w:w="15" w:type="dxa"/>
              <w:right w:w="15" w:type="dxa"/>
            </w:tcMar>
            <w:vAlign w:val="top"/>
          </w:tcPr>
          <w:p>
            <w:pPr>
              <w:spacing w:before="0" w:after="0"/>
              <w:ind w:left="264"/>
              <w:jc w:val="left"/>
            </w:pPr>
            <w:r>
              <w:rPr>
                <w:rFonts w:ascii="Times New Roman" w:hAnsi="Times New Roman"/>
                <w:b w:val="false"/>
                <w:i w:val="false"/>
                <w:color w:val="000000"/>
                <w:sz w:val="20"/>
              </w:rPr>
              <w:t xml:space="preserve"> Trade and other payables </w:t>
            </w:r>
          </w:p>
        </w:tc>
        <w:tc>
          <w:tcPr>
            <w:tcW w:w="128"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491"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8,574,244 </w:t>
            </w:r>
          </w:p>
        </w:tc>
        <w:tc>
          <w:tcPr>
            <w:tcW w:w="156"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491"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8,258,133 </w:t>
            </w:r>
          </w:p>
        </w:tc>
        <w:tc>
          <w:tcPr>
            <w:tcW w:w="156" w:type="dxa"/>
            <w:tcBorders/>
            <w:tcMar>
              <w:top w:w="15" w:type="dxa"/>
              <w:left w:w="15" w:type="dxa"/>
              <w:bottom w:w="15" w:type="dxa"/>
              <w:right w:w="15" w:type="dxa"/>
            </w:tcMar>
            <w:vAlign w:val="bottom"/>
          </w:tcPr>
          <w:p/>
        </w:tc>
      </w:tr>
      <w:tr>
        <w:trPr>
          <w:trHeight w:val="210" w:hRule="atLeast"/>
        </w:trPr>
        <w:tc>
          <w:tcPr>
            <w:tcW w:w="9828" w:type="dxa"/>
            <w:tcBorders/>
            <w:shd w:fill="cceeff"/>
            <w:tcMar>
              <w:top w:w="15" w:type="dxa"/>
              <w:left w:w="15" w:type="dxa"/>
              <w:bottom w:w="15" w:type="dxa"/>
              <w:right w:w="15" w:type="dxa"/>
            </w:tcMar>
            <w:vAlign w:val="top"/>
          </w:tcPr>
          <w:p>
            <w:pPr>
              <w:spacing w:before="0" w:after="0"/>
              <w:ind w:left="264"/>
              <w:jc w:val="left"/>
            </w:pPr>
            <w:r>
              <w:rPr>
                <w:rFonts w:ascii="Times New Roman" w:hAnsi="Times New Roman"/>
                <w:b w:val="false"/>
                <w:i w:val="false"/>
                <w:color w:val="000000"/>
                <w:sz w:val="20"/>
              </w:rPr>
              <w:t xml:space="preserve"> Liabilities from government grants received </w:t>
            </w:r>
          </w:p>
        </w:tc>
        <w:tc>
          <w:tcPr>
            <w:tcW w:w="128"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491"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8,300,000 </w:t>
            </w:r>
          </w:p>
        </w:tc>
        <w:tc>
          <w:tcPr>
            <w:tcW w:w="156"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491"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56" w:type="dxa"/>
            <w:tcBorders/>
            <w:shd w:fill="cceeff"/>
            <w:tcMar>
              <w:top w:w="15" w:type="dxa"/>
              <w:left w:w="15" w:type="dxa"/>
              <w:bottom w:w="15" w:type="dxa"/>
              <w:right w:w="15" w:type="dxa"/>
            </w:tcMar>
            <w:vAlign w:val="bottom"/>
          </w:tcPr>
          <w:p/>
        </w:tc>
      </w:tr>
      <w:tr>
        <w:trPr>
          <w:trHeight w:val="210" w:hRule="atLeast"/>
        </w:trPr>
        <w:tc>
          <w:tcPr>
            <w:tcW w:w="9828" w:type="dxa"/>
            <w:tcBorders/>
            <w:tcMar>
              <w:top w:w="15" w:type="dxa"/>
              <w:left w:w="15" w:type="dxa"/>
              <w:bottom w:w="15" w:type="dxa"/>
              <w:right w:w="15" w:type="dxa"/>
            </w:tcMar>
            <w:vAlign w:val="top"/>
          </w:tcPr>
          <w:p>
            <w:pPr>
              <w:spacing w:before="0" w:after="0"/>
              <w:ind w:left="264"/>
              <w:jc w:val="left"/>
            </w:pPr>
            <w:r>
              <w:rPr>
                <w:rFonts w:ascii="Times New Roman" w:hAnsi="Times New Roman"/>
                <w:b w:val="false"/>
                <w:i w:val="false"/>
                <w:color w:val="000000"/>
                <w:sz w:val="20"/>
              </w:rPr>
              <w:t xml:space="preserve"> Lease liabilities </w:t>
            </w:r>
          </w:p>
        </w:tc>
        <w:tc>
          <w:tcPr>
            <w:tcW w:w="128"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491"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366,171 </w:t>
            </w:r>
          </w:p>
        </w:tc>
        <w:tc>
          <w:tcPr>
            <w:tcW w:w="156"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491"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338,516 </w:t>
            </w:r>
          </w:p>
        </w:tc>
        <w:tc>
          <w:tcPr>
            <w:tcW w:w="156" w:type="dxa"/>
            <w:tcBorders/>
            <w:tcMar>
              <w:top w:w="15" w:type="dxa"/>
              <w:left w:w="15" w:type="dxa"/>
              <w:bottom w:w="15" w:type="dxa"/>
              <w:right w:w="15" w:type="dxa"/>
            </w:tcMar>
            <w:vAlign w:val="bottom"/>
          </w:tcPr>
          <w:p/>
        </w:tc>
      </w:tr>
      <w:tr>
        <w:trPr>
          <w:trHeight w:val="210" w:hRule="atLeast"/>
        </w:trPr>
        <w:tc>
          <w:tcPr>
            <w:tcW w:w="9828" w:type="dxa"/>
            <w:tcBorders/>
            <w:shd w:fill="cceeff"/>
            <w:tcMar>
              <w:top w:w="15" w:type="dxa"/>
              <w:left w:w="15" w:type="dxa"/>
              <w:bottom w:w="15" w:type="dxa"/>
              <w:right w:w="15" w:type="dxa"/>
            </w:tcMar>
            <w:vAlign w:val="top"/>
          </w:tcPr>
          <w:p>
            <w:pPr>
              <w:spacing w:before="0" w:after="0"/>
              <w:ind w:left="264"/>
              <w:jc w:val="left"/>
            </w:pPr>
            <w:r>
              <w:rPr>
                <w:rFonts w:ascii="Times New Roman" w:hAnsi="Times New Roman"/>
                <w:b w:val="false"/>
                <w:i w:val="false"/>
                <w:color w:val="000000"/>
                <w:sz w:val="20"/>
              </w:rPr>
              <w:t xml:space="preserve"> Employee benefits </w:t>
            </w:r>
          </w:p>
        </w:tc>
        <w:tc>
          <w:tcPr>
            <w:tcW w:w="128"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491"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1,378,130 </w:t>
            </w:r>
          </w:p>
        </w:tc>
        <w:tc>
          <w:tcPr>
            <w:tcW w:w="156"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28" w:type="dxa"/>
            <w:tcBorders/>
            <w:shd w:fill="cceeff"/>
            <w:tcMar>
              <w:top w:w="15" w:type="dxa"/>
              <w:left w:w="15" w:type="dxa"/>
              <w:bottom w:w="15" w:type="dxa"/>
              <w:right w:w="15" w:type="dxa"/>
            </w:tcMar>
            <w:vAlign w:val="bottom"/>
          </w:tcPr>
          <w:p/>
        </w:tc>
        <w:tc>
          <w:tcPr>
            <w:tcW w:w="1491"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1,368,731 </w:t>
            </w:r>
          </w:p>
        </w:tc>
        <w:tc>
          <w:tcPr>
            <w:tcW w:w="156" w:type="dxa"/>
            <w:tcBorders/>
            <w:shd w:fill="cceeff"/>
            <w:tcMar>
              <w:top w:w="15" w:type="dxa"/>
              <w:left w:w="15" w:type="dxa"/>
              <w:bottom w:w="15" w:type="dxa"/>
              <w:right w:w="15" w:type="dxa"/>
            </w:tcMar>
            <w:vAlign w:val="bottom"/>
          </w:tcPr>
          <w:p/>
        </w:tc>
      </w:tr>
      <w:tr>
        <w:trPr>
          <w:trHeight w:val="210" w:hRule="atLeast"/>
        </w:trPr>
        <w:tc>
          <w:tcPr>
            <w:tcW w:w="9828" w:type="dxa"/>
            <w:tcBorders/>
            <w:tcMar>
              <w:top w:w="15" w:type="dxa"/>
              <w:left w:w="15" w:type="dxa"/>
              <w:bottom w:w="15" w:type="dxa"/>
              <w:right w:w="15" w:type="dxa"/>
            </w:tcMar>
            <w:vAlign w:val="top"/>
          </w:tcPr>
          <w:p>
            <w:pPr>
              <w:spacing w:before="0" w:after="0"/>
              <w:ind w:left="264"/>
              <w:jc w:val="left"/>
            </w:pPr>
            <w:r>
              <w:rPr>
                <w:rFonts w:ascii="Times New Roman" w:hAnsi="Times New Roman"/>
                <w:b w:val="false"/>
                <w:i w:val="false"/>
                <w:color w:val="000000"/>
                <w:sz w:val="20"/>
              </w:rPr>
              <w:t xml:space="preserve"> Other liabilities </w:t>
            </w:r>
          </w:p>
        </w:tc>
        <w:tc>
          <w:tcPr>
            <w:tcW w:w="128"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491"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138,206 </w:t>
            </w:r>
          </w:p>
        </w:tc>
        <w:tc>
          <w:tcPr>
            <w:tcW w:w="156"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28" w:type="dxa"/>
            <w:tcBorders/>
            <w:tcMar>
              <w:top w:w="15" w:type="dxa"/>
              <w:left w:w="15" w:type="dxa"/>
              <w:bottom w:w="15" w:type="dxa"/>
              <w:right w:w="15" w:type="dxa"/>
            </w:tcMar>
            <w:vAlign w:val="bottom"/>
          </w:tcPr>
          <w:p/>
        </w:tc>
        <w:tc>
          <w:tcPr>
            <w:tcW w:w="1491"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117,727 </w:t>
            </w:r>
          </w:p>
        </w:tc>
        <w:tc>
          <w:tcPr>
            <w:tcW w:w="156" w:type="dxa"/>
            <w:tcBorders/>
            <w:tcMar>
              <w:top w:w="15" w:type="dxa"/>
              <w:left w:w="15" w:type="dxa"/>
              <w:bottom w:w="15" w:type="dxa"/>
              <w:right w:w="15" w:type="dxa"/>
            </w:tcMar>
            <w:vAlign w:val="bottom"/>
          </w:tcPr>
          <w:p/>
        </w:tc>
      </w:tr>
      <w:tr>
        <w:trPr>
          <w:trHeight w:val="240" w:hRule="atLeast"/>
        </w:trPr>
        <w:tc>
          <w:tcPr>
            <w:tcW w:w="9828" w:type="dxa"/>
            <w:tcBorders/>
            <w:shd w:fill="cceeff"/>
            <w:tcMar>
              <w:top w:w="15" w:type="dxa"/>
              <w:left w:w="15" w:type="dxa"/>
              <w:bottom w:w="30" w:type="dxa"/>
              <w:right w:w="15" w:type="dxa"/>
            </w:tcMar>
            <w:vAlign w:val="bottom"/>
          </w:tcPr>
          <w:p>
            <w:pPr>
              <w:spacing w:before="0" w:after="0"/>
              <w:ind w:left="264"/>
              <w:jc w:val="left"/>
            </w:pPr>
            <w:r>
              <w:rPr>
                <w:rFonts w:ascii="Times New Roman" w:hAnsi="Times New Roman"/>
                <w:b w:val="false"/>
                <w:i w:val="false"/>
                <w:color w:val="000000"/>
                <w:sz w:val="20"/>
              </w:rPr>
              <w:t xml:space="preserve"> Provisions </w:t>
            </w:r>
          </w:p>
        </w:tc>
        <w:tc>
          <w:tcPr>
            <w:tcW w:w="128" w:type="dxa"/>
            <w:tcBorders/>
            <w:shd w:fill="cceeff"/>
            <w:tcMar>
              <w:top w:w="15" w:type="dxa"/>
              <w:left w:w="15" w:type="dxa"/>
              <w:bottom w:w="30" w:type="dxa"/>
              <w:right w:w="15" w:type="dxa"/>
            </w:tcMar>
            <w:vAlign w:val="bottom"/>
          </w:tcPr>
          <w:p/>
        </w:tc>
        <w:tc>
          <w:tcPr>
            <w:tcW w:w="128" w:type="dxa"/>
            <w:tcBorders>
              <w:bottom w:val="single" w:color="000000" w:sz="16"/>
            </w:tcBorders>
            <w:shd w:fill="cceeff"/>
            <w:tcMar>
              <w:top w:w="15" w:type="dxa"/>
              <w:left w:w="15" w:type="dxa"/>
              <w:bottom w:w="15" w:type="dxa"/>
              <w:right w:w="15" w:type="dxa"/>
            </w:tcMar>
            <w:vAlign w:val="bottom"/>
          </w:tcPr>
          <w:p/>
        </w:tc>
        <w:tc>
          <w:tcPr>
            <w:tcW w:w="1491"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56" w:type="dxa"/>
            <w:tcBorders/>
            <w:shd w:fill="cceeff"/>
            <w:tcMar>
              <w:top w:w="15" w:type="dxa"/>
              <w:left w:w="15" w:type="dxa"/>
              <w:bottom w:w="30" w:type="dxa"/>
              <w:right w:w="15" w:type="dxa"/>
            </w:tcMar>
            <w:vAlign w:val="bottom"/>
          </w:tcPr>
          <w:p/>
        </w:tc>
        <w:tc>
          <w:tcPr>
            <w:tcW w:w="128" w:type="dxa"/>
            <w:tcBorders/>
            <w:shd w:fill="cceeff"/>
            <w:tcMar>
              <w:top w:w="15" w:type="dxa"/>
              <w:left w:w="15" w:type="dxa"/>
              <w:bottom w:w="30" w:type="dxa"/>
              <w:right w:w="15" w:type="dxa"/>
            </w:tcMar>
            <w:vAlign w:val="bottom"/>
          </w:tcPr>
          <w:p/>
        </w:tc>
        <w:tc>
          <w:tcPr>
            <w:tcW w:w="128" w:type="dxa"/>
            <w:tcBorders>
              <w:bottom w:val="single" w:color="000000" w:sz="16"/>
            </w:tcBorders>
            <w:shd w:fill="cceeff"/>
            <w:tcMar>
              <w:top w:w="15" w:type="dxa"/>
              <w:left w:w="15" w:type="dxa"/>
              <w:bottom w:w="15" w:type="dxa"/>
              <w:right w:w="15" w:type="dxa"/>
            </w:tcMar>
            <w:vAlign w:val="bottom"/>
          </w:tcPr>
          <w:p/>
        </w:tc>
        <w:tc>
          <w:tcPr>
            <w:tcW w:w="1491"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15,000 </w:t>
            </w:r>
          </w:p>
        </w:tc>
        <w:tc>
          <w:tcPr>
            <w:tcW w:w="156" w:type="dxa"/>
            <w:tcBorders/>
            <w:shd w:fill="cceeff"/>
            <w:tcMar>
              <w:top w:w="15" w:type="dxa"/>
              <w:left w:w="15" w:type="dxa"/>
              <w:bottom w:w="30" w:type="dxa"/>
              <w:right w:w="15" w:type="dxa"/>
            </w:tcMar>
            <w:vAlign w:val="bottom"/>
          </w:tcPr>
          <w:p/>
        </w:tc>
      </w:tr>
      <w:tr>
        <w:trPr>
          <w:trHeight w:val="255" w:hRule="atLeast"/>
        </w:trPr>
        <w:tc>
          <w:tcPr>
            <w:tcW w:w="9828" w:type="dxa"/>
            <w:tcBorders/>
            <w:tcMar>
              <w:top w:w="15" w:type="dxa"/>
              <w:left w:w="15" w:type="dxa"/>
              <w:bottom w:w="30" w:type="dxa"/>
              <w:right w:w="15" w:type="dxa"/>
            </w:tcMar>
            <w:vAlign w:val="bottom"/>
          </w:tcPr>
          <w:p>
            <w:pPr>
              <w:spacing w:before="0" w:after="0"/>
              <w:ind w:left="264"/>
              <w:jc w:val="left"/>
            </w:pPr>
            <w:r>
              <w:rPr>
                <w:rFonts w:ascii="Times New Roman" w:hAnsi="Times New Roman"/>
                <w:b/>
                <w:i w:val="false"/>
                <w:color w:val="000000"/>
                <w:sz w:val="20"/>
              </w:rPr>
              <w:t xml:space="preserve"> Total current liabilities </w:t>
            </w:r>
          </w:p>
        </w:tc>
        <w:tc>
          <w:tcPr>
            <w:tcW w:w="128" w:type="dxa"/>
            <w:tcBorders/>
            <w:tcMar>
              <w:top w:w="15" w:type="dxa"/>
              <w:left w:w="15" w:type="dxa"/>
              <w:bottom w:w="30" w:type="dxa"/>
              <w:right w:w="15" w:type="dxa"/>
            </w:tcMar>
            <w:vAlign w:val="bottom"/>
          </w:tcPr>
          <w:p/>
        </w:tc>
        <w:tc>
          <w:tcPr>
            <w:tcW w:w="128" w:type="dxa"/>
            <w:tcBorders>
              <w:bottom w:val="single" w:color="000000" w:sz="16"/>
            </w:tcBorders>
            <w:tcMar>
              <w:top w:w="15" w:type="dxa"/>
              <w:left w:w="15" w:type="dxa"/>
              <w:bottom w:w="15" w:type="dxa"/>
              <w:right w:w="15" w:type="dxa"/>
            </w:tcMar>
            <w:vAlign w:val="bottom"/>
          </w:tcPr>
          <w:p/>
        </w:tc>
        <w:tc>
          <w:tcPr>
            <w:tcW w:w="1491"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18,756,751 </w:t>
            </w:r>
          </w:p>
        </w:tc>
        <w:tc>
          <w:tcPr>
            <w:tcW w:w="156" w:type="dxa"/>
            <w:tcBorders/>
            <w:tcMar>
              <w:top w:w="15" w:type="dxa"/>
              <w:left w:w="15" w:type="dxa"/>
              <w:bottom w:w="30" w:type="dxa"/>
              <w:right w:w="15" w:type="dxa"/>
            </w:tcMar>
            <w:vAlign w:val="bottom"/>
          </w:tcPr>
          <w:p/>
        </w:tc>
        <w:tc>
          <w:tcPr>
            <w:tcW w:w="128" w:type="dxa"/>
            <w:tcBorders/>
            <w:tcMar>
              <w:top w:w="15" w:type="dxa"/>
              <w:left w:w="15" w:type="dxa"/>
              <w:bottom w:w="30" w:type="dxa"/>
              <w:right w:w="15" w:type="dxa"/>
            </w:tcMar>
            <w:vAlign w:val="bottom"/>
          </w:tcPr>
          <w:p/>
        </w:tc>
        <w:tc>
          <w:tcPr>
            <w:tcW w:w="128" w:type="dxa"/>
            <w:tcBorders>
              <w:bottom w:val="single" w:color="000000" w:sz="16"/>
            </w:tcBorders>
            <w:tcMar>
              <w:top w:w="15" w:type="dxa"/>
              <w:left w:w="15" w:type="dxa"/>
              <w:bottom w:w="15" w:type="dxa"/>
              <w:right w:w="15" w:type="dxa"/>
            </w:tcMar>
            <w:vAlign w:val="bottom"/>
          </w:tcPr>
          <w:p/>
        </w:tc>
        <w:tc>
          <w:tcPr>
            <w:tcW w:w="1491"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10,098,107 </w:t>
            </w:r>
          </w:p>
        </w:tc>
        <w:tc>
          <w:tcPr>
            <w:tcW w:w="156" w:type="dxa"/>
            <w:tcBorders/>
            <w:tcMar>
              <w:top w:w="15" w:type="dxa"/>
              <w:left w:w="15" w:type="dxa"/>
              <w:bottom w:w="30" w:type="dxa"/>
              <w:right w:w="15" w:type="dxa"/>
            </w:tcMar>
            <w:vAlign w:val="bottom"/>
          </w:tcPr>
          <w:p/>
        </w:tc>
      </w:tr>
      <w:tr>
        <w:trPr>
          <w:trHeight w:val="255" w:hRule="atLeast"/>
        </w:trPr>
        <w:tc>
          <w:tcPr>
            <w:tcW w:w="9828" w:type="dxa"/>
            <w:tcBorders/>
            <w:shd w:fill="cceeff"/>
            <w:tcMar>
              <w:top w:w="15" w:type="dxa"/>
              <w:left w:w="15" w:type="dxa"/>
              <w:bottom w:w="30" w:type="dxa"/>
              <w:right w:w="15" w:type="dxa"/>
            </w:tcMar>
            <w:vAlign w:val="bottom"/>
          </w:tcPr>
          <w:p>
            <w:pPr>
              <w:spacing w:before="0" w:after="0"/>
              <w:ind w:left="264"/>
              <w:jc w:val="left"/>
            </w:pPr>
            <w:r>
              <w:rPr>
                <w:rFonts w:ascii="Times New Roman" w:hAnsi="Times New Roman"/>
                <w:b/>
                <w:i w:val="false"/>
                <w:color w:val="000000"/>
                <w:sz w:val="20"/>
              </w:rPr>
              <w:t xml:space="preserve"> Total Liabilities </w:t>
            </w:r>
          </w:p>
        </w:tc>
        <w:tc>
          <w:tcPr>
            <w:tcW w:w="128" w:type="dxa"/>
            <w:tcBorders/>
            <w:shd w:fill="cceeff"/>
            <w:tcMar>
              <w:top w:w="15" w:type="dxa"/>
              <w:left w:w="15" w:type="dxa"/>
              <w:bottom w:w="30" w:type="dxa"/>
              <w:right w:w="15" w:type="dxa"/>
            </w:tcMar>
            <w:vAlign w:val="bottom"/>
          </w:tcPr>
          <w:p/>
        </w:tc>
        <w:tc>
          <w:tcPr>
            <w:tcW w:w="128" w:type="dxa"/>
            <w:tcBorders>
              <w:bottom w:val="single" w:color="000000" w:sz="16"/>
            </w:tcBorders>
            <w:shd w:fill="cceeff"/>
            <w:tcMar>
              <w:top w:w="15" w:type="dxa"/>
              <w:left w:w="15" w:type="dxa"/>
              <w:bottom w:w="15" w:type="dxa"/>
              <w:right w:w="15" w:type="dxa"/>
            </w:tcMar>
            <w:vAlign w:val="bottom"/>
          </w:tcPr>
          <w:p/>
        </w:tc>
        <w:tc>
          <w:tcPr>
            <w:tcW w:w="1491"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19,858,124 </w:t>
            </w:r>
          </w:p>
        </w:tc>
        <w:tc>
          <w:tcPr>
            <w:tcW w:w="156" w:type="dxa"/>
            <w:tcBorders/>
            <w:shd w:fill="cceeff"/>
            <w:tcMar>
              <w:top w:w="15" w:type="dxa"/>
              <w:left w:w="15" w:type="dxa"/>
              <w:bottom w:w="30" w:type="dxa"/>
              <w:right w:w="15" w:type="dxa"/>
            </w:tcMar>
            <w:vAlign w:val="bottom"/>
          </w:tcPr>
          <w:p/>
        </w:tc>
        <w:tc>
          <w:tcPr>
            <w:tcW w:w="128" w:type="dxa"/>
            <w:tcBorders/>
            <w:shd w:fill="cceeff"/>
            <w:tcMar>
              <w:top w:w="15" w:type="dxa"/>
              <w:left w:w="15" w:type="dxa"/>
              <w:bottom w:w="30" w:type="dxa"/>
              <w:right w:w="15" w:type="dxa"/>
            </w:tcMar>
            <w:vAlign w:val="bottom"/>
          </w:tcPr>
          <w:p/>
        </w:tc>
        <w:tc>
          <w:tcPr>
            <w:tcW w:w="128" w:type="dxa"/>
            <w:tcBorders>
              <w:bottom w:val="single" w:color="000000" w:sz="16"/>
            </w:tcBorders>
            <w:shd w:fill="cceeff"/>
            <w:tcMar>
              <w:top w:w="15" w:type="dxa"/>
              <w:left w:w="15" w:type="dxa"/>
              <w:bottom w:w="15" w:type="dxa"/>
              <w:right w:w="15" w:type="dxa"/>
            </w:tcMar>
            <w:vAlign w:val="bottom"/>
          </w:tcPr>
          <w:p/>
        </w:tc>
        <w:tc>
          <w:tcPr>
            <w:tcW w:w="1491"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10,351,954 </w:t>
            </w:r>
          </w:p>
        </w:tc>
        <w:tc>
          <w:tcPr>
            <w:tcW w:w="156" w:type="dxa"/>
            <w:tcBorders/>
            <w:shd w:fill="cceeff"/>
            <w:tcMar>
              <w:top w:w="15" w:type="dxa"/>
              <w:left w:w="15" w:type="dxa"/>
              <w:bottom w:w="30" w:type="dxa"/>
              <w:right w:w="15" w:type="dxa"/>
            </w:tcMar>
            <w:vAlign w:val="bottom"/>
          </w:tcPr>
          <w:p/>
        </w:tc>
      </w:tr>
      <w:tr>
        <w:trPr>
          <w:trHeight w:val="285" w:hRule="atLeast"/>
        </w:trPr>
        <w:tc>
          <w:tcPr>
            <w:tcW w:w="9828" w:type="dxa"/>
            <w:tcBorders/>
            <w:tcMar>
              <w:top w:w="15" w:type="dxa"/>
              <w:left w:w="15" w:type="dxa"/>
              <w:bottom w:w="60" w:type="dxa"/>
              <w:right w:w="15" w:type="dxa"/>
            </w:tcMar>
            <w:vAlign w:val="bottom"/>
          </w:tcPr>
          <w:p>
            <w:pPr>
              <w:spacing w:before="0" w:after="0"/>
              <w:ind w:left="264"/>
              <w:jc w:val="left"/>
            </w:pPr>
            <w:r>
              <w:rPr>
                <w:rFonts w:ascii="Times New Roman" w:hAnsi="Times New Roman"/>
                <w:b/>
                <w:i w:val="false"/>
                <w:color w:val="000000"/>
                <w:sz w:val="20"/>
              </w:rPr>
              <w:t xml:space="preserve"> TOTAL EQUITY AND LIABILITIES </w:t>
            </w:r>
          </w:p>
        </w:tc>
        <w:tc>
          <w:tcPr>
            <w:tcW w:w="128" w:type="dxa"/>
            <w:tcBorders/>
            <w:tcMar>
              <w:top w:w="15" w:type="dxa"/>
              <w:left w:w="15" w:type="dxa"/>
              <w:bottom w:w="60" w:type="dxa"/>
              <w:right w:w="15" w:type="dxa"/>
            </w:tcMar>
            <w:vAlign w:val="bottom"/>
          </w:tcPr>
          <w:p/>
        </w:tc>
        <w:tc>
          <w:tcPr>
            <w:tcW w:w="128" w:type="dxa"/>
            <w:tcBorders>
              <w:bottom w:val="double" w:color="000000" w:sz="11"/>
            </w:tcBorders>
            <w:tcMar>
              <w:top w:w="15" w:type="dxa"/>
              <w:left w:w="15" w:type="dxa"/>
              <w:bottom w:w="15" w:type="dxa"/>
              <w:right w:w="15" w:type="dxa"/>
            </w:tcMar>
            <w:vAlign w:val="bottom"/>
          </w:tcPr>
          <w:p/>
        </w:tc>
        <w:tc>
          <w:tcPr>
            <w:tcW w:w="1491" w:type="dxa"/>
            <w:tcBorders>
              <w:bottom w:val="double" w:color="000000" w:sz="11"/>
            </w:tcBorders>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125,139,120 </w:t>
            </w:r>
          </w:p>
        </w:tc>
        <w:tc>
          <w:tcPr>
            <w:tcW w:w="156" w:type="dxa"/>
            <w:tcBorders/>
            <w:tcMar>
              <w:top w:w="15" w:type="dxa"/>
              <w:left w:w="15" w:type="dxa"/>
              <w:bottom w:w="60" w:type="dxa"/>
              <w:right w:w="15" w:type="dxa"/>
            </w:tcMar>
            <w:vAlign w:val="bottom"/>
          </w:tcPr>
          <w:p/>
        </w:tc>
        <w:tc>
          <w:tcPr>
            <w:tcW w:w="128" w:type="dxa"/>
            <w:tcBorders/>
            <w:tcMar>
              <w:top w:w="15" w:type="dxa"/>
              <w:left w:w="15" w:type="dxa"/>
              <w:bottom w:w="60" w:type="dxa"/>
              <w:right w:w="15" w:type="dxa"/>
            </w:tcMar>
            <w:vAlign w:val="bottom"/>
          </w:tcPr>
          <w:p/>
        </w:tc>
        <w:tc>
          <w:tcPr>
            <w:tcW w:w="128" w:type="dxa"/>
            <w:tcBorders>
              <w:bottom w:val="double" w:color="000000" w:sz="11"/>
            </w:tcBorders>
            <w:tcMar>
              <w:top w:w="15" w:type="dxa"/>
              <w:left w:w="15" w:type="dxa"/>
              <w:bottom w:w="15" w:type="dxa"/>
              <w:right w:w="15" w:type="dxa"/>
            </w:tcMar>
            <w:vAlign w:val="bottom"/>
          </w:tcPr>
          <w:p/>
        </w:tc>
        <w:tc>
          <w:tcPr>
            <w:tcW w:w="1491" w:type="dxa"/>
            <w:tcBorders>
              <w:bottom w:val="double" w:color="000000" w:sz="11"/>
            </w:tcBorders>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88,215,834 </w:t>
            </w:r>
          </w:p>
        </w:tc>
        <w:tc>
          <w:tcPr>
            <w:tcW w:w="156" w:type="dxa"/>
            <w:tcBorders/>
            <w:tcMar>
              <w:top w:w="15" w:type="dxa"/>
              <w:left w:w="15" w:type="dxa"/>
              <w:bottom w:w="60" w:type="dxa"/>
              <w:right w:w="15" w:type="dxa"/>
            </w:tcMar>
            <w:vAlign w:val="bottom"/>
          </w:tcPr>
          <w:p/>
        </w:tc>
      </w:tr>
    </w:tbl>
    <w:bookmarkEnd w:id="97"/>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DSPFPageBreakArea" w:id="98"/>
    <w:p>
      <w:pPr>
        <w:spacing w:before="0" w:after="0"/>
        <w:ind w:left="120"/>
        <w:jc w:val="left"/>
      </w:pPr>
      <w:bookmarkStart w:name="DSPFPageBreak" w:id="99"/>
    </w:p>
    <w:p>
      <w:r>
        <w:pict>
          <v:rect style="width:0;height:1.5pt" id="_x0000_i1025" o:hr="t" o:hrstd="t" o:hralign="center" stroked="f" fillcolor="#a0a0a0"/>
        </w:pict>
      </w:r>
    </w:p>
    <w:bookmarkEnd w:id="99"/>
    <w:bookmarkStart w:name="DSPFPageHeader" w:id="100"/>
    <w:tbl>
      <w:tblPr>
        <w:tblW w:w="0" w:type="auto"/>
        <w:tblCellSpacing w:w="0" w:type="dxa"/>
        <w:tblBorders>
          <w:top w:val="none"/>
          <w:left w:val="none"/>
          <w:bottom w:val="none"/>
          <w:right w:val="none"/>
          <w:insideH w:val="none"/>
          <w:insideV w:val="none"/>
        </w:tblBorders>
      </w:tblPr>
      <w:tblGrid>
        <w:gridCol w:w="6817"/>
        <w:gridCol w:w="6817"/>
      </w:tblGrid>
      <w:tr>
        <w:trPr/>
        <w:tc>
          <w:tcPr>
            <w:tcW w:w="6817" w:type="dxa"/>
            <w:tcBorders/>
            <w:tcMar>
              <w:top w:w="15" w:type="dxa"/>
              <w:left w:w="15" w:type="dxa"/>
              <w:bottom w:w="15" w:type="dxa"/>
              <w:right w:w="15" w:type="dxa"/>
            </w:tcMar>
            <w:vAlign w:val="center"/>
          </w:tcPr>
          <w:p>
            <w:r>
              <w:drawing>
                <wp:inline distT="0" distB="0" distL="0" distR="0">
                  <wp:extent cx="1543050" cy="55245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43050" cy="552450"/>
                          </a:xfrm>
                          <a:prstGeom prst="rect">
                            <a:avLst/>
                          </a:prstGeom>
                        </pic:spPr>
                      </pic:pic>
                    </a:graphicData>
                  </a:graphic>
                </wp:inline>
              </w:drawing>
            </w:r>
          </w:p>
        </w:tc>
        <w:tc>
          <w:tcPr>
            <w:tcW w:w="6817" w:type="dxa"/>
            <w:tcBorders/>
            <w:tcMar>
              <w:top w:w="15" w:type="dxa"/>
              <w:left w:w="15" w:type="dxa"/>
              <w:bottom w:w="15" w:type="dxa"/>
              <w:right w:w="15" w:type="dxa"/>
            </w:tcMar>
            <w:vAlign w:val="center"/>
          </w:tcPr>
          <w:p>
            <w:pPr>
              <w:spacing w:before="0" w:after="0"/>
              <w:ind w:left="120"/>
              <w:jc w:val="left"/>
            </w:pPr>
          </w:p>
        </w:tc>
      </w:tr>
    </w:tbl>
    <w:bookmarkEnd w:id="100"/>
    <w:bookmarkEnd w:id="98"/>
    <w:p>
      <w:pPr>
        <w:spacing w:before="0" w:after="0"/>
        <w:ind w:left="120"/>
        <w:jc w:val="both"/>
      </w:pPr>
      <w:r>
        <w:rPr>
          <w:rFonts w:ascii="Times New Roman" w:hAnsi="Times New Roman"/>
          <w:b/>
          <w:i w:val="false"/>
          <w:color w:val="000000"/>
          <w:sz w:val="20"/>
        </w:rPr>
        <w:t xml:space="preserve"> InflaRx N.V. and subsidiaries </w:t>
      </w:r>
    </w:p>
    <w:p>
      <w:pPr>
        <w:spacing w:before="0" w:after="0"/>
        <w:ind w:left="120"/>
        <w:jc w:val="both"/>
      </w:pPr>
      <w:r>
        <w:rPr>
          <w:rFonts w:ascii="Times New Roman" w:hAnsi="Times New Roman"/>
          <w:b/>
          <w:i w:val="false"/>
          <w:color w:val="000000"/>
          <w:sz w:val="20"/>
        </w:rPr>
        <w:t xml:space="preserve"> Consolidated Statements of Changes in Shareholders’ Equity for the Years Ended December 31, 2021, 2020 and 2019 </w:t>
      </w:r>
    </w:p>
    <w:p>
      <w:pPr>
        <w:spacing w:before="0" w:after="0"/>
        <w:ind w:left="120"/>
        <w:jc w:val="left"/>
      </w:pPr>
    </w:p>
    <w:bookmarkStart w:name="z06d8ea6a0d2d4209b6dd47e369458268" w:id="101"/>
    <w:tbl>
      <w:tblPr>
        <w:tblW w:w="0" w:type="auto"/>
        <w:tblCellSpacing w:w="0" w:type="dxa"/>
        <w:tblBorders>
          <w:top w:val="none"/>
          <w:left w:val="none"/>
          <w:bottom w:val="none"/>
          <w:right w:val="none"/>
          <w:insideH w:val="none"/>
          <w:insideV w:val="none"/>
        </w:tblBorders>
      </w:tblPr>
      <w:tblGrid>
        <w:gridCol w:w="3417"/>
        <w:gridCol w:w="105"/>
        <w:gridCol w:w="105"/>
        <w:gridCol w:w="1206"/>
        <w:gridCol w:w="105"/>
        <w:gridCol w:w="105"/>
        <w:gridCol w:w="105"/>
        <w:gridCol w:w="1402"/>
        <w:gridCol w:w="156"/>
        <w:gridCol w:w="105"/>
        <w:gridCol w:w="106"/>
        <w:gridCol w:w="1269"/>
        <w:gridCol w:w="106"/>
        <w:gridCol w:w="106"/>
        <w:gridCol w:w="126"/>
        <w:gridCol w:w="1491"/>
        <w:gridCol w:w="156"/>
        <w:gridCol w:w="106"/>
        <w:gridCol w:w="143"/>
        <w:gridCol w:w="1288"/>
        <w:gridCol w:w="156"/>
        <w:gridCol w:w="106"/>
        <w:gridCol w:w="106"/>
        <w:gridCol w:w="1402"/>
        <w:gridCol w:w="156"/>
      </w:tblGrid>
      <w:tr>
        <w:trPr>
          <w:trHeight w:val="720" w:hRule="atLeast"/>
        </w:trPr>
        <w:tc>
          <w:tcPr>
            <w:tcW w:w="3417" w:type="dxa"/>
            <w:tcBorders/>
            <w:tcMar>
              <w:top w:w="15" w:type="dxa"/>
              <w:left w:w="15" w:type="dxa"/>
              <w:bottom w:w="30" w:type="dxa"/>
              <w:right w:w="15" w:type="dxa"/>
            </w:tcMar>
            <w:vAlign w:val="bottom"/>
          </w:tcPr>
          <w:p>
            <w:pPr>
              <w:spacing w:before="0" w:after="0"/>
              <w:ind w:left="264"/>
              <w:jc w:val="left"/>
            </w:pPr>
            <w:r>
              <w:rPr>
                <w:rFonts w:ascii="Times New Roman" w:hAnsi="Times New Roman"/>
                <w:b/>
                <w:i w:val="false"/>
                <w:color w:val="000000"/>
                <w:sz w:val="20"/>
              </w:rPr>
              <w:t xml:space="preserve"> in € </w:t>
            </w:r>
          </w:p>
        </w:tc>
        <w:tc>
          <w:tcPr>
            <w:tcW w:w="105" w:type="dxa"/>
            <w:tcBorders/>
            <w:tcMar>
              <w:top w:w="15" w:type="dxa"/>
              <w:left w:w="15" w:type="dxa"/>
              <w:bottom w:w="30" w:type="dxa"/>
              <w:right w:w="15" w:type="dxa"/>
            </w:tcMar>
            <w:vAlign w:val="bottom"/>
          </w:tcPr>
          <w:p/>
        </w:tc>
        <w:tc>
          <w:tcPr>
            <w:tcW w:w="0" w:type="auto"/>
            <w:gridSpan w:val="2"/>
            <w:tcBorders>
              <w:bottom w:val="single" w:color="000000" w:sz="16"/>
            </w:tcBorders>
            <w:tcMar>
              <w:top w:w="15" w:type="dxa"/>
              <w:left w:w="15" w:type="dxa"/>
              <w:bottom w:w="15" w:type="dxa"/>
              <w:right w:w="15" w:type="dxa"/>
            </w:tcMar>
            <w:vAlign w:val="bottom"/>
          </w:tcPr>
          <w:p>
            <w:pPr>
              <w:spacing w:before="0" w:after="0"/>
              <w:ind w:left="120"/>
              <w:jc w:val="center"/>
            </w:pPr>
            <w:r>
              <w:rPr>
                <w:rFonts w:ascii="Times New Roman" w:hAnsi="Times New Roman"/>
                <w:b/>
                <w:i w:val="false"/>
                <w:color w:val="000000"/>
                <w:sz w:val="20"/>
              </w:rPr>
              <w:t xml:space="preserve"> Issued </w:t>
            </w:r>
          </w:p>
          <w:p>
            <w:pPr>
              <w:spacing w:before="0" w:after="0"/>
              <w:ind w:left="120"/>
              <w:jc w:val="center"/>
            </w:pPr>
            <w:r>
              <w:rPr>
                <w:rFonts w:ascii="Times New Roman" w:hAnsi="Times New Roman"/>
                <w:b/>
                <w:i w:val="false"/>
                <w:color w:val="000000"/>
                <w:sz w:val="20"/>
              </w:rPr>
              <w:t xml:space="preserve"> capital </w:t>
            </w:r>
          </w:p>
        </w:tc>
        <w:tc>
          <w:tcPr>
            <w:tcW w:w="105" w:type="dxa"/>
            <w:tcBorders/>
            <w:tcMar>
              <w:top w:w="15" w:type="dxa"/>
              <w:left w:w="15" w:type="dxa"/>
              <w:bottom w:w="30" w:type="dxa"/>
              <w:right w:w="15" w:type="dxa"/>
            </w:tcMar>
            <w:vAlign w:val="bottom"/>
          </w:tcPr>
          <w:p/>
        </w:tc>
        <w:tc>
          <w:tcPr>
            <w:tcW w:w="105" w:type="dxa"/>
            <w:tcBorders/>
            <w:tcMar>
              <w:top w:w="15" w:type="dxa"/>
              <w:left w:w="15" w:type="dxa"/>
              <w:bottom w:w="30" w:type="dxa"/>
              <w:right w:w="15" w:type="dxa"/>
            </w:tcMar>
            <w:vAlign w:val="bottom"/>
          </w:tcPr>
          <w:p/>
        </w:tc>
        <w:tc>
          <w:tcPr>
            <w:tcW w:w="0" w:type="auto"/>
            <w:gridSpan w:val="2"/>
            <w:tcBorders>
              <w:bottom w:val="single" w:color="000000" w:sz="16"/>
            </w:tcBorders>
            <w:tcMar>
              <w:top w:w="15" w:type="dxa"/>
              <w:left w:w="15" w:type="dxa"/>
              <w:bottom w:w="15" w:type="dxa"/>
              <w:right w:w="15" w:type="dxa"/>
            </w:tcMar>
            <w:vAlign w:val="bottom"/>
          </w:tcPr>
          <w:p>
            <w:pPr>
              <w:spacing w:before="0" w:after="0"/>
              <w:ind w:left="120"/>
              <w:jc w:val="center"/>
            </w:pPr>
            <w:r>
              <w:rPr>
                <w:rFonts w:ascii="Times New Roman" w:hAnsi="Times New Roman"/>
                <w:b/>
                <w:i w:val="false"/>
                <w:color w:val="000000"/>
                <w:sz w:val="20"/>
              </w:rPr>
              <w:t xml:space="preserve"> Share </w:t>
            </w:r>
          </w:p>
          <w:p>
            <w:pPr>
              <w:spacing w:before="0" w:after="0"/>
              <w:ind w:left="120"/>
              <w:jc w:val="center"/>
            </w:pPr>
            <w:r>
              <w:rPr>
                <w:rFonts w:ascii="Times New Roman" w:hAnsi="Times New Roman"/>
                <w:b/>
                <w:i w:val="false"/>
                <w:color w:val="000000"/>
                <w:sz w:val="20"/>
              </w:rPr>
              <w:t xml:space="preserve"> premium </w:t>
            </w:r>
          </w:p>
        </w:tc>
        <w:tc>
          <w:tcPr>
            <w:tcW w:w="156" w:type="dxa"/>
            <w:tcBorders/>
            <w:tcMar>
              <w:top w:w="15" w:type="dxa"/>
              <w:left w:w="15" w:type="dxa"/>
              <w:bottom w:w="30" w:type="dxa"/>
              <w:right w:w="15" w:type="dxa"/>
            </w:tcMar>
            <w:vAlign w:val="bottom"/>
          </w:tcPr>
          <w:p/>
        </w:tc>
        <w:tc>
          <w:tcPr>
            <w:tcW w:w="105" w:type="dxa"/>
            <w:tcBorders/>
            <w:tcMar>
              <w:top w:w="15" w:type="dxa"/>
              <w:left w:w="15" w:type="dxa"/>
              <w:bottom w:w="30" w:type="dxa"/>
              <w:right w:w="15" w:type="dxa"/>
            </w:tcMar>
            <w:vAlign w:val="bottom"/>
          </w:tcPr>
          <w:p/>
        </w:tc>
        <w:tc>
          <w:tcPr>
            <w:tcW w:w="0" w:type="auto"/>
            <w:gridSpan w:val="2"/>
            <w:tcBorders>
              <w:bottom w:val="single" w:color="000000" w:sz="16"/>
            </w:tcBorders>
            <w:tcMar>
              <w:top w:w="15" w:type="dxa"/>
              <w:left w:w="15" w:type="dxa"/>
              <w:bottom w:w="15" w:type="dxa"/>
              <w:right w:w="15" w:type="dxa"/>
            </w:tcMar>
            <w:vAlign w:val="bottom"/>
          </w:tcPr>
          <w:p>
            <w:pPr>
              <w:spacing w:before="0" w:after="0"/>
              <w:ind w:left="120"/>
              <w:jc w:val="center"/>
            </w:pPr>
            <w:r>
              <w:rPr>
                <w:rFonts w:ascii="Times New Roman" w:hAnsi="Times New Roman"/>
                <w:b/>
                <w:i w:val="false"/>
                <w:color w:val="000000"/>
                <w:sz w:val="20"/>
              </w:rPr>
              <w:t xml:space="preserve"> Other </w:t>
            </w:r>
          </w:p>
          <w:p>
            <w:pPr>
              <w:spacing w:before="0" w:after="0"/>
              <w:ind w:left="120"/>
              <w:jc w:val="center"/>
            </w:pPr>
            <w:r>
              <w:rPr>
                <w:rFonts w:ascii="Times New Roman" w:hAnsi="Times New Roman"/>
                <w:b/>
                <w:i w:val="false"/>
                <w:color w:val="000000"/>
                <w:sz w:val="20"/>
              </w:rPr>
              <w:t xml:space="preserve"> capital reserves </w:t>
            </w:r>
          </w:p>
        </w:tc>
        <w:tc>
          <w:tcPr>
            <w:tcW w:w="106" w:type="dxa"/>
            <w:tcBorders/>
            <w:tcMar>
              <w:top w:w="15" w:type="dxa"/>
              <w:left w:w="15" w:type="dxa"/>
              <w:bottom w:w="30" w:type="dxa"/>
              <w:right w:w="15" w:type="dxa"/>
            </w:tcMar>
            <w:vAlign w:val="bottom"/>
          </w:tcPr>
          <w:p/>
        </w:tc>
        <w:tc>
          <w:tcPr>
            <w:tcW w:w="106" w:type="dxa"/>
            <w:tcBorders/>
            <w:tcMar>
              <w:top w:w="15" w:type="dxa"/>
              <w:left w:w="15" w:type="dxa"/>
              <w:bottom w:w="30" w:type="dxa"/>
              <w:right w:w="15" w:type="dxa"/>
            </w:tcMar>
            <w:vAlign w:val="bottom"/>
          </w:tcPr>
          <w:p/>
        </w:tc>
        <w:tc>
          <w:tcPr>
            <w:tcW w:w="0" w:type="auto"/>
            <w:gridSpan w:val="2"/>
            <w:tcBorders>
              <w:bottom w:val="single" w:color="000000" w:sz="16"/>
            </w:tcBorders>
            <w:tcMar>
              <w:top w:w="15" w:type="dxa"/>
              <w:left w:w="15" w:type="dxa"/>
              <w:bottom w:w="15" w:type="dxa"/>
              <w:right w:w="15" w:type="dxa"/>
            </w:tcMar>
            <w:vAlign w:val="bottom"/>
          </w:tcPr>
          <w:p>
            <w:pPr>
              <w:spacing w:before="0" w:after="0"/>
              <w:ind w:left="120"/>
              <w:jc w:val="center"/>
            </w:pPr>
            <w:r>
              <w:rPr>
                <w:rFonts w:ascii="Times New Roman" w:hAnsi="Times New Roman"/>
                <w:b/>
                <w:i w:val="false"/>
                <w:color w:val="000000"/>
                <w:sz w:val="20"/>
              </w:rPr>
              <w:t xml:space="preserve"> Accumulated deficit </w:t>
            </w:r>
          </w:p>
        </w:tc>
        <w:tc>
          <w:tcPr>
            <w:tcW w:w="156" w:type="dxa"/>
            <w:tcBorders/>
            <w:tcMar>
              <w:top w:w="15" w:type="dxa"/>
              <w:left w:w="15" w:type="dxa"/>
              <w:bottom w:w="30" w:type="dxa"/>
              <w:right w:w="15" w:type="dxa"/>
            </w:tcMar>
            <w:vAlign w:val="bottom"/>
          </w:tcPr>
          <w:p/>
        </w:tc>
        <w:tc>
          <w:tcPr>
            <w:tcW w:w="106" w:type="dxa"/>
            <w:tcBorders/>
            <w:tcMar>
              <w:top w:w="15" w:type="dxa"/>
              <w:left w:w="15" w:type="dxa"/>
              <w:bottom w:w="30" w:type="dxa"/>
              <w:right w:w="15" w:type="dxa"/>
            </w:tcMar>
            <w:vAlign w:val="bottom"/>
          </w:tcPr>
          <w:p/>
        </w:tc>
        <w:tc>
          <w:tcPr>
            <w:tcW w:w="0" w:type="auto"/>
            <w:gridSpan w:val="2"/>
            <w:tcBorders>
              <w:bottom w:val="single" w:color="000000" w:sz="16"/>
            </w:tcBorders>
            <w:tcMar>
              <w:top w:w="15" w:type="dxa"/>
              <w:left w:w="15" w:type="dxa"/>
              <w:bottom w:w="15" w:type="dxa"/>
              <w:right w:w="15" w:type="dxa"/>
            </w:tcMar>
            <w:vAlign w:val="bottom"/>
          </w:tcPr>
          <w:p>
            <w:pPr>
              <w:spacing w:before="0" w:after="0"/>
              <w:ind w:left="120"/>
              <w:jc w:val="center"/>
            </w:pPr>
            <w:r>
              <w:rPr>
                <w:rFonts w:ascii="Times New Roman" w:hAnsi="Times New Roman"/>
                <w:b/>
                <w:i w:val="false"/>
                <w:color w:val="000000"/>
                <w:sz w:val="20"/>
              </w:rPr>
              <w:t xml:space="preserve"> Other </w:t>
            </w:r>
          </w:p>
          <w:p>
            <w:pPr>
              <w:spacing w:before="0" w:after="0"/>
              <w:ind w:left="120"/>
              <w:jc w:val="center"/>
            </w:pPr>
            <w:r>
              <w:rPr>
                <w:rFonts w:ascii="Times New Roman" w:hAnsi="Times New Roman"/>
                <w:b/>
                <w:i w:val="false"/>
                <w:color w:val="000000"/>
                <w:sz w:val="20"/>
              </w:rPr>
              <w:t xml:space="preserve"> components of equity </w:t>
            </w:r>
          </w:p>
        </w:tc>
        <w:tc>
          <w:tcPr>
            <w:tcW w:w="156" w:type="dxa"/>
            <w:tcBorders/>
            <w:tcMar>
              <w:top w:w="15" w:type="dxa"/>
              <w:left w:w="15" w:type="dxa"/>
              <w:bottom w:w="30" w:type="dxa"/>
              <w:right w:w="15" w:type="dxa"/>
            </w:tcMar>
            <w:vAlign w:val="bottom"/>
          </w:tcPr>
          <w:p/>
        </w:tc>
        <w:tc>
          <w:tcPr>
            <w:tcW w:w="106" w:type="dxa"/>
            <w:tcBorders/>
            <w:tcMar>
              <w:top w:w="15" w:type="dxa"/>
              <w:left w:w="15" w:type="dxa"/>
              <w:bottom w:w="30" w:type="dxa"/>
              <w:right w:w="15" w:type="dxa"/>
            </w:tcMar>
            <w:vAlign w:val="bottom"/>
          </w:tcPr>
          <w:p/>
        </w:tc>
        <w:tc>
          <w:tcPr>
            <w:tcW w:w="0" w:type="auto"/>
            <w:gridSpan w:val="2"/>
            <w:tcBorders>
              <w:bottom w:val="single" w:color="000000" w:sz="16"/>
            </w:tcBorders>
            <w:tcMar>
              <w:top w:w="15" w:type="dxa"/>
              <w:left w:w="15" w:type="dxa"/>
              <w:bottom w:w="15" w:type="dxa"/>
              <w:right w:w="15" w:type="dxa"/>
            </w:tcMar>
            <w:vAlign w:val="bottom"/>
          </w:tcPr>
          <w:p>
            <w:pPr>
              <w:spacing w:before="0" w:after="0"/>
              <w:ind w:left="120"/>
              <w:jc w:val="center"/>
            </w:pPr>
            <w:r>
              <w:rPr>
                <w:rFonts w:ascii="Times New Roman" w:hAnsi="Times New Roman"/>
                <w:b/>
                <w:i w:val="false"/>
                <w:color w:val="000000"/>
                <w:sz w:val="20"/>
              </w:rPr>
              <w:t xml:space="preserve"> Total </w:t>
            </w:r>
          </w:p>
          <w:p>
            <w:pPr>
              <w:spacing w:before="0" w:after="0"/>
              <w:ind w:left="120"/>
              <w:jc w:val="center"/>
            </w:pPr>
            <w:r>
              <w:rPr>
                <w:rFonts w:ascii="Times New Roman" w:hAnsi="Times New Roman"/>
                <w:b/>
                <w:i w:val="false"/>
                <w:color w:val="000000"/>
                <w:sz w:val="20"/>
              </w:rPr>
              <w:t xml:space="preserve"> equity </w:t>
            </w:r>
          </w:p>
        </w:tc>
        <w:tc>
          <w:tcPr>
            <w:tcW w:w="156" w:type="dxa"/>
            <w:tcBorders/>
            <w:tcMar>
              <w:top w:w="15" w:type="dxa"/>
              <w:left w:w="15" w:type="dxa"/>
              <w:bottom w:w="30" w:type="dxa"/>
              <w:right w:w="15" w:type="dxa"/>
            </w:tcMar>
            <w:vAlign w:val="bottom"/>
          </w:tcPr>
          <w:p/>
        </w:tc>
      </w:tr>
      <w:tr>
        <w:trPr/>
        <w:tc>
          <w:tcPr>
            <w:tcW w:w="3417" w:type="dxa"/>
            <w:tcBorders/>
            <w:tcMar>
              <w:top w:w="15" w:type="dxa"/>
              <w:left w:w="15" w:type="dxa"/>
              <w:bottom w:w="15" w:type="dxa"/>
              <w:right w:w="15" w:type="dxa"/>
            </w:tcMar>
            <w:vAlign w:val="bottom"/>
          </w:tcPr>
          <w:p/>
        </w:tc>
        <w:tc>
          <w:tcPr>
            <w:tcW w:w="105" w:type="dxa"/>
            <w:tcBorders/>
            <w:tcMar>
              <w:top w:w="15" w:type="dxa"/>
              <w:left w:w="15" w:type="dxa"/>
              <w:bottom w:w="15" w:type="dxa"/>
              <w:right w:w="15" w:type="dxa"/>
            </w:tcMar>
            <w:vAlign w:val="bottom"/>
          </w:tcPr>
          <w:p/>
        </w:tc>
        <w:tc>
          <w:tcPr>
            <w:tcW w:w="0" w:type="auto"/>
            <w:gridSpan w:val="2"/>
            <w:tcBorders/>
            <w:tcMar>
              <w:top w:w="15" w:type="dxa"/>
              <w:left w:w="15" w:type="dxa"/>
              <w:bottom w:w="15" w:type="dxa"/>
              <w:right w:w="15" w:type="dxa"/>
            </w:tcMar>
            <w:vAlign w:val="bottom"/>
          </w:tcPr>
          <w:p/>
        </w:tc>
        <w:tc>
          <w:tcPr>
            <w:tcW w:w="105" w:type="dxa"/>
            <w:tcBorders/>
            <w:tcMar>
              <w:top w:w="15" w:type="dxa"/>
              <w:left w:w="15" w:type="dxa"/>
              <w:bottom w:w="15" w:type="dxa"/>
              <w:right w:w="15" w:type="dxa"/>
            </w:tcMar>
            <w:vAlign w:val="bottom"/>
          </w:tcPr>
          <w:p/>
        </w:tc>
        <w:tc>
          <w:tcPr>
            <w:tcW w:w="105" w:type="dxa"/>
            <w:tcBorders/>
            <w:tcMar>
              <w:top w:w="15" w:type="dxa"/>
              <w:left w:w="15" w:type="dxa"/>
              <w:bottom w:w="15" w:type="dxa"/>
              <w:right w:w="15" w:type="dxa"/>
            </w:tcMar>
            <w:vAlign w:val="bottom"/>
          </w:tcPr>
          <w:p/>
        </w:tc>
        <w:tc>
          <w:tcPr>
            <w:tcW w:w="0" w:type="auto"/>
            <w:gridSpan w:val="2"/>
            <w:tcBorders/>
            <w:tcMar>
              <w:top w:w="15" w:type="dxa"/>
              <w:left w:w="15" w:type="dxa"/>
              <w:bottom w:w="15" w:type="dxa"/>
              <w:right w:w="15" w:type="dxa"/>
            </w:tcMar>
            <w:vAlign w:val="bottom"/>
          </w:tcPr>
          <w:p/>
        </w:tc>
        <w:tc>
          <w:tcPr>
            <w:tcW w:w="156" w:type="dxa"/>
            <w:tcBorders/>
            <w:tcMar>
              <w:top w:w="15" w:type="dxa"/>
              <w:left w:w="15" w:type="dxa"/>
              <w:bottom w:w="15" w:type="dxa"/>
              <w:right w:w="15" w:type="dxa"/>
            </w:tcMar>
            <w:vAlign w:val="bottom"/>
          </w:tcPr>
          <w:p/>
        </w:tc>
        <w:tc>
          <w:tcPr>
            <w:tcW w:w="105" w:type="dxa"/>
            <w:tcBorders/>
            <w:tcMar>
              <w:top w:w="15" w:type="dxa"/>
              <w:left w:w="15" w:type="dxa"/>
              <w:bottom w:w="15" w:type="dxa"/>
              <w:right w:w="15" w:type="dxa"/>
            </w:tcMar>
            <w:vAlign w:val="bottom"/>
          </w:tcPr>
          <w:p/>
        </w:tc>
        <w:tc>
          <w:tcPr>
            <w:tcW w:w="0" w:type="auto"/>
            <w:gridSpan w:val="2"/>
            <w:tcBorders/>
            <w:tcMar>
              <w:top w:w="15" w:type="dxa"/>
              <w:left w:w="15" w:type="dxa"/>
              <w:bottom w:w="15" w:type="dxa"/>
              <w:right w:w="15" w:type="dxa"/>
            </w:tcMar>
            <w:vAlign w:val="bottom"/>
          </w:tcPr>
          <w:p/>
        </w:tc>
        <w:tc>
          <w:tcPr>
            <w:tcW w:w="106" w:type="dxa"/>
            <w:tcBorders/>
            <w:tcMar>
              <w:top w:w="15" w:type="dxa"/>
              <w:left w:w="15" w:type="dxa"/>
              <w:bottom w:w="15" w:type="dxa"/>
              <w:right w:w="15" w:type="dxa"/>
            </w:tcMar>
            <w:vAlign w:val="bottom"/>
          </w:tcPr>
          <w:p/>
        </w:tc>
        <w:tc>
          <w:tcPr>
            <w:tcW w:w="106" w:type="dxa"/>
            <w:tcBorders/>
            <w:tcMar>
              <w:top w:w="15" w:type="dxa"/>
              <w:left w:w="15" w:type="dxa"/>
              <w:bottom w:w="15" w:type="dxa"/>
              <w:right w:w="15" w:type="dxa"/>
            </w:tcMar>
            <w:vAlign w:val="bottom"/>
          </w:tcPr>
          <w:p/>
        </w:tc>
        <w:tc>
          <w:tcPr>
            <w:tcW w:w="0" w:type="auto"/>
            <w:gridSpan w:val="2"/>
            <w:tcBorders/>
            <w:tcMar>
              <w:top w:w="15" w:type="dxa"/>
              <w:left w:w="15" w:type="dxa"/>
              <w:bottom w:w="15" w:type="dxa"/>
              <w:right w:w="15" w:type="dxa"/>
            </w:tcMar>
            <w:vAlign w:val="bottom"/>
          </w:tcPr>
          <w:p/>
        </w:tc>
        <w:tc>
          <w:tcPr>
            <w:tcW w:w="156" w:type="dxa"/>
            <w:tcBorders/>
            <w:tcMar>
              <w:top w:w="15" w:type="dxa"/>
              <w:left w:w="15" w:type="dxa"/>
              <w:bottom w:w="15" w:type="dxa"/>
              <w:right w:w="15" w:type="dxa"/>
            </w:tcMar>
            <w:vAlign w:val="bottom"/>
          </w:tcPr>
          <w:p/>
        </w:tc>
        <w:tc>
          <w:tcPr>
            <w:tcW w:w="106" w:type="dxa"/>
            <w:tcBorders/>
            <w:tcMar>
              <w:top w:w="15" w:type="dxa"/>
              <w:left w:w="15" w:type="dxa"/>
              <w:bottom w:w="15" w:type="dxa"/>
              <w:right w:w="15" w:type="dxa"/>
            </w:tcMar>
            <w:vAlign w:val="bottom"/>
          </w:tcPr>
          <w:p/>
        </w:tc>
        <w:tc>
          <w:tcPr>
            <w:tcW w:w="0" w:type="auto"/>
            <w:gridSpan w:val="2"/>
            <w:tcBorders/>
            <w:tcMar>
              <w:top w:w="15" w:type="dxa"/>
              <w:left w:w="15" w:type="dxa"/>
              <w:bottom w:w="15" w:type="dxa"/>
              <w:right w:w="15" w:type="dxa"/>
            </w:tcMar>
            <w:vAlign w:val="bottom"/>
          </w:tcPr>
          <w:p/>
        </w:tc>
        <w:tc>
          <w:tcPr>
            <w:tcW w:w="156" w:type="dxa"/>
            <w:tcBorders/>
            <w:tcMar>
              <w:top w:w="15" w:type="dxa"/>
              <w:left w:w="15" w:type="dxa"/>
              <w:bottom w:w="15" w:type="dxa"/>
              <w:right w:w="15" w:type="dxa"/>
            </w:tcMar>
            <w:vAlign w:val="bottom"/>
          </w:tcPr>
          <w:p/>
        </w:tc>
        <w:tc>
          <w:tcPr>
            <w:tcW w:w="106" w:type="dxa"/>
            <w:tcBorders/>
            <w:tcMar>
              <w:top w:w="15" w:type="dxa"/>
              <w:left w:w="15" w:type="dxa"/>
              <w:bottom w:w="15" w:type="dxa"/>
              <w:right w:w="15" w:type="dxa"/>
            </w:tcMar>
            <w:vAlign w:val="bottom"/>
          </w:tcPr>
          <w:p/>
        </w:tc>
        <w:tc>
          <w:tcPr>
            <w:tcW w:w="0" w:type="auto"/>
            <w:gridSpan w:val="2"/>
            <w:tcBorders/>
            <w:tcMar>
              <w:top w:w="15" w:type="dxa"/>
              <w:left w:w="15" w:type="dxa"/>
              <w:bottom w:w="15" w:type="dxa"/>
              <w:right w:w="15" w:type="dxa"/>
            </w:tcMar>
            <w:vAlign w:val="bottom"/>
          </w:tcPr>
          <w:p/>
        </w:tc>
        <w:tc>
          <w:tcPr>
            <w:tcW w:w="156" w:type="dxa"/>
            <w:tcBorders/>
            <w:tcMar>
              <w:top w:w="15" w:type="dxa"/>
              <w:left w:w="15" w:type="dxa"/>
              <w:bottom w:w="15" w:type="dxa"/>
              <w:right w:w="15" w:type="dxa"/>
            </w:tcMar>
            <w:vAlign w:val="bottom"/>
          </w:tcPr>
          <w:p/>
        </w:tc>
      </w:tr>
      <w:tr>
        <w:trPr>
          <w:trHeight w:val="480" w:hRule="atLeast"/>
        </w:trPr>
        <w:tc>
          <w:tcPr>
            <w:tcW w:w="3417" w:type="dxa"/>
            <w:tcBorders/>
            <w:shd w:fill="cceeff"/>
            <w:tcMar>
              <w:top w:w="15" w:type="dxa"/>
              <w:left w:w="15" w:type="dxa"/>
              <w:bottom w:w="30" w:type="dxa"/>
              <w:right w:w="15" w:type="dxa"/>
            </w:tcMar>
            <w:vAlign w:val="top"/>
          </w:tcPr>
          <w:p>
            <w:pPr>
              <w:spacing w:before="0" w:after="0"/>
              <w:ind w:left="264"/>
              <w:jc w:val="left"/>
            </w:pPr>
            <w:r>
              <w:rPr>
                <w:rFonts w:ascii="Times New Roman" w:hAnsi="Times New Roman"/>
                <w:b/>
                <w:i w:val="false"/>
                <w:color w:val="000000"/>
                <w:sz w:val="20"/>
              </w:rPr>
              <w:t xml:space="preserve"> Balance as of January 1, 2019 </w:t>
            </w:r>
          </w:p>
        </w:tc>
        <w:tc>
          <w:tcPr>
            <w:tcW w:w="105" w:type="dxa"/>
            <w:tcBorders/>
            <w:shd w:fill="cceeff"/>
            <w:tcMar>
              <w:top w:w="15" w:type="dxa"/>
              <w:left w:w="15" w:type="dxa"/>
              <w:bottom w:w="30" w:type="dxa"/>
              <w:right w:w="15" w:type="dxa"/>
            </w:tcMar>
            <w:vAlign w:val="bottom"/>
          </w:tcPr>
          <w:p/>
        </w:tc>
        <w:tc>
          <w:tcPr>
            <w:tcW w:w="105" w:type="dxa"/>
            <w:tcBorders>
              <w:bottom w:val="single" w:color="000000" w:sz="16"/>
            </w:tcBorders>
            <w:shd w:fill="cceeff"/>
            <w:tcMar>
              <w:top w:w="15" w:type="dxa"/>
              <w:left w:w="15" w:type="dxa"/>
              <w:bottom w:w="15" w:type="dxa"/>
              <w:right w:w="15" w:type="dxa"/>
            </w:tcMar>
            <w:vAlign w:val="bottom"/>
          </w:tcPr>
          <w:p/>
        </w:tc>
        <w:tc>
          <w:tcPr>
            <w:tcW w:w="1206"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3,115,725 </w:t>
            </w:r>
          </w:p>
        </w:tc>
        <w:tc>
          <w:tcPr>
            <w:tcW w:w="105" w:type="dxa"/>
            <w:tcBorders/>
            <w:shd w:fill="cceeff"/>
            <w:tcMar>
              <w:top w:w="15" w:type="dxa"/>
              <w:left w:w="15" w:type="dxa"/>
              <w:bottom w:w="30" w:type="dxa"/>
              <w:right w:w="15" w:type="dxa"/>
            </w:tcMar>
            <w:vAlign w:val="bottom"/>
          </w:tcPr>
          <w:p/>
        </w:tc>
        <w:tc>
          <w:tcPr>
            <w:tcW w:w="105" w:type="dxa"/>
            <w:tcBorders/>
            <w:shd w:fill="cceeff"/>
            <w:tcMar>
              <w:top w:w="15" w:type="dxa"/>
              <w:left w:w="15" w:type="dxa"/>
              <w:bottom w:w="30" w:type="dxa"/>
              <w:right w:w="15" w:type="dxa"/>
            </w:tcMar>
            <w:vAlign w:val="bottom"/>
          </w:tcPr>
          <w:p/>
        </w:tc>
        <w:tc>
          <w:tcPr>
            <w:tcW w:w="105" w:type="dxa"/>
            <w:tcBorders>
              <w:bottom w:val="single" w:color="000000" w:sz="16"/>
            </w:tcBorders>
            <w:shd w:fill="cceeff"/>
            <w:tcMar>
              <w:top w:w="15" w:type="dxa"/>
              <w:left w:w="15" w:type="dxa"/>
              <w:bottom w:w="15" w:type="dxa"/>
              <w:right w:w="15" w:type="dxa"/>
            </w:tcMar>
            <w:vAlign w:val="bottom"/>
          </w:tcPr>
          <w:p/>
        </w:tc>
        <w:tc>
          <w:tcPr>
            <w:tcW w:w="1402"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211,021,835 </w:t>
            </w:r>
          </w:p>
        </w:tc>
        <w:tc>
          <w:tcPr>
            <w:tcW w:w="156" w:type="dxa"/>
            <w:tcBorders/>
            <w:shd w:fill="cceeff"/>
            <w:tcMar>
              <w:top w:w="15" w:type="dxa"/>
              <w:left w:w="15" w:type="dxa"/>
              <w:bottom w:w="30" w:type="dxa"/>
              <w:right w:w="15" w:type="dxa"/>
            </w:tcMar>
            <w:vAlign w:val="bottom"/>
          </w:tcPr>
          <w:p/>
        </w:tc>
        <w:tc>
          <w:tcPr>
            <w:tcW w:w="105" w:type="dxa"/>
            <w:tcBorders/>
            <w:shd w:fill="cceeff"/>
            <w:tcMar>
              <w:top w:w="15" w:type="dxa"/>
              <w:left w:w="15" w:type="dxa"/>
              <w:bottom w:w="30" w:type="dxa"/>
              <w:right w:w="15" w:type="dxa"/>
            </w:tcMar>
            <w:vAlign w:val="bottom"/>
          </w:tcPr>
          <w:p/>
        </w:tc>
        <w:tc>
          <w:tcPr>
            <w:tcW w:w="106" w:type="dxa"/>
            <w:tcBorders>
              <w:bottom w:val="single" w:color="000000" w:sz="16"/>
            </w:tcBorders>
            <w:shd w:fill="cceeff"/>
            <w:tcMar>
              <w:top w:w="15" w:type="dxa"/>
              <w:left w:w="15" w:type="dxa"/>
              <w:bottom w:w="15" w:type="dxa"/>
              <w:right w:w="15" w:type="dxa"/>
            </w:tcMar>
            <w:vAlign w:val="bottom"/>
          </w:tcPr>
          <w:p/>
        </w:tc>
        <w:tc>
          <w:tcPr>
            <w:tcW w:w="1269"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18,310,003 </w:t>
            </w:r>
          </w:p>
        </w:tc>
        <w:tc>
          <w:tcPr>
            <w:tcW w:w="106" w:type="dxa"/>
            <w:tcBorders/>
            <w:shd w:fill="cceeff"/>
            <w:tcMar>
              <w:top w:w="15" w:type="dxa"/>
              <w:left w:w="15" w:type="dxa"/>
              <w:bottom w:w="30" w:type="dxa"/>
              <w:right w:w="15" w:type="dxa"/>
            </w:tcMar>
            <w:vAlign w:val="bottom"/>
          </w:tcPr>
          <w:p/>
        </w:tc>
        <w:tc>
          <w:tcPr>
            <w:tcW w:w="106" w:type="dxa"/>
            <w:tcBorders/>
            <w:shd w:fill="cceeff"/>
            <w:tcMar>
              <w:top w:w="15" w:type="dxa"/>
              <w:left w:w="15" w:type="dxa"/>
              <w:bottom w:w="30" w:type="dxa"/>
              <w:right w:w="15" w:type="dxa"/>
            </w:tcMar>
            <w:vAlign w:val="bottom"/>
          </w:tcPr>
          <w:p/>
        </w:tc>
        <w:tc>
          <w:tcPr>
            <w:tcW w:w="126" w:type="dxa"/>
            <w:tcBorders>
              <w:bottom w:val="single" w:color="000000" w:sz="16"/>
            </w:tcBorders>
            <w:shd w:fill="cceeff"/>
            <w:tcMar>
              <w:top w:w="15" w:type="dxa"/>
              <w:left w:w="15" w:type="dxa"/>
              <w:bottom w:w="15" w:type="dxa"/>
              <w:right w:w="15" w:type="dxa"/>
            </w:tcMar>
            <w:vAlign w:val="bottom"/>
          </w:tcPr>
          <w:p/>
        </w:tc>
        <w:tc>
          <w:tcPr>
            <w:tcW w:w="1491"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(81,107,188 </w:t>
            </w:r>
          </w:p>
        </w:tc>
        <w:tc>
          <w:tcPr>
            <w:tcW w:w="156" w:type="dxa"/>
            <w:tcBorders/>
            <w:shd w:fill="cceeff"/>
            <w:tcMar>
              <w:top w:w="15" w:type="dxa"/>
              <w:left w:w="15" w:type="dxa"/>
              <w:bottom w:w="30" w:type="dxa"/>
              <w:right w:w="15" w:type="dxa"/>
            </w:tcMar>
            <w:vAlign w:val="bottom"/>
          </w:tcPr>
          <w:p>
            <w:pPr>
              <w:spacing w:before="0" w:after="0"/>
              <w:ind w:left="120"/>
              <w:jc w:val="left"/>
            </w:pPr>
            <w:r>
              <w:rPr>
                <w:rFonts w:ascii="Times New Roman" w:hAnsi="Times New Roman"/>
                <w:b/>
                <w:i w:val="false"/>
                <w:color w:val="000000"/>
                <w:sz w:val="20"/>
              </w:rPr>
              <w:t xml:space="preserve"> ) </w:t>
            </w:r>
          </w:p>
        </w:tc>
        <w:tc>
          <w:tcPr>
            <w:tcW w:w="106" w:type="dxa"/>
            <w:tcBorders/>
            <w:shd w:fill="cceeff"/>
            <w:tcMar>
              <w:top w:w="15" w:type="dxa"/>
              <w:left w:w="15" w:type="dxa"/>
              <w:bottom w:w="30" w:type="dxa"/>
              <w:right w:w="15" w:type="dxa"/>
            </w:tcMar>
            <w:vAlign w:val="bottom"/>
          </w:tcPr>
          <w:p/>
        </w:tc>
        <w:tc>
          <w:tcPr>
            <w:tcW w:w="143" w:type="dxa"/>
            <w:tcBorders>
              <w:bottom w:val="single" w:color="000000" w:sz="16"/>
            </w:tcBorders>
            <w:shd w:fill="cceeff"/>
            <w:tcMar>
              <w:top w:w="15" w:type="dxa"/>
              <w:left w:w="15" w:type="dxa"/>
              <w:bottom w:w="15" w:type="dxa"/>
              <w:right w:w="15" w:type="dxa"/>
            </w:tcMar>
            <w:vAlign w:val="bottom"/>
          </w:tcPr>
          <w:p/>
        </w:tc>
        <w:tc>
          <w:tcPr>
            <w:tcW w:w="1288"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50,196 </w:t>
            </w:r>
          </w:p>
        </w:tc>
        <w:tc>
          <w:tcPr>
            <w:tcW w:w="156" w:type="dxa"/>
            <w:tcBorders/>
            <w:shd w:fill="cceeff"/>
            <w:tcMar>
              <w:top w:w="15" w:type="dxa"/>
              <w:left w:w="15" w:type="dxa"/>
              <w:bottom w:w="30" w:type="dxa"/>
              <w:right w:w="15" w:type="dxa"/>
            </w:tcMar>
            <w:vAlign w:val="bottom"/>
          </w:tcPr>
          <w:p/>
        </w:tc>
        <w:tc>
          <w:tcPr>
            <w:tcW w:w="106" w:type="dxa"/>
            <w:tcBorders/>
            <w:shd w:fill="cceeff"/>
            <w:tcMar>
              <w:top w:w="15" w:type="dxa"/>
              <w:left w:w="15" w:type="dxa"/>
              <w:bottom w:w="30" w:type="dxa"/>
              <w:right w:w="15" w:type="dxa"/>
            </w:tcMar>
            <w:vAlign w:val="bottom"/>
          </w:tcPr>
          <w:p/>
        </w:tc>
        <w:tc>
          <w:tcPr>
            <w:tcW w:w="106" w:type="dxa"/>
            <w:tcBorders>
              <w:bottom w:val="single" w:color="000000" w:sz="16"/>
            </w:tcBorders>
            <w:shd w:fill="cceeff"/>
            <w:tcMar>
              <w:top w:w="15" w:type="dxa"/>
              <w:left w:w="15" w:type="dxa"/>
              <w:bottom w:w="15" w:type="dxa"/>
              <w:right w:w="15" w:type="dxa"/>
            </w:tcMar>
            <w:vAlign w:val="bottom"/>
          </w:tcPr>
          <w:p/>
        </w:tc>
        <w:tc>
          <w:tcPr>
            <w:tcW w:w="1402"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151,390,571 </w:t>
            </w:r>
          </w:p>
        </w:tc>
        <w:tc>
          <w:tcPr>
            <w:tcW w:w="156" w:type="dxa"/>
            <w:tcBorders/>
            <w:shd w:fill="cceeff"/>
            <w:tcMar>
              <w:top w:w="15" w:type="dxa"/>
              <w:left w:w="15" w:type="dxa"/>
              <w:bottom w:w="30" w:type="dxa"/>
              <w:right w:w="15" w:type="dxa"/>
            </w:tcMar>
            <w:vAlign w:val="bottom"/>
          </w:tcPr>
          <w:p/>
        </w:tc>
      </w:tr>
      <w:tr>
        <w:trPr>
          <w:trHeight w:val="210" w:hRule="atLeast"/>
        </w:trPr>
        <w:tc>
          <w:tcPr>
            <w:tcW w:w="3417" w:type="dxa"/>
            <w:tcBorders/>
            <w:tcMar>
              <w:top w:w="15" w:type="dxa"/>
              <w:left w:w="15" w:type="dxa"/>
              <w:bottom w:w="15" w:type="dxa"/>
              <w:right w:w="15" w:type="dxa"/>
            </w:tcMar>
            <w:vAlign w:val="top"/>
          </w:tcPr>
          <w:p>
            <w:pPr>
              <w:spacing w:before="0" w:after="0"/>
              <w:ind w:left="264"/>
              <w:jc w:val="left"/>
            </w:pPr>
            <w:r>
              <w:rPr>
                <w:rFonts w:ascii="Times New Roman" w:hAnsi="Times New Roman"/>
                <w:b w:val="false"/>
                <w:i w:val="false"/>
                <w:color w:val="000000"/>
                <w:sz w:val="20"/>
              </w:rPr>
              <w:t xml:space="preserve"> Loss for the Period </w:t>
            </w:r>
          </w:p>
        </w:tc>
        <w:tc>
          <w:tcPr>
            <w:tcW w:w="105" w:type="dxa"/>
            <w:tcBorders/>
            <w:tcMar>
              <w:top w:w="15" w:type="dxa"/>
              <w:left w:w="15" w:type="dxa"/>
              <w:bottom w:w="15" w:type="dxa"/>
              <w:right w:w="15" w:type="dxa"/>
            </w:tcMar>
            <w:vAlign w:val="bottom"/>
          </w:tcPr>
          <w:p/>
        </w:tc>
        <w:tc>
          <w:tcPr>
            <w:tcW w:w="105" w:type="dxa"/>
            <w:tcBorders/>
            <w:tcMar>
              <w:top w:w="15" w:type="dxa"/>
              <w:left w:w="15" w:type="dxa"/>
              <w:bottom w:w="15" w:type="dxa"/>
              <w:right w:w="15" w:type="dxa"/>
            </w:tcMar>
            <w:vAlign w:val="bottom"/>
          </w:tcPr>
          <w:p/>
        </w:tc>
        <w:tc>
          <w:tcPr>
            <w:tcW w:w="1206"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05" w:type="dxa"/>
            <w:tcBorders/>
            <w:tcMar>
              <w:top w:w="15" w:type="dxa"/>
              <w:left w:w="15" w:type="dxa"/>
              <w:bottom w:w="15" w:type="dxa"/>
              <w:right w:w="15" w:type="dxa"/>
            </w:tcMar>
            <w:vAlign w:val="bottom"/>
          </w:tcPr>
          <w:p/>
        </w:tc>
        <w:tc>
          <w:tcPr>
            <w:tcW w:w="105" w:type="dxa"/>
            <w:tcBorders/>
            <w:tcMar>
              <w:top w:w="15" w:type="dxa"/>
              <w:left w:w="15" w:type="dxa"/>
              <w:bottom w:w="15" w:type="dxa"/>
              <w:right w:w="15" w:type="dxa"/>
            </w:tcMar>
            <w:vAlign w:val="bottom"/>
          </w:tcPr>
          <w:p/>
        </w:tc>
        <w:tc>
          <w:tcPr>
            <w:tcW w:w="105" w:type="dxa"/>
            <w:tcBorders/>
            <w:tcMar>
              <w:top w:w="15" w:type="dxa"/>
              <w:left w:w="15" w:type="dxa"/>
              <w:bottom w:w="15" w:type="dxa"/>
              <w:right w:w="15" w:type="dxa"/>
            </w:tcMar>
            <w:vAlign w:val="bottom"/>
          </w:tcPr>
          <w:p/>
        </w:tc>
        <w:tc>
          <w:tcPr>
            <w:tcW w:w="1402"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56" w:type="dxa"/>
            <w:tcBorders/>
            <w:tcMar>
              <w:top w:w="15" w:type="dxa"/>
              <w:left w:w="15" w:type="dxa"/>
              <w:bottom w:w="15" w:type="dxa"/>
              <w:right w:w="15" w:type="dxa"/>
            </w:tcMar>
            <w:vAlign w:val="bottom"/>
          </w:tcPr>
          <w:p/>
        </w:tc>
        <w:tc>
          <w:tcPr>
            <w:tcW w:w="105" w:type="dxa"/>
            <w:tcBorders/>
            <w:tcMar>
              <w:top w:w="15" w:type="dxa"/>
              <w:left w:w="15" w:type="dxa"/>
              <w:bottom w:w="15" w:type="dxa"/>
              <w:right w:w="15" w:type="dxa"/>
            </w:tcMar>
            <w:vAlign w:val="bottom"/>
          </w:tcPr>
          <w:p/>
        </w:tc>
        <w:tc>
          <w:tcPr>
            <w:tcW w:w="106" w:type="dxa"/>
            <w:tcBorders/>
            <w:tcMar>
              <w:top w:w="15" w:type="dxa"/>
              <w:left w:w="15" w:type="dxa"/>
              <w:bottom w:w="15" w:type="dxa"/>
              <w:right w:w="15" w:type="dxa"/>
            </w:tcMar>
            <w:vAlign w:val="bottom"/>
          </w:tcPr>
          <w:p/>
        </w:tc>
        <w:tc>
          <w:tcPr>
            <w:tcW w:w="1269"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06" w:type="dxa"/>
            <w:tcBorders/>
            <w:tcMar>
              <w:top w:w="15" w:type="dxa"/>
              <w:left w:w="15" w:type="dxa"/>
              <w:bottom w:w="15" w:type="dxa"/>
              <w:right w:w="15" w:type="dxa"/>
            </w:tcMar>
            <w:vAlign w:val="bottom"/>
          </w:tcPr>
          <w:p/>
        </w:tc>
        <w:tc>
          <w:tcPr>
            <w:tcW w:w="106" w:type="dxa"/>
            <w:tcBorders/>
            <w:tcMar>
              <w:top w:w="15" w:type="dxa"/>
              <w:left w:w="15" w:type="dxa"/>
              <w:bottom w:w="15" w:type="dxa"/>
              <w:right w:w="15" w:type="dxa"/>
            </w:tcMar>
            <w:vAlign w:val="bottom"/>
          </w:tcPr>
          <w:p/>
        </w:tc>
        <w:tc>
          <w:tcPr>
            <w:tcW w:w="126" w:type="dxa"/>
            <w:tcBorders/>
            <w:tcMar>
              <w:top w:w="15" w:type="dxa"/>
              <w:left w:w="15" w:type="dxa"/>
              <w:bottom w:w="15" w:type="dxa"/>
              <w:right w:w="15" w:type="dxa"/>
            </w:tcMar>
            <w:vAlign w:val="bottom"/>
          </w:tcPr>
          <w:p/>
        </w:tc>
        <w:tc>
          <w:tcPr>
            <w:tcW w:w="1491"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(53,254,817 </w:t>
            </w:r>
          </w:p>
        </w:tc>
        <w:tc>
          <w:tcPr>
            <w:tcW w:w="156" w:type="dxa"/>
            <w:tcBorders/>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c>
          <w:tcPr>
            <w:tcW w:w="106" w:type="dxa"/>
            <w:tcBorders/>
            <w:tcMar>
              <w:top w:w="15" w:type="dxa"/>
              <w:left w:w="15" w:type="dxa"/>
              <w:bottom w:w="15" w:type="dxa"/>
              <w:right w:w="15" w:type="dxa"/>
            </w:tcMar>
            <w:vAlign w:val="bottom"/>
          </w:tcPr>
          <w:p/>
        </w:tc>
        <w:tc>
          <w:tcPr>
            <w:tcW w:w="143" w:type="dxa"/>
            <w:tcBorders/>
            <w:tcMar>
              <w:top w:w="15" w:type="dxa"/>
              <w:left w:w="15" w:type="dxa"/>
              <w:bottom w:w="15" w:type="dxa"/>
              <w:right w:w="15" w:type="dxa"/>
            </w:tcMar>
            <w:vAlign w:val="bottom"/>
          </w:tcPr>
          <w:p/>
        </w:tc>
        <w:tc>
          <w:tcPr>
            <w:tcW w:w="1288"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56" w:type="dxa"/>
            <w:tcBorders/>
            <w:tcMar>
              <w:top w:w="15" w:type="dxa"/>
              <w:left w:w="15" w:type="dxa"/>
              <w:bottom w:w="15" w:type="dxa"/>
              <w:right w:w="15" w:type="dxa"/>
            </w:tcMar>
            <w:vAlign w:val="bottom"/>
          </w:tcPr>
          <w:p/>
        </w:tc>
        <w:tc>
          <w:tcPr>
            <w:tcW w:w="106" w:type="dxa"/>
            <w:tcBorders/>
            <w:tcMar>
              <w:top w:w="15" w:type="dxa"/>
              <w:left w:w="15" w:type="dxa"/>
              <w:bottom w:w="15" w:type="dxa"/>
              <w:right w:w="15" w:type="dxa"/>
            </w:tcMar>
            <w:vAlign w:val="bottom"/>
          </w:tcPr>
          <w:p/>
        </w:tc>
        <w:tc>
          <w:tcPr>
            <w:tcW w:w="106" w:type="dxa"/>
            <w:tcBorders/>
            <w:tcMar>
              <w:top w:w="15" w:type="dxa"/>
              <w:left w:w="15" w:type="dxa"/>
              <w:bottom w:w="15" w:type="dxa"/>
              <w:right w:w="15" w:type="dxa"/>
            </w:tcMar>
            <w:vAlign w:val="bottom"/>
          </w:tcPr>
          <w:p/>
        </w:tc>
        <w:tc>
          <w:tcPr>
            <w:tcW w:w="1402"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(53,254,817 </w:t>
            </w:r>
          </w:p>
        </w:tc>
        <w:tc>
          <w:tcPr>
            <w:tcW w:w="156" w:type="dxa"/>
            <w:tcBorders/>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r>
      <w:tr>
        <w:trPr>
          <w:trHeight w:val="690" w:hRule="atLeast"/>
        </w:trPr>
        <w:tc>
          <w:tcPr>
            <w:tcW w:w="3417" w:type="dxa"/>
            <w:tcBorders/>
            <w:shd w:fill="cceeff"/>
            <w:tcMar>
              <w:top w:w="15" w:type="dxa"/>
              <w:left w:w="15" w:type="dxa"/>
              <w:bottom w:w="30" w:type="dxa"/>
              <w:right w:w="15" w:type="dxa"/>
            </w:tcMar>
            <w:vAlign w:val="top"/>
          </w:tcPr>
          <w:p>
            <w:pPr>
              <w:spacing w:before="0" w:after="0"/>
              <w:ind w:left="264"/>
              <w:jc w:val="left"/>
            </w:pPr>
            <w:r>
              <w:rPr>
                <w:rFonts w:ascii="Times New Roman" w:hAnsi="Times New Roman"/>
                <w:b w:val="false"/>
                <w:i w:val="false"/>
                <w:color w:val="000000"/>
                <w:sz w:val="20"/>
              </w:rPr>
              <w:t xml:space="preserve"> Exchange differences on </w:t>
            </w:r>
          </w:p>
          <w:p>
            <w:pPr>
              <w:spacing w:before="0" w:after="0"/>
              <w:ind w:left="264"/>
              <w:jc w:val="left"/>
            </w:pPr>
            <w:r>
              <w:rPr>
                <w:rFonts w:ascii="Times New Roman" w:hAnsi="Times New Roman"/>
                <w:b w:val="false"/>
                <w:i w:val="false"/>
                <w:color w:val="000000"/>
                <w:sz w:val="20"/>
              </w:rPr>
              <w:t xml:space="preserve"> translation of foreign currency </w:t>
            </w:r>
          </w:p>
        </w:tc>
        <w:tc>
          <w:tcPr>
            <w:tcW w:w="105" w:type="dxa"/>
            <w:tcBorders/>
            <w:shd w:fill="cceeff"/>
            <w:tcMar>
              <w:top w:w="15" w:type="dxa"/>
              <w:left w:w="15" w:type="dxa"/>
              <w:bottom w:w="30" w:type="dxa"/>
              <w:right w:w="15" w:type="dxa"/>
            </w:tcMar>
            <w:vAlign w:val="bottom"/>
          </w:tcPr>
          <w:p/>
        </w:tc>
        <w:tc>
          <w:tcPr>
            <w:tcW w:w="105" w:type="dxa"/>
            <w:tcBorders>
              <w:bottom w:val="single" w:color="000000" w:sz="16"/>
            </w:tcBorders>
            <w:shd w:fill="cceeff"/>
            <w:tcMar>
              <w:top w:w="15" w:type="dxa"/>
              <w:left w:w="15" w:type="dxa"/>
              <w:bottom w:w="15" w:type="dxa"/>
              <w:right w:w="15" w:type="dxa"/>
            </w:tcMar>
            <w:vAlign w:val="bottom"/>
          </w:tcPr>
          <w:p/>
        </w:tc>
        <w:tc>
          <w:tcPr>
            <w:tcW w:w="1206"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05" w:type="dxa"/>
            <w:tcBorders/>
            <w:shd w:fill="cceeff"/>
            <w:tcMar>
              <w:top w:w="15" w:type="dxa"/>
              <w:left w:w="15" w:type="dxa"/>
              <w:bottom w:w="30" w:type="dxa"/>
              <w:right w:w="15" w:type="dxa"/>
            </w:tcMar>
            <w:vAlign w:val="bottom"/>
          </w:tcPr>
          <w:p/>
        </w:tc>
        <w:tc>
          <w:tcPr>
            <w:tcW w:w="105" w:type="dxa"/>
            <w:tcBorders/>
            <w:shd w:fill="cceeff"/>
            <w:tcMar>
              <w:top w:w="15" w:type="dxa"/>
              <w:left w:w="15" w:type="dxa"/>
              <w:bottom w:w="30" w:type="dxa"/>
              <w:right w:w="15" w:type="dxa"/>
            </w:tcMar>
            <w:vAlign w:val="bottom"/>
          </w:tcPr>
          <w:p/>
        </w:tc>
        <w:tc>
          <w:tcPr>
            <w:tcW w:w="105" w:type="dxa"/>
            <w:tcBorders>
              <w:bottom w:val="single" w:color="000000" w:sz="16"/>
            </w:tcBorders>
            <w:shd w:fill="cceeff"/>
            <w:tcMar>
              <w:top w:w="15" w:type="dxa"/>
              <w:left w:w="15" w:type="dxa"/>
              <w:bottom w:w="15" w:type="dxa"/>
              <w:right w:w="15" w:type="dxa"/>
            </w:tcMar>
            <w:vAlign w:val="bottom"/>
          </w:tcPr>
          <w:p/>
        </w:tc>
        <w:tc>
          <w:tcPr>
            <w:tcW w:w="1402"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56" w:type="dxa"/>
            <w:tcBorders/>
            <w:shd w:fill="cceeff"/>
            <w:tcMar>
              <w:top w:w="15" w:type="dxa"/>
              <w:left w:w="15" w:type="dxa"/>
              <w:bottom w:w="30" w:type="dxa"/>
              <w:right w:w="15" w:type="dxa"/>
            </w:tcMar>
            <w:vAlign w:val="bottom"/>
          </w:tcPr>
          <w:p/>
        </w:tc>
        <w:tc>
          <w:tcPr>
            <w:tcW w:w="105" w:type="dxa"/>
            <w:tcBorders/>
            <w:shd w:fill="cceeff"/>
            <w:tcMar>
              <w:top w:w="15" w:type="dxa"/>
              <w:left w:w="15" w:type="dxa"/>
              <w:bottom w:w="30" w:type="dxa"/>
              <w:right w:w="15" w:type="dxa"/>
            </w:tcMar>
            <w:vAlign w:val="bottom"/>
          </w:tcPr>
          <w:p/>
        </w:tc>
        <w:tc>
          <w:tcPr>
            <w:tcW w:w="106" w:type="dxa"/>
            <w:tcBorders>
              <w:bottom w:val="single" w:color="000000" w:sz="16"/>
            </w:tcBorders>
            <w:shd w:fill="cceeff"/>
            <w:tcMar>
              <w:top w:w="15" w:type="dxa"/>
              <w:left w:w="15" w:type="dxa"/>
              <w:bottom w:w="15" w:type="dxa"/>
              <w:right w:w="15" w:type="dxa"/>
            </w:tcMar>
            <w:vAlign w:val="bottom"/>
          </w:tcPr>
          <w:p/>
        </w:tc>
        <w:tc>
          <w:tcPr>
            <w:tcW w:w="1269"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06" w:type="dxa"/>
            <w:tcBorders/>
            <w:shd w:fill="cceeff"/>
            <w:tcMar>
              <w:top w:w="15" w:type="dxa"/>
              <w:left w:w="15" w:type="dxa"/>
              <w:bottom w:w="30" w:type="dxa"/>
              <w:right w:w="15" w:type="dxa"/>
            </w:tcMar>
            <w:vAlign w:val="bottom"/>
          </w:tcPr>
          <w:p/>
        </w:tc>
        <w:tc>
          <w:tcPr>
            <w:tcW w:w="106" w:type="dxa"/>
            <w:tcBorders/>
            <w:shd w:fill="cceeff"/>
            <w:tcMar>
              <w:top w:w="15" w:type="dxa"/>
              <w:left w:w="15" w:type="dxa"/>
              <w:bottom w:w="30" w:type="dxa"/>
              <w:right w:w="15" w:type="dxa"/>
            </w:tcMar>
            <w:vAlign w:val="bottom"/>
          </w:tcPr>
          <w:p/>
        </w:tc>
        <w:tc>
          <w:tcPr>
            <w:tcW w:w="126" w:type="dxa"/>
            <w:tcBorders>
              <w:bottom w:val="single" w:color="000000" w:sz="16"/>
            </w:tcBorders>
            <w:shd w:fill="cceeff"/>
            <w:tcMar>
              <w:top w:w="15" w:type="dxa"/>
              <w:left w:w="15" w:type="dxa"/>
              <w:bottom w:w="15" w:type="dxa"/>
              <w:right w:w="15" w:type="dxa"/>
            </w:tcMar>
            <w:vAlign w:val="bottom"/>
          </w:tcPr>
          <w:p/>
        </w:tc>
        <w:tc>
          <w:tcPr>
            <w:tcW w:w="1491"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56" w:type="dxa"/>
            <w:tcBorders/>
            <w:shd w:fill="cceeff"/>
            <w:tcMar>
              <w:top w:w="15" w:type="dxa"/>
              <w:left w:w="15" w:type="dxa"/>
              <w:bottom w:w="30" w:type="dxa"/>
              <w:right w:w="15" w:type="dxa"/>
            </w:tcMar>
            <w:vAlign w:val="bottom"/>
          </w:tcPr>
          <w:p/>
        </w:tc>
        <w:tc>
          <w:tcPr>
            <w:tcW w:w="106" w:type="dxa"/>
            <w:tcBorders/>
            <w:shd w:fill="cceeff"/>
            <w:tcMar>
              <w:top w:w="15" w:type="dxa"/>
              <w:left w:w="15" w:type="dxa"/>
              <w:bottom w:w="30" w:type="dxa"/>
              <w:right w:w="15" w:type="dxa"/>
            </w:tcMar>
            <w:vAlign w:val="bottom"/>
          </w:tcPr>
          <w:p/>
        </w:tc>
        <w:tc>
          <w:tcPr>
            <w:tcW w:w="143" w:type="dxa"/>
            <w:tcBorders>
              <w:bottom w:val="single" w:color="000000" w:sz="16"/>
            </w:tcBorders>
            <w:shd w:fill="cceeff"/>
            <w:tcMar>
              <w:top w:w="15" w:type="dxa"/>
              <w:left w:w="15" w:type="dxa"/>
              <w:bottom w:w="15" w:type="dxa"/>
              <w:right w:w="15" w:type="dxa"/>
            </w:tcMar>
            <w:vAlign w:val="bottom"/>
          </w:tcPr>
          <w:p/>
        </w:tc>
        <w:tc>
          <w:tcPr>
            <w:tcW w:w="1288"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2,177,033 </w:t>
            </w:r>
          </w:p>
        </w:tc>
        <w:tc>
          <w:tcPr>
            <w:tcW w:w="156" w:type="dxa"/>
            <w:tcBorders/>
            <w:shd w:fill="cceeff"/>
            <w:tcMar>
              <w:top w:w="15" w:type="dxa"/>
              <w:left w:w="15" w:type="dxa"/>
              <w:bottom w:w="30" w:type="dxa"/>
              <w:right w:w="15" w:type="dxa"/>
            </w:tcMar>
            <w:vAlign w:val="bottom"/>
          </w:tcPr>
          <w:p/>
        </w:tc>
        <w:tc>
          <w:tcPr>
            <w:tcW w:w="106" w:type="dxa"/>
            <w:tcBorders/>
            <w:shd w:fill="cceeff"/>
            <w:tcMar>
              <w:top w:w="15" w:type="dxa"/>
              <w:left w:w="15" w:type="dxa"/>
              <w:bottom w:w="30" w:type="dxa"/>
              <w:right w:w="15" w:type="dxa"/>
            </w:tcMar>
            <w:vAlign w:val="bottom"/>
          </w:tcPr>
          <w:p/>
        </w:tc>
        <w:tc>
          <w:tcPr>
            <w:tcW w:w="106" w:type="dxa"/>
            <w:tcBorders>
              <w:bottom w:val="single" w:color="000000" w:sz="16"/>
            </w:tcBorders>
            <w:shd w:fill="cceeff"/>
            <w:tcMar>
              <w:top w:w="15" w:type="dxa"/>
              <w:left w:w="15" w:type="dxa"/>
              <w:bottom w:w="15" w:type="dxa"/>
              <w:right w:w="15" w:type="dxa"/>
            </w:tcMar>
            <w:vAlign w:val="bottom"/>
          </w:tcPr>
          <w:p/>
        </w:tc>
        <w:tc>
          <w:tcPr>
            <w:tcW w:w="1402"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2,177,033 </w:t>
            </w:r>
          </w:p>
        </w:tc>
        <w:tc>
          <w:tcPr>
            <w:tcW w:w="156" w:type="dxa"/>
            <w:tcBorders/>
            <w:shd w:fill="cceeff"/>
            <w:tcMar>
              <w:top w:w="15" w:type="dxa"/>
              <w:left w:w="15" w:type="dxa"/>
              <w:bottom w:w="30" w:type="dxa"/>
              <w:right w:w="15" w:type="dxa"/>
            </w:tcMar>
            <w:vAlign w:val="bottom"/>
          </w:tcPr>
          <w:p/>
        </w:tc>
      </w:tr>
      <w:tr>
        <w:trPr>
          <w:trHeight w:val="255" w:hRule="atLeast"/>
        </w:trPr>
        <w:tc>
          <w:tcPr>
            <w:tcW w:w="3417" w:type="dxa"/>
            <w:tcBorders/>
            <w:tcMar>
              <w:top w:w="15" w:type="dxa"/>
              <w:left w:w="15" w:type="dxa"/>
              <w:bottom w:w="30" w:type="dxa"/>
              <w:right w:w="15" w:type="dxa"/>
            </w:tcMar>
            <w:vAlign w:val="top"/>
          </w:tcPr>
          <w:p>
            <w:pPr>
              <w:spacing w:before="0" w:after="0"/>
              <w:ind w:left="264"/>
              <w:jc w:val="left"/>
            </w:pPr>
            <w:r>
              <w:rPr>
                <w:rFonts w:ascii="Times New Roman" w:hAnsi="Times New Roman"/>
                <w:b/>
                <w:i w:val="false"/>
                <w:color w:val="000000"/>
                <w:sz w:val="20"/>
              </w:rPr>
              <w:t xml:space="preserve"> Total Comprehensive Loss </w:t>
            </w:r>
          </w:p>
        </w:tc>
        <w:tc>
          <w:tcPr>
            <w:tcW w:w="105" w:type="dxa"/>
            <w:tcBorders/>
            <w:tcMar>
              <w:top w:w="15" w:type="dxa"/>
              <w:left w:w="15" w:type="dxa"/>
              <w:bottom w:w="30" w:type="dxa"/>
              <w:right w:w="15" w:type="dxa"/>
            </w:tcMar>
            <w:vAlign w:val="bottom"/>
          </w:tcPr>
          <w:p/>
        </w:tc>
        <w:tc>
          <w:tcPr>
            <w:tcW w:w="105" w:type="dxa"/>
            <w:tcBorders>
              <w:bottom w:val="single" w:color="000000" w:sz="16"/>
            </w:tcBorders>
            <w:tcMar>
              <w:top w:w="15" w:type="dxa"/>
              <w:left w:w="15" w:type="dxa"/>
              <w:bottom w:w="15" w:type="dxa"/>
              <w:right w:w="15" w:type="dxa"/>
            </w:tcMar>
            <w:vAlign w:val="bottom"/>
          </w:tcPr>
          <w:p/>
        </w:tc>
        <w:tc>
          <w:tcPr>
            <w:tcW w:w="1206"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 </w:t>
            </w:r>
          </w:p>
        </w:tc>
        <w:tc>
          <w:tcPr>
            <w:tcW w:w="105" w:type="dxa"/>
            <w:tcBorders/>
            <w:tcMar>
              <w:top w:w="15" w:type="dxa"/>
              <w:left w:w="15" w:type="dxa"/>
              <w:bottom w:w="30" w:type="dxa"/>
              <w:right w:w="15" w:type="dxa"/>
            </w:tcMar>
            <w:vAlign w:val="bottom"/>
          </w:tcPr>
          <w:p/>
        </w:tc>
        <w:tc>
          <w:tcPr>
            <w:tcW w:w="105" w:type="dxa"/>
            <w:tcBorders/>
            <w:tcMar>
              <w:top w:w="15" w:type="dxa"/>
              <w:left w:w="15" w:type="dxa"/>
              <w:bottom w:w="30" w:type="dxa"/>
              <w:right w:w="15" w:type="dxa"/>
            </w:tcMar>
            <w:vAlign w:val="bottom"/>
          </w:tcPr>
          <w:p/>
        </w:tc>
        <w:tc>
          <w:tcPr>
            <w:tcW w:w="105" w:type="dxa"/>
            <w:tcBorders>
              <w:bottom w:val="single" w:color="000000" w:sz="16"/>
            </w:tcBorders>
            <w:tcMar>
              <w:top w:w="15" w:type="dxa"/>
              <w:left w:w="15" w:type="dxa"/>
              <w:bottom w:w="15" w:type="dxa"/>
              <w:right w:w="15" w:type="dxa"/>
            </w:tcMar>
            <w:vAlign w:val="bottom"/>
          </w:tcPr>
          <w:p/>
        </w:tc>
        <w:tc>
          <w:tcPr>
            <w:tcW w:w="1402"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 </w:t>
            </w:r>
          </w:p>
        </w:tc>
        <w:tc>
          <w:tcPr>
            <w:tcW w:w="156" w:type="dxa"/>
            <w:tcBorders/>
            <w:tcMar>
              <w:top w:w="15" w:type="dxa"/>
              <w:left w:w="15" w:type="dxa"/>
              <w:bottom w:w="30" w:type="dxa"/>
              <w:right w:w="15" w:type="dxa"/>
            </w:tcMar>
            <w:vAlign w:val="bottom"/>
          </w:tcPr>
          <w:p/>
        </w:tc>
        <w:tc>
          <w:tcPr>
            <w:tcW w:w="105" w:type="dxa"/>
            <w:tcBorders/>
            <w:tcMar>
              <w:top w:w="15" w:type="dxa"/>
              <w:left w:w="15" w:type="dxa"/>
              <w:bottom w:w="30" w:type="dxa"/>
              <w:right w:w="15" w:type="dxa"/>
            </w:tcMar>
            <w:vAlign w:val="bottom"/>
          </w:tcPr>
          <w:p/>
        </w:tc>
        <w:tc>
          <w:tcPr>
            <w:tcW w:w="106" w:type="dxa"/>
            <w:tcBorders>
              <w:bottom w:val="single" w:color="000000" w:sz="16"/>
            </w:tcBorders>
            <w:tcMar>
              <w:top w:w="15" w:type="dxa"/>
              <w:left w:w="15" w:type="dxa"/>
              <w:bottom w:w="15" w:type="dxa"/>
              <w:right w:w="15" w:type="dxa"/>
            </w:tcMar>
            <w:vAlign w:val="bottom"/>
          </w:tcPr>
          <w:p/>
        </w:tc>
        <w:tc>
          <w:tcPr>
            <w:tcW w:w="1269"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 </w:t>
            </w:r>
          </w:p>
        </w:tc>
        <w:tc>
          <w:tcPr>
            <w:tcW w:w="106" w:type="dxa"/>
            <w:tcBorders/>
            <w:tcMar>
              <w:top w:w="15" w:type="dxa"/>
              <w:left w:w="15" w:type="dxa"/>
              <w:bottom w:w="30" w:type="dxa"/>
              <w:right w:w="15" w:type="dxa"/>
            </w:tcMar>
            <w:vAlign w:val="bottom"/>
          </w:tcPr>
          <w:p/>
        </w:tc>
        <w:tc>
          <w:tcPr>
            <w:tcW w:w="106" w:type="dxa"/>
            <w:tcBorders/>
            <w:tcMar>
              <w:top w:w="15" w:type="dxa"/>
              <w:left w:w="15" w:type="dxa"/>
              <w:bottom w:w="30" w:type="dxa"/>
              <w:right w:w="15" w:type="dxa"/>
            </w:tcMar>
            <w:vAlign w:val="bottom"/>
          </w:tcPr>
          <w:p/>
        </w:tc>
        <w:tc>
          <w:tcPr>
            <w:tcW w:w="126" w:type="dxa"/>
            <w:tcBorders>
              <w:bottom w:val="single" w:color="000000" w:sz="16"/>
            </w:tcBorders>
            <w:tcMar>
              <w:top w:w="15" w:type="dxa"/>
              <w:left w:w="15" w:type="dxa"/>
              <w:bottom w:w="15" w:type="dxa"/>
              <w:right w:w="15" w:type="dxa"/>
            </w:tcMar>
            <w:vAlign w:val="bottom"/>
          </w:tcPr>
          <w:p/>
        </w:tc>
        <w:tc>
          <w:tcPr>
            <w:tcW w:w="1491"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(53,254,817 </w:t>
            </w:r>
          </w:p>
        </w:tc>
        <w:tc>
          <w:tcPr>
            <w:tcW w:w="156" w:type="dxa"/>
            <w:tcBorders/>
            <w:tcMar>
              <w:top w:w="15" w:type="dxa"/>
              <w:left w:w="15" w:type="dxa"/>
              <w:bottom w:w="30" w:type="dxa"/>
              <w:right w:w="15" w:type="dxa"/>
            </w:tcMar>
            <w:vAlign w:val="bottom"/>
          </w:tcPr>
          <w:p>
            <w:pPr>
              <w:spacing w:before="0" w:after="0"/>
              <w:ind w:left="120"/>
              <w:jc w:val="left"/>
            </w:pPr>
            <w:r>
              <w:rPr>
                <w:rFonts w:ascii="Times New Roman" w:hAnsi="Times New Roman"/>
                <w:b/>
                <w:i w:val="false"/>
                <w:color w:val="000000"/>
                <w:sz w:val="20"/>
              </w:rPr>
              <w:t xml:space="preserve"> ) </w:t>
            </w:r>
          </w:p>
        </w:tc>
        <w:tc>
          <w:tcPr>
            <w:tcW w:w="106" w:type="dxa"/>
            <w:tcBorders/>
            <w:tcMar>
              <w:top w:w="15" w:type="dxa"/>
              <w:left w:w="15" w:type="dxa"/>
              <w:bottom w:w="30" w:type="dxa"/>
              <w:right w:w="15" w:type="dxa"/>
            </w:tcMar>
            <w:vAlign w:val="bottom"/>
          </w:tcPr>
          <w:p/>
        </w:tc>
        <w:tc>
          <w:tcPr>
            <w:tcW w:w="143" w:type="dxa"/>
            <w:tcBorders>
              <w:bottom w:val="single" w:color="000000" w:sz="16"/>
            </w:tcBorders>
            <w:tcMar>
              <w:top w:w="15" w:type="dxa"/>
              <w:left w:w="15" w:type="dxa"/>
              <w:bottom w:w="15" w:type="dxa"/>
              <w:right w:w="15" w:type="dxa"/>
            </w:tcMar>
            <w:vAlign w:val="bottom"/>
          </w:tcPr>
          <w:p/>
        </w:tc>
        <w:tc>
          <w:tcPr>
            <w:tcW w:w="1288"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2,177,033 </w:t>
            </w:r>
          </w:p>
        </w:tc>
        <w:tc>
          <w:tcPr>
            <w:tcW w:w="156" w:type="dxa"/>
            <w:tcBorders/>
            <w:tcMar>
              <w:top w:w="15" w:type="dxa"/>
              <w:left w:w="15" w:type="dxa"/>
              <w:bottom w:w="30" w:type="dxa"/>
              <w:right w:w="15" w:type="dxa"/>
            </w:tcMar>
            <w:vAlign w:val="bottom"/>
          </w:tcPr>
          <w:p/>
        </w:tc>
        <w:tc>
          <w:tcPr>
            <w:tcW w:w="106" w:type="dxa"/>
            <w:tcBorders/>
            <w:tcMar>
              <w:top w:w="15" w:type="dxa"/>
              <w:left w:w="15" w:type="dxa"/>
              <w:bottom w:w="30" w:type="dxa"/>
              <w:right w:w="15" w:type="dxa"/>
            </w:tcMar>
            <w:vAlign w:val="bottom"/>
          </w:tcPr>
          <w:p/>
        </w:tc>
        <w:tc>
          <w:tcPr>
            <w:tcW w:w="106" w:type="dxa"/>
            <w:tcBorders>
              <w:bottom w:val="single" w:color="000000" w:sz="16"/>
            </w:tcBorders>
            <w:tcMar>
              <w:top w:w="15" w:type="dxa"/>
              <w:left w:w="15" w:type="dxa"/>
              <w:bottom w:w="15" w:type="dxa"/>
              <w:right w:w="15" w:type="dxa"/>
            </w:tcMar>
            <w:vAlign w:val="bottom"/>
          </w:tcPr>
          <w:p/>
        </w:tc>
        <w:tc>
          <w:tcPr>
            <w:tcW w:w="1402"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(51,077,784 </w:t>
            </w:r>
          </w:p>
        </w:tc>
        <w:tc>
          <w:tcPr>
            <w:tcW w:w="156" w:type="dxa"/>
            <w:tcBorders/>
            <w:tcMar>
              <w:top w:w="15" w:type="dxa"/>
              <w:left w:w="15" w:type="dxa"/>
              <w:bottom w:w="30" w:type="dxa"/>
              <w:right w:w="15" w:type="dxa"/>
            </w:tcMar>
            <w:vAlign w:val="bottom"/>
          </w:tcPr>
          <w:p>
            <w:pPr>
              <w:spacing w:before="0" w:after="0"/>
              <w:ind w:left="120"/>
              <w:jc w:val="left"/>
            </w:pPr>
            <w:r>
              <w:rPr>
                <w:rFonts w:ascii="Times New Roman" w:hAnsi="Times New Roman"/>
                <w:b/>
                <w:i w:val="false"/>
                <w:color w:val="000000"/>
                <w:sz w:val="20"/>
              </w:rPr>
              <w:t xml:space="preserve"> ) </w:t>
            </w:r>
          </w:p>
        </w:tc>
      </w:tr>
      <w:tr>
        <w:trPr>
          <w:trHeight w:val="435" w:hRule="atLeast"/>
        </w:trPr>
        <w:tc>
          <w:tcPr>
            <w:tcW w:w="3417" w:type="dxa"/>
            <w:tcBorders/>
            <w:shd w:fill="cceeff"/>
            <w:tcMar>
              <w:top w:w="15" w:type="dxa"/>
              <w:left w:w="15" w:type="dxa"/>
              <w:bottom w:w="15" w:type="dxa"/>
              <w:right w:w="15" w:type="dxa"/>
            </w:tcMar>
            <w:vAlign w:val="top"/>
          </w:tcPr>
          <w:p>
            <w:pPr>
              <w:spacing w:before="0" w:after="0"/>
              <w:ind w:left="264"/>
              <w:jc w:val="left"/>
            </w:pPr>
            <w:r>
              <w:rPr>
                <w:rFonts w:ascii="Times New Roman" w:hAnsi="Times New Roman"/>
                <w:b w:val="false"/>
                <w:i w:val="false"/>
                <w:color w:val="000000"/>
                <w:sz w:val="20"/>
              </w:rPr>
              <w:t xml:space="preserve"> Equity-settled share-based pay-ments </w:t>
            </w:r>
          </w:p>
        </w:tc>
        <w:tc>
          <w:tcPr>
            <w:tcW w:w="105" w:type="dxa"/>
            <w:tcBorders/>
            <w:shd w:fill="cceeff"/>
            <w:tcMar>
              <w:top w:w="15" w:type="dxa"/>
              <w:left w:w="15" w:type="dxa"/>
              <w:bottom w:w="15" w:type="dxa"/>
              <w:right w:w="15" w:type="dxa"/>
            </w:tcMar>
            <w:vAlign w:val="bottom"/>
          </w:tcPr>
          <w:p/>
        </w:tc>
        <w:tc>
          <w:tcPr>
            <w:tcW w:w="105" w:type="dxa"/>
            <w:tcBorders/>
            <w:shd w:fill="cceeff"/>
            <w:tcMar>
              <w:top w:w="15" w:type="dxa"/>
              <w:left w:w="15" w:type="dxa"/>
              <w:bottom w:w="15" w:type="dxa"/>
              <w:right w:w="15" w:type="dxa"/>
            </w:tcMar>
            <w:vAlign w:val="bottom"/>
          </w:tcPr>
          <w:p/>
        </w:tc>
        <w:tc>
          <w:tcPr>
            <w:tcW w:w="1206"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05" w:type="dxa"/>
            <w:tcBorders/>
            <w:shd w:fill="cceeff"/>
            <w:tcMar>
              <w:top w:w="15" w:type="dxa"/>
              <w:left w:w="15" w:type="dxa"/>
              <w:bottom w:w="15" w:type="dxa"/>
              <w:right w:w="15" w:type="dxa"/>
            </w:tcMar>
            <w:vAlign w:val="bottom"/>
          </w:tcPr>
          <w:p/>
        </w:tc>
        <w:tc>
          <w:tcPr>
            <w:tcW w:w="105" w:type="dxa"/>
            <w:tcBorders/>
            <w:shd w:fill="cceeff"/>
            <w:tcMar>
              <w:top w:w="15" w:type="dxa"/>
              <w:left w:w="15" w:type="dxa"/>
              <w:bottom w:w="15" w:type="dxa"/>
              <w:right w:w="15" w:type="dxa"/>
            </w:tcMar>
            <w:vAlign w:val="bottom"/>
          </w:tcPr>
          <w:p/>
        </w:tc>
        <w:tc>
          <w:tcPr>
            <w:tcW w:w="105" w:type="dxa"/>
            <w:tcBorders/>
            <w:shd w:fill="cceeff"/>
            <w:tcMar>
              <w:top w:w="15" w:type="dxa"/>
              <w:left w:w="15" w:type="dxa"/>
              <w:bottom w:w="15" w:type="dxa"/>
              <w:right w:w="15" w:type="dxa"/>
            </w:tcMar>
            <w:vAlign w:val="bottom"/>
          </w:tcPr>
          <w:p/>
        </w:tc>
        <w:tc>
          <w:tcPr>
            <w:tcW w:w="1402"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56" w:type="dxa"/>
            <w:tcBorders/>
            <w:shd w:fill="cceeff"/>
            <w:tcMar>
              <w:top w:w="15" w:type="dxa"/>
              <w:left w:w="15" w:type="dxa"/>
              <w:bottom w:w="15" w:type="dxa"/>
              <w:right w:w="15" w:type="dxa"/>
            </w:tcMar>
            <w:vAlign w:val="bottom"/>
          </w:tcPr>
          <w:p/>
        </w:tc>
        <w:tc>
          <w:tcPr>
            <w:tcW w:w="105" w:type="dxa"/>
            <w:tcBorders/>
            <w:shd w:fill="cceeff"/>
            <w:tcMar>
              <w:top w:w="15" w:type="dxa"/>
              <w:left w:w="15" w:type="dxa"/>
              <w:bottom w:w="15" w:type="dxa"/>
              <w:right w:w="15" w:type="dxa"/>
            </w:tcMar>
            <w:vAlign w:val="bottom"/>
          </w:tcPr>
          <w:p/>
        </w:tc>
        <w:tc>
          <w:tcPr>
            <w:tcW w:w="106" w:type="dxa"/>
            <w:tcBorders/>
            <w:shd w:fill="cceeff"/>
            <w:tcMar>
              <w:top w:w="15" w:type="dxa"/>
              <w:left w:w="15" w:type="dxa"/>
              <w:bottom w:w="15" w:type="dxa"/>
              <w:right w:w="15" w:type="dxa"/>
            </w:tcMar>
            <w:vAlign w:val="bottom"/>
          </w:tcPr>
          <w:p/>
        </w:tc>
        <w:tc>
          <w:tcPr>
            <w:tcW w:w="1269"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6,832,210 </w:t>
            </w:r>
          </w:p>
        </w:tc>
        <w:tc>
          <w:tcPr>
            <w:tcW w:w="106" w:type="dxa"/>
            <w:tcBorders/>
            <w:shd w:fill="cceeff"/>
            <w:tcMar>
              <w:top w:w="15" w:type="dxa"/>
              <w:left w:w="15" w:type="dxa"/>
              <w:bottom w:w="15" w:type="dxa"/>
              <w:right w:w="15" w:type="dxa"/>
            </w:tcMar>
            <w:vAlign w:val="bottom"/>
          </w:tcPr>
          <w:p/>
        </w:tc>
        <w:tc>
          <w:tcPr>
            <w:tcW w:w="106" w:type="dxa"/>
            <w:tcBorders/>
            <w:shd w:fill="cceeff"/>
            <w:tcMar>
              <w:top w:w="15" w:type="dxa"/>
              <w:left w:w="15" w:type="dxa"/>
              <w:bottom w:w="15" w:type="dxa"/>
              <w:right w:w="15" w:type="dxa"/>
            </w:tcMar>
            <w:vAlign w:val="bottom"/>
          </w:tcPr>
          <w:p/>
        </w:tc>
        <w:tc>
          <w:tcPr>
            <w:tcW w:w="126" w:type="dxa"/>
            <w:tcBorders/>
            <w:shd w:fill="cceeff"/>
            <w:tcMar>
              <w:top w:w="15" w:type="dxa"/>
              <w:left w:w="15" w:type="dxa"/>
              <w:bottom w:w="15" w:type="dxa"/>
              <w:right w:w="15" w:type="dxa"/>
            </w:tcMar>
            <w:vAlign w:val="bottom"/>
          </w:tcPr>
          <w:p/>
        </w:tc>
        <w:tc>
          <w:tcPr>
            <w:tcW w:w="1491"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56" w:type="dxa"/>
            <w:tcBorders/>
            <w:shd w:fill="cceeff"/>
            <w:tcMar>
              <w:top w:w="15" w:type="dxa"/>
              <w:left w:w="15" w:type="dxa"/>
              <w:bottom w:w="15" w:type="dxa"/>
              <w:right w:w="15" w:type="dxa"/>
            </w:tcMar>
            <w:vAlign w:val="bottom"/>
          </w:tcPr>
          <w:p/>
        </w:tc>
        <w:tc>
          <w:tcPr>
            <w:tcW w:w="106" w:type="dxa"/>
            <w:tcBorders/>
            <w:shd w:fill="cceeff"/>
            <w:tcMar>
              <w:top w:w="15" w:type="dxa"/>
              <w:left w:w="15" w:type="dxa"/>
              <w:bottom w:w="15" w:type="dxa"/>
              <w:right w:w="15" w:type="dxa"/>
            </w:tcMar>
            <w:vAlign w:val="bottom"/>
          </w:tcPr>
          <w:p/>
        </w:tc>
        <w:tc>
          <w:tcPr>
            <w:tcW w:w="143" w:type="dxa"/>
            <w:tcBorders/>
            <w:shd w:fill="cceeff"/>
            <w:tcMar>
              <w:top w:w="15" w:type="dxa"/>
              <w:left w:w="15" w:type="dxa"/>
              <w:bottom w:w="15" w:type="dxa"/>
              <w:right w:w="15" w:type="dxa"/>
            </w:tcMar>
            <w:vAlign w:val="bottom"/>
          </w:tcPr>
          <w:p/>
        </w:tc>
        <w:tc>
          <w:tcPr>
            <w:tcW w:w="1288"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56" w:type="dxa"/>
            <w:tcBorders/>
            <w:shd w:fill="cceeff"/>
            <w:tcMar>
              <w:top w:w="15" w:type="dxa"/>
              <w:left w:w="15" w:type="dxa"/>
              <w:bottom w:w="15" w:type="dxa"/>
              <w:right w:w="15" w:type="dxa"/>
            </w:tcMar>
            <w:vAlign w:val="bottom"/>
          </w:tcPr>
          <w:p/>
        </w:tc>
        <w:tc>
          <w:tcPr>
            <w:tcW w:w="106" w:type="dxa"/>
            <w:tcBorders/>
            <w:shd w:fill="cceeff"/>
            <w:tcMar>
              <w:top w:w="15" w:type="dxa"/>
              <w:left w:w="15" w:type="dxa"/>
              <w:bottom w:w="15" w:type="dxa"/>
              <w:right w:w="15" w:type="dxa"/>
            </w:tcMar>
            <w:vAlign w:val="bottom"/>
          </w:tcPr>
          <w:p/>
        </w:tc>
        <w:tc>
          <w:tcPr>
            <w:tcW w:w="106" w:type="dxa"/>
            <w:tcBorders/>
            <w:shd w:fill="cceeff"/>
            <w:tcMar>
              <w:top w:w="15" w:type="dxa"/>
              <w:left w:w="15" w:type="dxa"/>
              <w:bottom w:w="15" w:type="dxa"/>
              <w:right w:w="15" w:type="dxa"/>
            </w:tcMar>
            <w:vAlign w:val="bottom"/>
          </w:tcPr>
          <w:p/>
        </w:tc>
        <w:tc>
          <w:tcPr>
            <w:tcW w:w="1402"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6,832,210 </w:t>
            </w:r>
          </w:p>
        </w:tc>
        <w:tc>
          <w:tcPr>
            <w:tcW w:w="156" w:type="dxa"/>
            <w:tcBorders/>
            <w:shd w:fill="cceeff"/>
            <w:tcMar>
              <w:top w:w="15" w:type="dxa"/>
              <w:left w:w="15" w:type="dxa"/>
              <w:bottom w:w="15" w:type="dxa"/>
              <w:right w:w="15" w:type="dxa"/>
            </w:tcMar>
            <w:vAlign w:val="bottom"/>
          </w:tcPr>
          <w:p/>
        </w:tc>
      </w:tr>
      <w:tr>
        <w:trPr>
          <w:trHeight w:val="240" w:hRule="atLeast"/>
        </w:trPr>
        <w:tc>
          <w:tcPr>
            <w:tcW w:w="3417" w:type="dxa"/>
            <w:tcBorders/>
            <w:tcMar>
              <w:top w:w="15" w:type="dxa"/>
              <w:left w:w="15" w:type="dxa"/>
              <w:bottom w:w="30" w:type="dxa"/>
              <w:right w:w="15" w:type="dxa"/>
            </w:tcMar>
            <w:vAlign w:val="top"/>
          </w:tcPr>
          <w:p>
            <w:pPr>
              <w:spacing w:before="0" w:after="0"/>
              <w:ind w:left="264"/>
              <w:jc w:val="left"/>
            </w:pPr>
            <w:r>
              <w:rPr>
                <w:rFonts w:ascii="Times New Roman" w:hAnsi="Times New Roman"/>
                <w:b w:val="false"/>
                <w:i w:val="false"/>
                <w:color w:val="000000"/>
                <w:sz w:val="20"/>
              </w:rPr>
              <w:t xml:space="preserve"> Share options exercised </w:t>
            </w:r>
          </w:p>
        </w:tc>
        <w:tc>
          <w:tcPr>
            <w:tcW w:w="105" w:type="dxa"/>
            <w:tcBorders/>
            <w:tcMar>
              <w:top w:w="15" w:type="dxa"/>
              <w:left w:w="15" w:type="dxa"/>
              <w:bottom w:w="30" w:type="dxa"/>
              <w:right w:w="15" w:type="dxa"/>
            </w:tcMar>
            <w:vAlign w:val="bottom"/>
          </w:tcPr>
          <w:p/>
        </w:tc>
        <w:tc>
          <w:tcPr>
            <w:tcW w:w="105" w:type="dxa"/>
            <w:tcBorders>
              <w:bottom w:val="single" w:color="000000" w:sz="16"/>
            </w:tcBorders>
            <w:tcMar>
              <w:top w:w="15" w:type="dxa"/>
              <w:left w:w="15" w:type="dxa"/>
              <w:bottom w:w="15" w:type="dxa"/>
              <w:right w:w="15" w:type="dxa"/>
            </w:tcMar>
            <w:vAlign w:val="bottom"/>
          </w:tcPr>
          <w:p/>
        </w:tc>
        <w:tc>
          <w:tcPr>
            <w:tcW w:w="1206"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16,905 </w:t>
            </w:r>
          </w:p>
        </w:tc>
        <w:tc>
          <w:tcPr>
            <w:tcW w:w="105" w:type="dxa"/>
            <w:tcBorders/>
            <w:tcMar>
              <w:top w:w="15" w:type="dxa"/>
              <w:left w:w="15" w:type="dxa"/>
              <w:bottom w:w="30" w:type="dxa"/>
              <w:right w:w="15" w:type="dxa"/>
            </w:tcMar>
            <w:vAlign w:val="bottom"/>
          </w:tcPr>
          <w:p/>
        </w:tc>
        <w:tc>
          <w:tcPr>
            <w:tcW w:w="105" w:type="dxa"/>
            <w:tcBorders/>
            <w:tcMar>
              <w:top w:w="15" w:type="dxa"/>
              <w:left w:w="15" w:type="dxa"/>
              <w:bottom w:w="30" w:type="dxa"/>
              <w:right w:w="15" w:type="dxa"/>
            </w:tcMar>
            <w:vAlign w:val="bottom"/>
          </w:tcPr>
          <w:p/>
        </w:tc>
        <w:tc>
          <w:tcPr>
            <w:tcW w:w="105" w:type="dxa"/>
            <w:tcBorders>
              <w:bottom w:val="single" w:color="000000" w:sz="16"/>
            </w:tcBorders>
            <w:tcMar>
              <w:top w:w="15" w:type="dxa"/>
              <w:left w:w="15" w:type="dxa"/>
              <w:bottom w:w="15" w:type="dxa"/>
              <w:right w:w="15" w:type="dxa"/>
            </w:tcMar>
            <w:vAlign w:val="bottom"/>
          </w:tcPr>
          <w:p/>
        </w:tc>
        <w:tc>
          <w:tcPr>
            <w:tcW w:w="1402"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(15,229 </w:t>
            </w:r>
          </w:p>
        </w:tc>
        <w:tc>
          <w:tcPr>
            <w:tcW w:w="156" w:type="dxa"/>
            <w:tcBorders/>
            <w:tcMar>
              <w:top w:w="15" w:type="dxa"/>
              <w:left w:w="15" w:type="dxa"/>
              <w:bottom w:w="30"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c>
          <w:tcPr>
            <w:tcW w:w="105" w:type="dxa"/>
            <w:tcBorders/>
            <w:tcMar>
              <w:top w:w="15" w:type="dxa"/>
              <w:left w:w="15" w:type="dxa"/>
              <w:bottom w:w="30" w:type="dxa"/>
              <w:right w:w="15" w:type="dxa"/>
            </w:tcMar>
            <w:vAlign w:val="bottom"/>
          </w:tcPr>
          <w:p/>
        </w:tc>
        <w:tc>
          <w:tcPr>
            <w:tcW w:w="106" w:type="dxa"/>
            <w:tcBorders>
              <w:bottom w:val="single" w:color="000000" w:sz="16"/>
            </w:tcBorders>
            <w:tcMar>
              <w:top w:w="15" w:type="dxa"/>
              <w:left w:w="15" w:type="dxa"/>
              <w:bottom w:w="15" w:type="dxa"/>
              <w:right w:w="15" w:type="dxa"/>
            </w:tcMar>
            <w:vAlign w:val="bottom"/>
          </w:tcPr>
          <w:p/>
        </w:tc>
        <w:tc>
          <w:tcPr>
            <w:tcW w:w="1269"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06" w:type="dxa"/>
            <w:tcBorders/>
            <w:tcMar>
              <w:top w:w="15" w:type="dxa"/>
              <w:left w:w="15" w:type="dxa"/>
              <w:bottom w:w="30" w:type="dxa"/>
              <w:right w:w="15" w:type="dxa"/>
            </w:tcMar>
            <w:vAlign w:val="bottom"/>
          </w:tcPr>
          <w:p/>
        </w:tc>
        <w:tc>
          <w:tcPr>
            <w:tcW w:w="106" w:type="dxa"/>
            <w:tcBorders/>
            <w:tcMar>
              <w:top w:w="15" w:type="dxa"/>
              <w:left w:w="15" w:type="dxa"/>
              <w:bottom w:w="30" w:type="dxa"/>
              <w:right w:w="15" w:type="dxa"/>
            </w:tcMar>
            <w:vAlign w:val="bottom"/>
          </w:tcPr>
          <w:p/>
        </w:tc>
        <w:tc>
          <w:tcPr>
            <w:tcW w:w="126" w:type="dxa"/>
            <w:tcBorders>
              <w:bottom w:val="single" w:color="000000" w:sz="16"/>
            </w:tcBorders>
            <w:tcMar>
              <w:top w:w="15" w:type="dxa"/>
              <w:left w:w="15" w:type="dxa"/>
              <w:bottom w:w="15" w:type="dxa"/>
              <w:right w:w="15" w:type="dxa"/>
            </w:tcMar>
            <w:vAlign w:val="bottom"/>
          </w:tcPr>
          <w:p/>
        </w:tc>
        <w:tc>
          <w:tcPr>
            <w:tcW w:w="1491"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56" w:type="dxa"/>
            <w:tcBorders/>
            <w:tcMar>
              <w:top w:w="15" w:type="dxa"/>
              <w:left w:w="15" w:type="dxa"/>
              <w:bottom w:w="30" w:type="dxa"/>
              <w:right w:w="15" w:type="dxa"/>
            </w:tcMar>
            <w:vAlign w:val="bottom"/>
          </w:tcPr>
          <w:p/>
        </w:tc>
        <w:tc>
          <w:tcPr>
            <w:tcW w:w="106" w:type="dxa"/>
            <w:tcBorders/>
            <w:tcMar>
              <w:top w:w="15" w:type="dxa"/>
              <w:left w:w="15" w:type="dxa"/>
              <w:bottom w:w="30" w:type="dxa"/>
              <w:right w:w="15" w:type="dxa"/>
            </w:tcMar>
            <w:vAlign w:val="bottom"/>
          </w:tcPr>
          <w:p/>
        </w:tc>
        <w:tc>
          <w:tcPr>
            <w:tcW w:w="143" w:type="dxa"/>
            <w:tcBorders>
              <w:bottom w:val="single" w:color="000000" w:sz="16"/>
            </w:tcBorders>
            <w:tcMar>
              <w:top w:w="15" w:type="dxa"/>
              <w:left w:w="15" w:type="dxa"/>
              <w:bottom w:w="15" w:type="dxa"/>
              <w:right w:w="15" w:type="dxa"/>
            </w:tcMar>
            <w:vAlign w:val="bottom"/>
          </w:tcPr>
          <w:p/>
        </w:tc>
        <w:tc>
          <w:tcPr>
            <w:tcW w:w="1288"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56" w:type="dxa"/>
            <w:tcBorders/>
            <w:tcMar>
              <w:top w:w="15" w:type="dxa"/>
              <w:left w:w="15" w:type="dxa"/>
              <w:bottom w:w="30" w:type="dxa"/>
              <w:right w:w="15" w:type="dxa"/>
            </w:tcMar>
            <w:vAlign w:val="bottom"/>
          </w:tcPr>
          <w:p/>
        </w:tc>
        <w:tc>
          <w:tcPr>
            <w:tcW w:w="106" w:type="dxa"/>
            <w:tcBorders/>
            <w:tcMar>
              <w:top w:w="15" w:type="dxa"/>
              <w:left w:w="15" w:type="dxa"/>
              <w:bottom w:w="30" w:type="dxa"/>
              <w:right w:w="15" w:type="dxa"/>
            </w:tcMar>
            <w:vAlign w:val="bottom"/>
          </w:tcPr>
          <w:p/>
        </w:tc>
        <w:tc>
          <w:tcPr>
            <w:tcW w:w="106" w:type="dxa"/>
            <w:tcBorders>
              <w:bottom w:val="single" w:color="000000" w:sz="16"/>
            </w:tcBorders>
            <w:tcMar>
              <w:top w:w="15" w:type="dxa"/>
              <w:left w:w="15" w:type="dxa"/>
              <w:bottom w:w="15" w:type="dxa"/>
              <w:right w:w="15" w:type="dxa"/>
            </w:tcMar>
            <w:vAlign w:val="bottom"/>
          </w:tcPr>
          <w:p/>
        </w:tc>
        <w:tc>
          <w:tcPr>
            <w:tcW w:w="1402"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1,676 </w:t>
            </w:r>
          </w:p>
        </w:tc>
        <w:tc>
          <w:tcPr>
            <w:tcW w:w="156" w:type="dxa"/>
            <w:tcBorders/>
            <w:tcMar>
              <w:top w:w="15" w:type="dxa"/>
              <w:left w:w="15" w:type="dxa"/>
              <w:bottom w:w="30" w:type="dxa"/>
              <w:right w:w="15" w:type="dxa"/>
            </w:tcMar>
            <w:vAlign w:val="bottom"/>
          </w:tcPr>
          <w:p/>
        </w:tc>
      </w:tr>
      <w:tr>
        <w:trPr>
          <w:trHeight w:val="480" w:hRule="atLeast"/>
        </w:trPr>
        <w:tc>
          <w:tcPr>
            <w:tcW w:w="3417" w:type="dxa"/>
            <w:tcBorders/>
            <w:shd w:fill="cceeff"/>
            <w:tcMar>
              <w:top w:w="15" w:type="dxa"/>
              <w:left w:w="15" w:type="dxa"/>
              <w:bottom w:w="30" w:type="dxa"/>
              <w:right w:w="15" w:type="dxa"/>
            </w:tcMar>
            <w:vAlign w:val="top"/>
          </w:tcPr>
          <w:p>
            <w:pPr>
              <w:spacing w:before="0" w:after="0"/>
              <w:ind w:left="264"/>
              <w:jc w:val="left"/>
            </w:pPr>
            <w:r>
              <w:rPr>
                <w:rFonts w:ascii="Times New Roman" w:hAnsi="Times New Roman"/>
                <w:b/>
                <w:i w:val="false"/>
                <w:color w:val="000000"/>
                <w:sz w:val="20"/>
              </w:rPr>
              <w:t xml:space="preserve"> Balance as of December 31, 2019 </w:t>
            </w:r>
          </w:p>
        </w:tc>
        <w:tc>
          <w:tcPr>
            <w:tcW w:w="105" w:type="dxa"/>
            <w:tcBorders/>
            <w:shd w:fill="cceeff"/>
            <w:tcMar>
              <w:top w:w="15" w:type="dxa"/>
              <w:left w:w="15" w:type="dxa"/>
              <w:bottom w:w="30" w:type="dxa"/>
              <w:right w:w="15" w:type="dxa"/>
            </w:tcMar>
            <w:vAlign w:val="bottom"/>
          </w:tcPr>
          <w:p/>
        </w:tc>
        <w:tc>
          <w:tcPr>
            <w:tcW w:w="105" w:type="dxa"/>
            <w:tcBorders>
              <w:bottom w:val="single" w:color="000000" w:sz="16"/>
            </w:tcBorders>
            <w:shd w:fill="cceeff"/>
            <w:tcMar>
              <w:top w:w="15" w:type="dxa"/>
              <w:left w:w="15" w:type="dxa"/>
              <w:bottom w:w="15" w:type="dxa"/>
              <w:right w:w="15" w:type="dxa"/>
            </w:tcMar>
            <w:vAlign w:val="bottom"/>
          </w:tcPr>
          <w:p/>
        </w:tc>
        <w:tc>
          <w:tcPr>
            <w:tcW w:w="1206"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3,132,631 </w:t>
            </w:r>
          </w:p>
        </w:tc>
        <w:tc>
          <w:tcPr>
            <w:tcW w:w="105" w:type="dxa"/>
            <w:tcBorders/>
            <w:shd w:fill="cceeff"/>
            <w:tcMar>
              <w:top w:w="15" w:type="dxa"/>
              <w:left w:w="15" w:type="dxa"/>
              <w:bottom w:w="30" w:type="dxa"/>
              <w:right w:w="15" w:type="dxa"/>
            </w:tcMar>
            <w:vAlign w:val="bottom"/>
          </w:tcPr>
          <w:p/>
        </w:tc>
        <w:tc>
          <w:tcPr>
            <w:tcW w:w="105" w:type="dxa"/>
            <w:tcBorders/>
            <w:shd w:fill="cceeff"/>
            <w:tcMar>
              <w:top w:w="15" w:type="dxa"/>
              <w:left w:w="15" w:type="dxa"/>
              <w:bottom w:w="30" w:type="dxa"/>
              <w:right w:w="15" w:type="dxa"/>
            </w:tcMar>
            <w:vAlign w:val="bottom"/>
          </w:tcPr>
          <w:p/>
        </w:tc>
        <w:tc>
          <w:tcPr>
            <w:tcW w:w="105" w:type="dxa"/>
            <w:tcBorders>
              <w:bottom w:val="single" w:color="000000" w:sz="16"/>
            </w:tcBorders>
            <w:shd w:fill="cceeff"/>
            <w:tcMar>
              <w:top w:w="15" w:type="dxa"/>
              <w:left w:w="15" w:type="dxa"/>
              <w:bottom w:w="15" w:type="dxa"/>
              <w:right w:w="15" w:type="dxa"/>
            </w:tcMar>
            <w:vAlign w:val="bottom"/>
          </w:tcPr>
          <w:p/>
        </w:tc>
        <w:tc>
          <w:tcPr>
            <w:tcW w:w="1402"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211,006,606 </w:t>
            </w:r>
          </w:p>
        </w:tc>
        <w:tc>
          <w:tcPr>
            <w:tcW w:w="156" w:type="dxa"/>
            <w:tcBorders/>
            <w:shd w:fill="cceeff"/>
            <w:tcMar>
              <w:top w:w="15" w:type="dxa"/>
              <w:left w:w="15" w:type="dxa"/>
              <w:bottom w:w="30" w:type="dxa"/>
              <w:right w:w="15" w:type="dxa"/>
            </w:tcMar>
            <w:vAlign w:val="bottom"/>
          </w:tcPr>
          <w:p/>
        </w:tc>
        <w:tc>
          <w:tcPr>
            <w:tcW w:w="105" w:type="dxa"/>
            <w:tcBorders/>
            <w:shd w:fill="cceeff"/>
            <w:tcMar>
              <w:top w:w="15" w:type="dxa"/>
              <w:left w:w="15" w:type="dxa"/>
              <w:bottom w:w="30" w:type="dxa"/>
              <w:right w:w="15" w:type="dxa"/>
            </w:tcMar>
            <w:vAlign w:val="bottom"/>
          </w:tcPr>
          <w:p/>
        </w:tc>
        <w:tc>
          <w:tcPr>
            <w:tcW w:w="106" w:type="dxa"/>
            <w:tcBorders>
              <w:bottom w:val="single" w:color="000000" w:sz="16"/>
            </w:tcBorders>
            <w:shd w:fill="cceeff"/>
            <w:tcMar>
              <w:top w:w="15" w:type="dxa"/>
              <w:left w:w="15" w:type="dxa"/>
              <w:bottom w:w="15" w:type="dxa"/>
              <w:right w:w="15" w:type="dxa"/>
            </w:tcMar>
            <w:vAlign w:val="bottom"/>
          </w:tcPr>
          <w:p/>
        </w:tc>
        <w:tc>
          <w:tcPr>
            <w:tcW w:w="1269"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25,142,213 </w:t>
            </w:r>
          </w:p>
        </w:tc>
        <w:tc>
          <w:tcPr>
            <w:tcW w:w="106" w:type="dxa"/>
            <w:tcBorders/>
            <w:shd w:fill="cceeff"/>
            <w:tcMar>
              <w:top w:w="15" w:type="dxa"/>
              <w:left w:w="15" w:type="dxa"/>
              <w:bottom w:w="30" w:type="dxa"/>
              <w:right w:w="15" w:type="dxa"/>
            </w:tcMar>
            <w:vAlign w:val="bottom"/>
          </w:tcPr>
          <w:p/>
        </w:tc>
        <w:tc>
          <w:tcPr>
            <w:tcW w:w="106" w:type="dxa"/>
            <w:tcBorders/>
            <w:shd w:fill="cceeff"/>
            <w:tcMar>
              <w:top w:w="15" w:type="dxa"/>
              <w:left w:w="15" w:type="dxa"/>
              <w:bottom w:w="30" w:type="dxa"/>
              <w:right w:w="15" w:type="dxa"/>
            </w:tcMar>
            <w:vAlign w:val="bottom"/>
          </w:tcPr>
          <w:p/>
        </w:tc>
        <w:tc>
          <w:tcPr>
            <w:tcW w:w="126" w:type="dxa"/>
            <w:tcBorders>
              <w:bottom w:val="single" w:color="000000" w:sz="16"/>
            </w:tcBorders>
            <w:shd w:fill="cceeff"/>
            <w:tcMar>
              <w:top w:w="15" w:type="dxa"/>
              <w:left w:w="15" w:type="dxa"/>
              <w:bottom w:w="15" w:type="dxa"/>
              <w:right w:w="15" w:type="dxa"/>
            </w:tcMar>
            <w:vAlign w:val="bottom"/>
          </w:tcPr>
          <w:p/>
        </w:tc>
        <w:tc>
          <w:tcPr>
            <w:tcW w:w="1491"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(134,362,006 </w:t>
            </w:r>
          </w:p>
        </w:tc>
        <w:tc>
          <w:tcPr>
            <w:tcW w:w="156" w:type="dxa"/>
            <w:tcBorders/>
            <w:shd w:fill="cceeff"/>
            <w:tcMar>
              <w:top w:w="15" w:type="dxa"/>
              <w:left w:w="15" w:type="dxa"/>
              <w:bottom w:w="30" w:type="dxa"/>
              <w:right w:w="15" w:type="dxa"/>
            </w:tcMar>
            <w:vAlign w:val="bottom"/>
          </w:tcPr>
          <w:p>
            <w:pPr>
              <w:spacing w:before="0" w:after="0"/>
              <w:ind w:left="120"/>
              <w:jc w:val="left"/>
            </w:pPr>
            <w:r>
              <w:rPr>
                <w:rFonts w:ascii="Times New Roman" w:hAnsi="Times New Roman"/>
                <w:b/>
                <w:i w:val="false"/>
                <w:color w:val="000000"/>
                <w:sz w:val="20"/>
              </w:rPr>
              <w:t xml:space="preserve"> ) </w:t>
            </w:r>
          </w:p>
        </w:tc>
        <w:tc>
          <w:tcPr>
            <w:tcW w:w="106" w:type="dxa"/>
            <w:tcBorders/>
            <w:shd w:fill="cceeff"/>
            <w:tcMar>
              <w:top w:w="15" w:type="dxa"/>
              <w:left w:w="15" w:type="dxa"/>
              <w:bottom w:w="30" w:type="dxa"/>
              <w:right w:w="15" w:type="dxa"/>
            </w:tcMar>
            <w:vAlign w:val="bottom"/>
          </w:tcPr>
          <w:p/>
        </w:tc>
        <w:tc>
          <w:tcPr>
            <w:tcW w:w="143" w:type="dxa"/>
            <w:tcBorders>
              <w:bottom w:val="single" w:color="000000" w:sz="16"/>
            </w:tcBorders>
            <w:shd w:fill="cceeff"/>
            <w:tcMar>
              <w:top w:w="15" w:type="dxa"/>
              <w:left w:w="15" w:type="dxa"/>
              <w:bottom w:w="15" w:type="dxa"/>
              <w:right w:w="15" w:type="dxa"/>
            </w:tcMar>
            <w:vAlign w:val="bottom"/>
          </w:tcPr>
          <w:p/>
        </w:tc>
        <w:tc>
          <w:tcPr>
            <w:tcW w:w="1288"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2,227,228 </w:t>
            </w:r>
          </w:p>
        </w:tc>
        <w:tc>
          <w:tcPr>
            <w:tcW w:w="156" w:type="dxa"/>
            <w:tcBorders/>
            <w:shd w:fill="cceeff"/>
            <w:tcMar>
              <w:top w:w="15" w:type="dxa"/>
              <w:left w:w="15" w:type="dxa"/>
              <w:bottom w:w="30" w:type="dxa"/>
              <w:right w:w="15" w:type="dxa"/>
            </w:tcMar>
            <w:vAlign w:val="bottom"/>
          </w:tcPr>
          <w:p/>
        </w:tc>
        <w:tc>
          <w:tcPr>
            <w:tcW w:w="106" w:type="dxa"/>
            <w:tcBorders/>
            <w:shd w:fill="cceeff"/>
            <w:tcMar>
              <w:top w:w="15" w:type="dxa"/>
              <w:left w:w="15" w:type="dxa"/>
              <w:bottom w:w="30" w:type="dxa"/>
              <w:right w:w="15" w:type="dxa"/>
            </w:tcMar>
            <w:vAlign w:val="bottom"/>
          </w:tcPr>
          <w:p/>
        </w:tc>
        <w:tc>
          <w:tcPr>
            <w:tcW w:w="106" w:type="dxa"/>
            <w:tcBorders>
              <w:bottom w:val="single" w:color="000000" w:sz="16"/>
            </w:tcBorders>
            <w:shd w:fill="cceeff"/>
            <w:tcMar>
              <w:top w:w="15" w:type="dxa"/>
              <w:left w:w="15" w:type="dxa"/>
              <w:bottom w:w="15" w:type="dxa"/>
              <w:right w:w="15" w:type="dxa"/>
            </w:tcMar>
            <w:vAlign w:val="bottom"/>
          </w:tcPr>
          <w:p/>
        </w:tc>
        <w:tc>
          <w:tcPr>
            <w:tcW w:w="1402"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107,146,673 </w:t>
            </w:r>
          </w:p>
        </w:tc>
        <w:tc>
          <w:tcPr>
            <w:tcW w:w="156" w:type="dxa"/>
            <w:tcBorders/>
            <w:shd w:fill="cceeff"/>
            <w:tcMar>
              <w:top w:w="15" w:type="dxa"/>
              <w:left w:w="15" w:type="dxa"/>
              <w:bottom w:w="30" w:type="dxa"/>
              <w:right w:w="15" w:type="dxa"/>
            </w:tcMar>
            <w:vAlign w:val="bottom"/>
          </w:tcPr>
          <w:p/>
        </w:tc>
      </w:tr>
      <w:tr>
        <w:trPr>
          <w:trHeight w:val="210" w:hRule="atLeast"/>
        </w:trPr>
        <w:tc>
          <w:tcPr>
            <w:tcW w:w="3417" w:type="dxa"/>
            <w:tcBorders/>
            <w:tcMar>
              <w:top w:w="15" w:type="dxa"/>
              <w:left w:w="15" w:type="dxa"/>
              <w:bottom w:w="15" w:type="dxa"/>
              <w:right w:w="15" w:type="dxa"/>
            </w:tcMar>
            <w:vAlign w:val="top"/>
          </w:tcPr>
          <w:p>
            <w:pPr>
              <w:spacing w:before="0" w:after="0"/>
              <w:ind w:left="264"/>
              <w:jc w:val="left"/>
            </w:pPr>
            <w:r>
              <w:rPr>
                <w:rFonts w:ascii="Times New Roman" w:hAnsi="Times New Roman"/>
                <w:b w:val="false"/>
                <w:i w:val="false"/>
                <w:color w:val="000000"/>
                <w:sz w:val="20"/>
              </w:rPr>
              <w:t xml:space="preserve"> Loss for the Period </w:t>
            </w:r>
          </w:p>
        </w:tc>
        <w:tc>
          <w:tcPr>
            <w:tcW w:w="105" w:type="dxa"/>
            <w:tcBorders/>
            <w:tcMar>
              <w:top w:w="15" w:type="dxa"/>
              <w:left w:w="15" w:type="dxa"/>
              <w:bottom w:w="15" w:type="dxa"/>
              <w:right w:w="15" w:type="dxa"/>
            </w:tcMar>
            <w:vAlign w:val="bottom"/>
          </w:tcPr>
          <w:p/>
        </w:tc>
        <w:tc>
          <w:tcPr>
            <w:tcW w:w="105" w:type="dxa"/>
            <w:tcBorders/>
            <w:tcMar>
              <w:top w:w="15" w:type="dxa"/>
              <w:left w:w="15" w:type="dxa"/>
              <w:bottom w:w="15" w:type="dxa"/>
              <w:right w:w="15" w:type="dxa"/>
            </w:tcMar>
            <w:vAlign w:val="bottom"/>
          </w:tcPr>
          <w:p/>
        </w:tc>
        <w:tc>
          <w:tcPr>
            <w:tcW w:w="1206"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05" w:type="dxa"/>
            <w:tcBorders/>
            <w:tcMar>
              <w:top w:w="15" w:type="dxa"/>
              <w:left w:w="15" w:type="dxa"/>
              <w:bottom w:w="15" w:type="dxa"/>
              <w:right w:w="15" w:type="dxa"/>
            </w:tcMar>
            <w:vAlign w:val="bottom"/>
          </w:tcPr>
          <w:p/>
        </w:tc>
        <w:tc>
          <w:tcPr>
            <w:tcW w:w="105" w:type="dxa"/>
            <w:tcBorders/>
            <w:tcMar>
              <w:top w:w="15" w:type="dxa"/>
              <w:left w:w="15" w:type="dxa"/>
              <w:bottom w:w="15" w:type="dxa"/>
              <w:right w:w="15" w:type="dxa"/>
            </w:tcMar>
            <w:vAlign w:val="bottom"/>
          </w:tcPr>
          <w:p/>
        </w:tc>
        <w:tc>
          <w:tcPr>
            <w:tcW w:w="105" w:type="dxa"/>
            <w:tcBorders/>
            <w:tcMar>
              <w:top w:w="15" w:type="dxa"/>
              <w:left w:w="15" w:type="dxa"/>
              <w:bottom w:w="15" w:type="dxa"/>
              <w:right w:w="15" w:type="dxa"/>
            </w:tcMar>
            <w:vAlign w:val="bottom"/>
          </w:tcPr>
          <w:p/>
        </w:tc>
        <w:tc>
          <w:tcPr>
            <w:tcW w:w="1402"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56" w:type="dxa"/>
            <w:tcBorders/>
            <w:tcMar>
              <w:top w:w="15" w:type="dxa"/>
              <w:left w:w="15" w:type="dxa"/>
              <w:bottom w:w="15" w:type="dxa"/>
              <w:right w:w="15" w:type="dxa"/>
            </w:tcMar>
            <w:vAlign w:val="bottom"/>
          </w:tcPr>
          <w:p/>
        </w:tc>
        <w:tc>
          <w:tcPr>
            <w:tcW w:w="105" w:type="dxa"/>
            <w:tcBorders/>
            <w:tcMar>
              <w:top w:w="15" w:type="dxa"/>
              <w:left w:w="15" w:type="dxa"/>
              <w:bottom w:w="15" w:type="dxa"/>
              <w:right w:w="15" w:type="dxa"/>
            </w:tcMar>
            <w:vAlign w:val="bottom"/>
          </w:tcPr>
          <w:p/>
        </w:tc>
        <w:tc>
          <w:tcPr>
            <w:tcW w:w="106" w:type="dxa"/>
            <w:tcBorders/>
            <w:tcMar>
              <w:top w:w="15" w:type="dxa"/>
              <w:left w:w="15" w:type="dxa"/>
              <w:bottom w:w="15" w:type="dxa"/>
              <w:right w:w="15" w:type="dxa"/>
            </w:tcMar>
            <w:vAlign w:val="bottom"/>
          </w:tcPr>
          <w:p/>
        </w:tc>
        <w:tc>
          <w:tcPr>
            <w:tcW w:w="1269"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06" w:type="dxa"/>
            <w:tcBorders/>
            <w:tcMar>
              <w:top w:w="15" w:type="dxa"/>
              <w:left w:w="15" w:type="dxa"/>
              <w:bottom w:w="15" w:type="dxa"/>
              <w:right w:w="15" w:type="dxa"/>
            </w:tcMar>
            <w:vAlign w:val="bottom"/>
          </w:tcPr>
          <w:p/>
        </w:tc>
        <w:tc>
          <w:tcPr>
            <w:tcW w:w="106" w:type="dxa"/>
            <w:tcBorders/>
            <w:tcMar>
              <w:top w:w="15" w:type="dxa"/>
              <w:left w:w="15" w:type="dxa"/>
              <w:bottom w:w="15" w:type="dxa"/>
              <w:right w:w="15" w:type="dxa"/>
            </w:tcMar>
            <w:vAlign w:val="bottom"/>
          </w:tcPr>
          <w:p/>
        </w:tc>
        <w:tc>
          <w:tcPr>
            <w:tcW w:w="126" w:type="dxa"/>
            <w:tcBorders/>
            <w:tcMar>
              <w:top w:w="15" w:type="dxa"/>
              <w:left w:w="15" w:type="dxa"/>
              <w:bottom w:w="15" w:type="dxa"/>
              <w:right w:w="15" w:type="dxa"/>
            </w:tcMar>
            <w:vAlign w:val="bottom"/>
          </w:tcPr>
          <w:p/>
        </w:tc>
        <w:tc>
          <w:tcPr>
            <w:tcW w:w="1491"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(33,983,614 </w:t>
            </w:r>
          </w:p>
        </w:tc>
        <w:tc>
          <w:tcPr>
            <w:tcW w:w="156" w:type="dxa"/>
            <w:tcBorders/>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c>
          <w:tcPr>
            <w:tcW w:w="106" w:type="dxa"/>
            <w:tcBorders/>
            <w:tcMar>
              <w:top w:w="15" w:type="dxa"/>
              <w:left w:w="15" w:type="dxa"/>
              <w:bottom w:w="15" w:type="dxa"/>
              <w:right w:w="15" w:type="dxa"/>
            </w:tcMar>
            <w:vAlign w:val="bottom"/>
          </w:tcPr>
          <w:p/>
        </w:tc>
        <w:tc>
          <w:tcPr>
            <w:tcW w:w="143" w:type="dxa"/>
            <w:tcBorders/>
            <w:tcMar>
              <w:top w:w="15" w:type="dxa"/>
              <w:left w:w="15" w:type="dxa"/>
              <w:bottom w:w="15" w:type="dxa"/>
              <w:right w:w="15" w:type="dxa"/>
            </w:tcMar>
            <w:vAlign w:val="bottom"/>
          </w:tcPr>
          <w:p/>
        </w:tc>
        <w:tc>
          <w:tcPr>
            <w:tcW w:w="1288"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56" w:type="dxa"/>
            <w:tcBorders/>
            <w:tcMar>
              <w:top w:w="15" w:type="dxa"/>
              <w:left w:w="15" w:type="dxa"/>
              <w:bottom w:w="15" w:type="dxa"/>
              <w:right w:w="15" w:type="dxa"/>
            </w:tcMar>
            <w:vAlign w:val="bottom"/>
          </w:tcPr>
          <w:p/>
        </w:tc>
        <w:tc>
          <w:tcPr>
            <w:tcW w:w="106" w:type="dxa"/>
            <w:tcBorders/>
            <w:tcMar>
              <w:top w:w="15" w:type="dxa"/>
              <w:left w:w="15" w:type="dxa"/>
              <w:bottom w:w="15" w:type="dxa"/>
              <w:right w:w="15" w:type="dxa"/>
            </w:tcMar>
            <w:vAlign w:val="bottom"/>
          </w:tcPr>
          <w:p/>
        </w:tc>
        <w:tc>
          <w:tcPr>
            <w:tcW w:w="106" w:type="dxa"/>
            <w:tcBorders/>
            <w:tcMar>
              <w:top w:w="15" w:type="dxa"/>
              <w:left w:w="15" w:type="dxa"/>
              <w:bottom w:w="15" w:type="dxa"/>
              <w:right w:w="15" w:type="dxa"/>
            </w:tcMar>
            <w:vAlign w:val="bottom"/>
          </w:tcPr>
          <w:p/>
        </w:tc>
        <w:tc>
          <w:tcPr>
            <w:tcW w:w="1402"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(33,983,614 </w:t>
            </w:r>
          </w:p>
        </w:tc>
        <w:tc>
          <w:tcPr>
            <w:tcW w:w="156" w:type="dxa"/>
            <w:tcBorders/>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r>
      <w:tr>
        <w:trPr>
          <w:trHeight w:val="690" w:hRule="atLeast"/>
        </w:trPr>
        <w:tc>
          <w:tcPr>
            <w:tcW w:w="3417" w:type="dxa"/>
            <w:tcBorders/>
            <w:shd w:fill="cceeff"/>
            <w:tcMar>
              <w:top w:w="15" w:type="dxa"/>
              <w:left w:w="15" w:type="dxa"/>
              <w:bottom w:w="30" w:type="dxa"/>
              <w:right w:w="15" w:type="dxa"/>
            </w:tcMar>
            <w:vAlign w:val="top"/>
          </w:tcPr>
          <w:p>
            <w:pPr>
              <w:spacing w:before="0" w:after="0"/>
              <w:ind w:left="264"/>
              <w:jc w:val="left"/>
            </w:pPr>
            <w:r>
              <w:rPr>
                <w:rFonts w:ascii="Times New Roman" w:hAnsi="Times New Roman"/>
                <w:b w:val="false"/>
                <w:i w:val="false"/>
                <w:color w:val="000000"/>
                <w:sz w:val="20"/>
              </w:rPr>
              <w:t xml:space="preserve"> Exchange differences on </w:t>
            </w:r>
          </w:p>
          <w:p>
            <w:pPr>
              <w:spacing w:before="0" w:after="0"/>
              <w:ind w:left="264"/>
              <w:jc w:val="left"/>
            </w:pPr>
            <w:r>
              <w:rPr>
                <w:rFonts w:ascii="Times New Roman" w:hAnsi="Times New Roman"/>
                <w:b w:val="false"/>
                <w:i w:val="false"/>
                <w:color w:val="000000"/>
                <w:sz w:val="20"/>
              </w:rPr>
              <w:t xml:space="preserve"> translation of foreign currency </w:t>
            </w:r>
          </w:p>
        </w:tc>
        <w:tc>
          <w:tcPr>
            <w:tcW w:w="105" w:type="dxa"/>
            <w:tcBorders/>
            <w:shd w:fill="cceeff"/>
            <w:tcMar>
              <w:top w:w="15" w:type="dxa"/>
              <w:left w:w="15" w:type="dxa"/>
              <w:bottom w:w="30" w:type="dxa"/>
              <w:right w:w="15" w:type="dxa"/>
            </w:tcMar>
            <w:vAlign w:val="bottom"/>
          </w:tcPr>
          <w:p/>
        </w:tc>
        <w:tc>
          <w:tcPr>
            <w:tcW w:w="105" w:type="dxa"/>
            <w:tcBorders>
              <w:bottom w:val="single" w:color="000000" w:sz="16"/>
            </w:tcBorders>
            <w:shd w:fill="cceeff"/>
            <w:tcMar>
              <w:top w:w="15" w:type="dxa"/>
              <w:left w:w="15" w:type="dxa"/>
              <w:bottom w:w="15" w:type="dxa"/>
              <w:right w:w="15" w:type="dxa"/>
            </w:tcMar>
            <w:vAlign w:val="bottom"/>
          </w:tcPr>
          <w:p/>
        </w:tc>
        <w:tc>
          <w:tcPr>
            <w:tcW w:w="1206"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05" w:type="dxa"/>
            <w:tcBorders/>
            <w:shd w:fill="cceeff"/>
            <w:tcMar>
              <w:top w:w="15" w:type="dxa"/>
              <w:left w:w="15" w:type="dxa"/>
              <w:bottom w:w="30" w:type="dxa"/>
              <w:right w:w="15" w:type="dxa"/>
            </w:tcMar>
            <w:vAlign w:val="bottom"/>
          </w:tcPr>
          <w:p/>
        </w:tc>
        <w:tc>
          <w:tcPr>
            <w:tcW w:w="105" w:type="dxa"/>
            <w:tcBorders/>
            <w:shd w:fill="cceeff"/>
            <w:tcMar>
              <w:top w:w="15" w:type="dxa"/>
              <w:left w:w="15" w:type="dxa"/>
              <w:bottom w:w="30" w:type="dxa"/>
              <w:right w:w="15" w:type="dxa"/>
            </w:tcMar>
            <w:vAlign w:val="bottom"/>
          </w:tcPr>
          <w:p/>
        </w:tc>
        <w:tc>
          <w:tcPr>
            <w:tcW w:w="105" w:type="dxa"/>
            <w:tcBorders>
              <w:bottom w:val="single" w:color="000000" w:sz="16"/>
            </w:tcBorders>
            <w:shd w:fill="cceeff"/>
            <w:tcMar>
              <w:top w:w="15" w:type="dxa"/>
              <w:left w:w="15" w:type="dxa"/>
              <w:bottom w:w="15" w:type="dxa"/>
              <w:right w:w="15" w:type="dxa"/>
            </w:tcMar>
            <w:vAlign w:val="bottom"/>
          </w:tcPr>
          <w:p/>
        </w:tc>
        <w:tc>
          <w:tcPr>
            <w:tcW w:w="1402"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56" w:type="dxa"/>
            <w:tcBorders/>
            <w:shd w:fill="cceeff"/>
            <w:tcMar>
              <w:top w:w="15" w:type="dxa"/>
              <w:left w:w="15" w:type="dxa"/>
              <w:bottom w:w="30" w:type="dxa"/>
              <w:right w:w="15" w:type="dxa"/>
            </w:tcMar>
            <w:vAlign w:val="bottom"/>
          </w:tcPr>
          <w:p/>
        </w:tc>
        <w:tc>
          <w:tcPr>
            <w:tcW w:w="105" w:type="dxa"/>
            <w:tcBorders/>
            <w:shd w:fill="cceeff"/>
            <w:tcMar>
              <w:top w:w="15" w:type="dxa"/>
              <w:left w:w="15" w:type="dxa"/>
              <w:bottom w:w="30" w:type="dxa"/>
              <w:right w:w="15" w:type="dxa"/>
            </w:tcMar>
            <w:vAlign w:val="bottom"/>
          </w:tcPr>
          <w:p/>
        </w:tc>
        <w:tc>
          <w:tcPr>
            <w:tcW w:w="106" w:type="dxa"/>
            <w:tcBorders>
              <w:bottom w:val="single" w:color="000000" w:sz="16"/>
            </w:tcBorders>
            <w:shd w:fill="cceeff"/>
            <w:tcMar>
              <w:top w:w="15" w:type="dxa"/>
              <w:left w:w="15" w:type="dxa"/>
              <w:bottom w:w="15" w:type="dxa"/>
              <w:right w:w="15" w:type="dxa"/>
            </w:tcMar>
            <w:vAlign w:val="bottom"/>
          </w:tcPr>
          <w:p/>
        </w:tc>
        <w:tc>
          <w:tcPr>
            <w:tcW w:w="1269"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06" w:type="dxa"/>
            <w:tcBorders/>
            <w:shd w:fill="cceeff"/>
            <w:tcMar>
              <w:top w:w="15" w:type="dxa"/>
              <w:left w:w="15" w:type="dxa"/>
              <w:bottom w:w="30" w:type="dxa"/>
              <w:right w:w="15" w:type="dxa"/>
            </w:tcMar>
            <w:vAlign w:val="bottom"/>
          </w:tcPr>
          <w:p/>
        </w:tc>
        <w:tc>
          <w:tcPr>
            <w:tcW w:w="106" w:type="dxa"/>
            <w:tcBorders/>
            <w:shd w:fill="cceeff"/>
            <w:tcMar>
              <w:top w:w="15" w:type="dxa"/>
              <w:left w:w="15" w:type="dxa"/>
              <w:bottom w:w="30" w:type="dxa"/>
              <w:right w:w="15" w:type="dxa"/>
            </w:tcMar>
            <w:vAlign w:val="bottom"/>
          </w:tcPr>
          <w:p/>
        </w:tc>
        <w:tc>
          <w:tcPr>
            <w:tcW w:w="126" w:type="dxa"/>
            <w:tcBorders>
              <w:bottom w:val="single" w:color="000000" w:sz="16"/>
            </w:tcBorders>
            <w:shd w:fill="cceeff"/>
            <w:tcMar>
              <w:top w:w="15" w:type="dxa"/>
              <w:left w:w="15" w:type="dxa"/>
              <w:bottom w:w="15" w:type="dxa"/>
              <w:right w:w="15" w:type="dxa"/>
            </w:tcMar>
            <w:vAlign w:val="bottom"/>
          </w:tcPr>
          <w:p/>
        </w:tc>
        <w:tc>
          <w:tcPr>
            <w:tcW w:w="1491"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56" w:type="dxa"/>
            <w:tcBorders/>
            <w:shd w:fill="cceeff"/>
            <w:tcMar>
              <w:top w:w="15" w:type="dxa"/>
              <w:left w:w="15" w:type="dxa"/>
              <w:bottom w:w="30" w:type="dxa"/>
              <w:right w:w="15" w:type="dxa"/>
            </w:tcMar>
            <w:vAlign w:val="bottom"/>
          </w:tcPr>
          <w:p/>
        </w:tc>
        <w:tc>
          <w:tcPr>
            <w:tcW w:w="106" w:type="dxa"/>
            <w:tcBorders/>
            <w:shd w:fill="cceeff"/>
            <w:tcMar>
              <w:top w:w="15" w:type="dxa"/>
              <w:left w:w="15" w:type="dxa"/>
              <w:bottom w:w="30" w:type="dxa"/>
              <w:right w:w="15" w:type="dxa"/>
            </w:tcMar>
            <w:vAlign w:val="bottom"/>
          </w:tcPr>
          <w:p/>
        </w:tc>
        <w:tc>
          <w:tcPr>
            <w:tcW w:w="143" w:type="dxa"/>
            <w:tcBorders>
              <w:bottom w:val="single" w:color="000000" w:sz="16"/>
            </w:tcBorders>
            <w:shd w:fill="cceeff"/>
            <w:tcMar>
              <w:top w:w="15" w:type="dxa"/>
              <w:left w:w="15" w:type="dxa"/>
              <w:bottom w:w="15" w:type="dxa"/>
              <w:right w:w="15" w:type="dxa"/>
            </w:tcMar>
            <w:vAlign w:val="bottom"/>
          </w:tcPr>
          <w:p/>
        </w:tc>
        <w:tc>
          <w:tcPr>
            <w:tcW w:w="1288"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(5,954,019 </w:t>
            </w:r>
          </w:p>
        </w:tc>
        <w:tc>
          <w:tcPr>
            <w:tcW w:w="156" w:type="dxa"/>
            <w:tcBorders/>
            <w:shd w:fill="cceeff"/>
            <w:tcMar>
              <w:top w:w="15" w:type="dxa"/>
              <w:left w:w="15" w:type="dxa"/>
              <w:bottom w:w="30"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c>
          <w:tcPr>
            <w:tcW w:w="106" w:type="dxa"/>
            <w:tcBorders/>
            <w:shd w:fill="cceeff"/>
            <w:tcMar>
              <w:top w:w="15" w:type="dxa"/>
              <w:left w:w="15" w:type="dxa"/>
              <w:bottom w:w="30" w:type="dxa"/>
              <w:right w:w="15" w:type="dxa"/>
            </w:tcMar>
            <w:vAlign w:val="bottom"/>
          </w:tcPr>
          <w:p/>
        </w:tc>
        <w:tc>
          <w:tcPr>
            <w:tcW w:w="106" w:type="dxa"/>
            <w:tcBorders>
              <w:bottom w:val="single" w:color="000000" w:sz="16"/>
            </w:tcBorders>
            <w:shd w:fill="cceeff"/>
            <w:tcMar>
              <w:top w:w="15" w:type="dxa"/>
              <w:left w:w="15" w:type="dxa"/>
              <w:bottom w:w="15" w:type="dxa"/>
              <w:right w:w="15" w:type="dxa"/>
            </w:tcMar>
            <w:vAlign w:val="bottom"/>
          </w:tcPr>
          <w:p/>
        </w:tc>
        <w:tc>
          <w:tcPr>
            <w:tcW w:w="1402"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(5,954,019 </w:t>
            </w:r>
          </w:p>
        </w:tc>
        <w:tc>
          <w:tcPr>
            <w:tcW w:w="156" w:type="dxa"/>
            <w:tcBorders/>
            <w:shd w:fill="cceeff"/>
            <w:tcMar>
              <w:top w:w="15" w:type="dxa"/>
              <w:left w:w="15" w:type="dxa"/>
              <w:bottom w:w="30"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r>
      <w:tr>
        <w:trPr>
          <w:trHeight w:val="255" w:hRule="atLeast"/>
        </w:trPr>
        <w:tc>
          <w:tcPr>
            <w:tcW w:w="3417" w:type="dxa"/>
            <w:tcBorders/>
            <w:tcMar>
              <w:top w:w="15" w:type="dxa"/>
              <w:left w:w="15" w:type="dxa"/>
              <w:bottom w:w="30" w:type="dxa"/>
              <w:right w:w="15" w:type="dxa"/>
            </w:tcMar>
            <w:vAlign w:val="top"/>
          </w:tcPr>
          <w:p>
            <w:pPr>
              <w:spacing w:before="0" w:after="0"/>
              <w:ind w:left="264"/>
              <w:jc w:val="left"/>
            </w:pPr>
            <w:r>
              <w:rPr>
                <w:rFonts w:ascii="Times New Roman" w:hAnsi="Times New Roman"/>
                <w:b/>
                <w:i w:val="false"/>
                <w:color w:val="000000"/>
                <w:sz w:val="20"/>
              </w:rPr>
              <w:t xml:space="preserve"> Total Comprehensive Loss </w:t>
            </w:r>
          </w:p>
        </w:tc>
        <w:tc>
          <w:tcPr>
            <w:tcW w:w="105" w:type="dxa"/>
            <w:tcBorders/>
            <w:tcMar>
              <w:top w:w="15" w:type="dxa"/>
              <w:left w:w="15" w:type="dxa"/>
              <w:bottom w:w="30" w:type="dxa"/>
              <w:right w:w="15" w:type="dxa"/>
            </w:tcMar>
            <w:vAlign w:val="bottom"/>
          </w:tcPr>
          <w:p/>
        </w:tc>
        <w:tc>
          <w:tcPr>
            <w:tcW w:w="105" w:type="dxa"/>
            <w:tcBorders>
              <w:bottom w:val="single" w:color="000000" w:sz="16"/>
            </w:tcBorders>
            <w:tcMar>
              <w:top w:w="15" w:type="dxa"/>
              <w:left w:w="15" w:type="dxa"/>
              <w:bottom w:w="15" w:type="dxa"/>
              <w:right w:w="15" w:type="dxa"/>
            </w:tcMar>
            <w:vAlign w:val="bottom"/>
          </w:tcPr>
          <w:p/>
        </w:tc>
        <w:tc>
          <w:tcPr>
            <w:tcW w:w="1206"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 </w:t>
            </w:r>
          </w:p>
        </w:tc>
        <w:tc>
          <w:tcPr>
            <w:tcW w:w="105" w:type="dxa"/>
            <w:tcBorders/>
            <w:tcMar>
              <w:top w:w="15" w:type="dxa"/>
              <w:left w:w="15" w:type="dxa"/>
              <w:bottom w:w="30" w:type="dxa"/>
              <w:right w:w="15" w:type="dxa"/>
            </w:tcMar>
            <w:vAlign w:val="bottom"/>
          </w:tcPr>
          <w:p/>
        </w:tc>
        <w:tc>
          <w:tcPr>
            <w:tcW w:w="105" w:type="dxa"/>
            <w:tcBorders/>
            <w:tcMar>
              <w:top w:w="15" w:type="dxa"/>
              <w:left w:w="15" w:type="dxa"/>
              <w:bottom w:w="30" w:type="dxa"/>
              <w:right w:w="15" w:type="dxa"/>
            </w:tcMar>
            <w:vAlign w:val="bottom"/>
          </w:tcPr>
          <w:p/>
        </w:tc>
        <w:tc>
          <w:tcPr>
            <w:tcW w:w="105" w:type="dxa"/>
            <w:tcBorders>
              <w:bottom w:val="single" w:color="000000" w:sz="16"/>
            </w:tcBorders>
            <w:tcMar>
              <w:top w:w="15" w:type="dxa"/>
              <w:left w:w="15" w:type="dxa"/>
              <w:bottom w:w="15" w:type="dxa"/>
              <w:right w:w="15" w:type="dxa"/>
            </w:tcMar>
            <w:vAlign w:val="bottom"/>
          </w:tcPr>
          <w:p/>
        </w:tc>
        <w:tc>
          <w:tcPr>
            <w:tcW w:w="1402"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 </w:t>
            </w:r>
          </w:p>
        </w:tc>
        <w:tc>
          <w:tcPr>
            <w:tcW w:w="156" w:type="dxa"/>
            <w:tcBorders/>
            <w:tcMar>
              <w:top w:w="15" w:type="dxa"/>
              <w:left w:w="15" w:type="dxa"/>
              <w:bottom w:w="30" w:type="dxa"/>
              <w:right w:w="15" w:type="dxa"/>
            </w:tcMar>
            <w:vAlign w:val="bottom"/>
          </w:tcPr>
          <w:p/>
        </w:tc>
        <w:tc>
          <w:tcPr>
            <w:tcW w:w="105" w:type="dxa"/>
            <w:tcBorders/>
            <w:tcMar>
              <w:top w:w="15" w:type="dxa"/>
              <w:left w:w="15" w:type="dxa"/>
              <w:bottom w:w="30" w:type="dxa"/>
              <w:right w:w="15" w:type="dxa"/>
            </w:tcMar>
            <w:vAlign w:val="bottom"/>
          </w:tcPr>
          <w:p/>
        </w:tc>
        <w:tc>
          <w:tcPr>
            <w:tcW w:w="106" w:type="dxa"/>
            <w:tcBorders>
              <w:bottom w:val="single" w:color="000000" w:sz="16"/>
            </w:tcBorders>
            <w:tcMar>
              <w:top w:w="15" w:type="dxa"/>
              <w:left w:w="15" w:type="dxa"/>
              <w:bottom w:w="15" w:type="dxa"/>
              <w:right w:w="15" w:type="dxa"/>
            </w:tcMar>
            <w:vAlign w:val="bottom"/>
          </w:tcPr>
          <w:p/>
        </w:tc>
        <w:tc>
          <w:tcPr>
            <w:tcW w:w="1269"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 </w:t>
            </w:r>
          </w:p>
        </w:tc>
        <w:tc>
          <w:tcPr>
            <w:tcW w:w="106" w:type="dxa"/>
            <w:tcBorders/>
            <w:tcMar>
              <w:top w:w="15" w:type="dxa"/>
              <w:left w:w="15" w:type="dxa"/>
              <w:bottom w:w="30" w:type="dxa"/>
              <w:right w:w="15" w:type="dxa"/>
            </w:tcMar>
            <w:vAlign w:val="bottom"/>
          </w:tcPr>
          <w:p/>
        </w:tc>
        <w:tc>
          <w:tcPr>
            <w:tcW w:w="106" w:type="dxa"/>
            <w:tcBorders/>
            <w:tcMar>
              <w:top w:w="15" w:type="dxa"/>
              <w:left w:w="15" w:type="dxa"/>
              <w:bottom w:w="30" w:type="dxa"/>
              <w:right w:w="15" w:type="dxa"/>
            </w:tcMar>
            <w:vAlign w:val="bottom"/>
          </w:tcPr>
          <w:p/>
        </w:tc>
        <w:tc>
          <w:tcPr>
            <w:tcW w:w="126" w:type="dxa"/>
            <w:tcBorders>
              <w:bottom w:val="single" w:color="000000" w:sz="16"/>
            </w:tcBorders>
            <w:tcMar>
              <w:top w:w="15" w:type="dxa"/>
              <w:left w:w="15" w:type="dxa"/>
              <w:bottom w:w="15" w:type="dxa"/>
              <w:right w:w="15" w:type="dxa"/>
            </w:tcMar>
            <w:vAlign w:val="bottom"/>
          </w:tcPr>
          <w:p/>
        </w:tc>
        <w:tc>
          <w:tcPr>
            <w:tcW w:w="1491"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(33,983,614 </w:t>
            </w:r>
          </w:p>
        </w:tc>
        <w:tc>
          <w:tcPr>
            <w:tcW w:w="156" w:type="dxa"/>
            <w:tcBorders/>
            <w:tcMar>
              <w:top w:w="15" w:type="dxa"/>
              <w:left w:w="15" w:type="dxa"/>
              <w:bottom w:w="30" w:type="dxa"/>
              <w:right w:w="15" w:type="dxa"/>
            </w:tcMar>
            <w:vAlign w:val="bottom"/>
          </w:tcPr>
          <w:p>
            <w:pPr>
              <w:spacing w:before="0" w:after="0"/>
              <w:ind w:left="120"/>
              <w:jc w:val="left"/>
            </w:pPr>
            <w:r>
              <w:rPr>
                <w:rFonts w:ascii="Times New Roman" w:hAnsi="Times New Roman"/>
                <w:b/>
                <w:i w:val="false"/>
                <w:color w:val="000000"/>
                <w:sz w:val="20"/>
              </w:rPr>
              <w:t xml:space="preserve"> ) </w:t>
            </w:r>
          </w:p>
        </w:tc>
        <w:tc>
          <w:tcPr>
            <w:tcW w:w="106" w:type="dxa"/>
            <w:tcBorders/>
            <w:tcMar>
              <w:top w:w="15" w:type="dxa"/>
              <w:left w:w="15" w:type="dxa"/>
              <w:bottom w:w="30" w:type="dxa"/>
              <w:right w:w="15" w:type="dxa"/>
            </w:tcMar>
            <w:vAlign w:val="bottom"/>
          </w:tcPr>
          <w:p/>
        </w:tc>
        <w:tc>
          <w:tcPr>
            <w:tcW w:w="143" w:type="dxa"/>
            <w:tcBorders>
              <w:bottom w:val="single" w:color="000000" w:sz="16"/>
            </w:tcBorders>
            <w:tcMar>
              <w:top w:w="15" w:type="dxa"/>
              <w:left w:w="15" w:type="dxa"/>
              <w:bottom w:w="15" w:type="dxa"/>
              <w:right w:w="15" w:type="dxa"/>
            </w:tcMar>
            <w:vAlign w:val="bottom"/>
          </w:tcPr>
          <w:p/>
        </w:tc>
        <w:tc>
          <w:tcPr>
            <w:tcW w:w="1288"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(5,954,019 </w:t>
            </w:r>
          </w:p>
        </w:tc>
        <w:tc>
          <w:tcPr>
            <w:tcW w:w="156" w:type="dxa"/>
            <w:tcBorders/>
            <w:tcMar>
              <w:top w:w="15" w:type="dxa"/>
              <w:left w:w="15" w:type="dxa"/>
              <w:bottom w:w="30" w:type="dxa"/>
              <w:right w:w="15" w:type="dxa"/>
            </w:tcMar>
            <w:vAlign w:val="bottom"/>
          </w:tcPr>
          <w:p>
            <w:pPr>
              <w:spacing w:before="0" w:after="0"/>
              <w:ind w:left="120"/>
              <w:jc w:val="left"/>
            </w:pPr>
            <w:r>
              <w:rPr>
                <w:rFonts w:ascii="Times New Roman" w:hAnsi="Times New Roman"/>
                <w:b/>
                <w:i w:val="false"/>
                <w:color w:val="000000"/>
                <w:sz w:val="20"/>
              </w:rPr>
              <w:t xml:space="preserve"> ) </w:t>
            </w:r>
          </w:p>
        </w:tc>
        <w:tc>
          <w:tcPr>
            <w:tcW w:w="106" w:type="dxa"/>
            <w:tcBorders/>
            <w:tcMar>
              <w:top w:w="15" w:type="dxa"/>
              <w:left w:w="15" w:type="dxa"/>
              <w:bottom w:w="30" w:type="dxa"/>
              <w:right w:w="15" w:type="dxa"/>
            </w:tcMar>
            <w:vAlign w:val="bottom"/>
          </w:tcPr>
          <w:p/>
        </w:tc>
        <w:tc>
          <w:tcPr>
            <w:tcW w:w="106" w:type="dxa"/>
            <w:tcBorders>
              <w:bottom w:val="single" w:color="000000" w:sz="16"/>
            </w:tcBorders>
            <w:tcMar>
              <w:top w:w="15" w:type="dxa"/>
              <w:left w:w="15" w:type="dxa"/>
              <w:bottom w:w="15" w:type="dxa"/>
              <w:right w:w="15" w:type="dxa"/>
            </w:tcMar>
            <w:vAlign w:val="bottom"/>
          </w:tcPr>
          <w:p/>
        </w:tc>
        <w:tc>
          <w:tcPr>
            <w:tcW w:w="1402"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(39,937,633 </w:t>
            </w:r>
          </w:p>
        </w:tc>
        <w:tc>
          <w:tcPr>
            <w:tcW w:w="156" w:type="dxa"/>
            <w:tcBorders/>
            <w:tcMar>
              <w:top w:w="15" w:type="dxa"/>
              <w:left w:w="15" w:type="dxa"/>
              <w:bottom w:w="30" w:type="dxa"/>
              <w:right w:w="15" w:type="dxa"/>
            </w:tcMar>
            <w:vAlign w:val="bottom"/>
          </w:tcPr>
          <w:p>
            <w:pPr>
              <w:spacing w:before="0" w:after="0"/>
              <w:ind w:left="120"/>
              <w:jc w:val="left"/>
            </w:pPr>
            <w:r>
              <w:rPr>
                <w:rFonts w:ascii="Times New Roman" w:hAnsi="Times New Roman"/>
                <w:b/>
                <w:i w:val="false"/>
                <w:color w:val="000000"/>
                <w:sz w:val="20"/>
              </w:rPr>
              <w:t xml:space="preserve"> ) </w:t>
            </w:r>
          </w:p>
        </w:tc>
      </w:tr>
      <w:tr>
        <w:trPr>
          <w:trHeight w:val="210" w:hRule="atLeast"/>
        </w:trPr>
        <w:tc>
          <w:tcPr>
            <w:tcW w:w="3417" w:type="dxa"/>
            <w:tcBorders/>
            <w:shd w:fill="cceeff"/>
            <w:tcMar>
              <w:top w:w="15" w:type="dxa"/>
              <w:left w:w="15" w:type="dxa"/>
              <w:bottom w:w="15" w:type="dxa"/>
              <w:right w:w="15" w:type="dxa"/>
            </w:tcMar>
            <w:vAlign w:val="top"/>
          </w:tcPr>
          <w:p>
            <w:pPr>
              <w:spacing w:before="0" w:after="0"/>
              <w:ind w:left="264"/>
              <w:jc w:val="left"/>
            </w:pPr>
            <w:r>
              <w:rPr>
                <w:rFonts w:ascii="Times New Roman" w:hAnsi="Times New Roman"/>
                <w:b w:val="false"/>
                <w:i w:val="false"/>
                <w:color w:val="000000"/>
                <w:sz w:val="20"/>
              </w:rPr>
              <w:t xml:space="preserve"> Issuance of common shares </w:t>
            </w:r>
          </w:p>
        </w:tc>
        <w:tc>
          <w:tcPr>
            <w:tcW w:w="105" w:type="dxa"/>
            <w:tcBorders/>
            <w:shd w:fill="cceeff"/>
            <w:tcMar>
              <w:top w:w="15" w:type="dxa"/>
              <w:left w:w="15" w:type="dxa"/>
              <w:bottom w:w="15" w:type="dxa"/>
              <w:right w:w="15" w:type="dxa"/>
            </w:tcMar>
            <w:vAlign w:val="bottom"/>
          </w:tcPr>
          <w:p/>
        </w:tc>
        <w:tc>
          <w:tcPr>
            <w:tcW w:w="105" w:type="dxa"/>
            <w:tcBorders/>
            <w:shd w:fill="cceeff"/>
            <w:tcMar>
              <w:top w:w="15" w:type="dxa"/>
              <w:left w:w="15" w:type="dxa"/>
              <w:bottom w:w="15" w:type="dxa"/>
              <w:right w:w="15" w:type="dxa"/>
            </w:tcMar>
            <w:vAlign w:val="bottom"/>
          </w:tcPr>
          <w:p/>
        </w:tc>
        <w:tc>
          <w:tcPr>
            <w:tcW w:w="1206"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234,982 </w:t>
            </w:r>
          </w:p>
        </w:tc>
        <w:tc>
          <w:tcPr>
            <w:tcW w:w="105" w:type="dxa"/>
            <w:tcBorders/>
            <w:shd w:fill="cceeff"/>
            <w:tcMar>
              <w:top w:w="15" w:type="dxa"/>
              <w:left w:w="15" w:type="dxa"/>
              <w:bottom w:w="15" w:type="dxa"/>
              <w:right w:w="15" w:type="dxa"/>
            </w:tcMar>
            <w:vAlign w:val="bottom"/>
          </w:tcPr>
          <w:p/>
        </w:tc>
        <w:tc>
          <w:tcPr>
            <w:tcW w:w="105" w:type="dxa"/>
            <w:tcBorders/>
            <w:shd w:fill="cceeff"/>
            <w:tcMar>
              <w:top w:w="15" w:type="dxa"/>
              <w:left w:w="15" w:type="dxa"/>
              <w:bottom w:w="15" w:type="dxa"/>
              <w:right w:w="15" w:type="dxa"/>
            </w:tcMar>
            <w:vAlign w:val="bottom"/>
          </w:tcPr>
          <w:p/>
        </w:tc>
        <w:tc>
          <w:tcPr>
            <w:tcW w:w="105" w:type="dxa"/>
            <w:tcBorders/>
            <w:shd w:fill="cceeff"/>
            <w:tcMar>
              <w:top w:w="15" w:type="dxa"/>
              <w:left w:w="15" w:type="dxa"/>
              <w:bottom w:w="15" w:type="dxa"/>
              <w:right w:w="15" w:type="dxa"/>
            </w:tcMar>
            <w:vAlign w:val="bottom"/>
          </w:tcPr>
          <w:p/>
        </w:tc>
        <w:tc>
          <w:tcPr>
            <w:tcW w:w="1402"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9,535,961 </w:t>
            </w:r>
          </w:p>
        </w:tc>
        <w:tc>
          <w:tcPr>
            <w:tcW w:w="156" w:type="dxa"/>
            <w:tcBorders/>
            <w:shd w:fill="cceeff"/>
            <w:tcMar>
              <w:top w:w="15" w:type="dxa"/>
              <w:left w:w="15" w:type="dxa"/>
              <w:bottom w:w="15" w:type="dxa"/>
              <w:right w:w="15" w:type="dxa"/>
            </w:tcMar>
            <w:vAlign w:val="bottom"/>
          </w:tcPr>
          <w:p/>
        </w:tc>
        <w:tc>
          <w:tcPr>
            <w:tcW w:w="105" w:type="dxa"/>
            <w:tcBorders/>
            <w:shd w:fill="cceeff"/>
            <w:tcMar>
              <w:top w:w="15" w:type="dxa"/>
              <w:left w:w="15" w:type="dxa"/>
              <w:bottom w:w="15" w:type="dxa"/>
              <w:right w:w="15" w:type="dxa"/>
            </w:tcMar>
            <w:vAlign w:val="bottom"/>
          </w:tcPr>
          <w:p/>
        </w:tc>
        <w:tc>
          <w:tcPr>
            <w:tcW w:w="106" w:type="dxa"/>
            <w:tcBorders/>
            <w:shd w:fill="cceeff"/>
            <w:tcMar>
              <w:top w:w="15" w:type="dxa"/>
              <w:left w:w="15" w:type="dxa"/>
              <w:bottom w:w="15" w:type="dxa"/>
              <w:right w:w="15" w:type="dxa"/>
            </w:tcMar>
            <w:vAlign w:val="bottom"/>
          </w:tcPr>
          <w:p/>
        </w:tc>
        <w:tc>
          <w:tcPr>
            <w:tcW w:w="1269"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06" w:type="dxa"/>
            <w:tcBorders/>
            <w:shd w:fill="cceeff"/>
            <w:tcMar>
              <w:top w:w="15" w:type="dxa"/>
              <w:left w:w="15" w:type="dxa"/>
              <w:bottom w:w="15" w:type="dxa"/>
              <w:right w:w="15" w:type="dxa"/>
            </w:tcMar>
            <w:vAlign w:val="bottom"/>
          </w:tcPr>
          <w:p/>
        </w:tc>
        <w:tc>
          <w:tcPr>
            <w:tcW w:w="106" w:type="dxa"/>
            <w:tcBorders/>
            <w:shd w:fill="cceeff"/>
            <w:tcMar>
              <w:top w:w="15" w:type="dxa"/>
              <w:left w:w="15" w:type="dxa"/>
              <w:bottom w:w="15" w:type="dxa"/>
              <w:right w:w="15" w:type="dxa"/>
            </w:tcMar>
            <w:vAlign w:val="bottom"/>
          </w:tcPr>
          <w:p/>
        </w:tc>
        <w:tc>
          <w:tcPr>
            <w:tcW w:w="126" w:type="dxa"/>
            <w:tcBorders/>
            <w:shd w:fill="cceeff"/>
            <w:tcMar>
              <w:top w:w="15" w:type="dxa"/>
              <w:left w:w="15" w:type="dxa"/>
              <w:bottom w:w="15" w:type="dxa"/>
              <w:right w:w="15" w:type="dxa"/>
            </w:tcMar>
            <w:vAlign w:val="bottom"/>
          </w:tcPr>
          <w:p/>
        </w:tc>
        <w:tc>
          <w:tcPr>
            <w:tcW w:w="1491"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56" w:type="dxa"/>
            <w:tcBorders/>
            <w:shd w:fill="cceeff"/>
            <w:tcMar>
              <w:top w:w="15" w:type="dxa"/>
              <w:left w:w="15" w:type="dxa"/>
              <w:bottom w:w="15" w:type="dxa"/>
              <w:right w:w="15" w:type="dxa"/>
            </w:tcMar>
            <w:vAlign w:val="bottom"/>
          </w:tcPr>
          <w:p/>
        </w:tc>
        <w:tc>
          <w:tcPr>
            <w:tcW w:w="106" w:type="dxa"/>
            <w:tcBorders/>
            <w:shd w:fill="cceeff"/>
            <w:tcMar>
              <w:top w:w="15" w:type="dxa"/>
              <w:left w:w="15" w:type="dxa"/>
              <w:bottom w:w="15" w:type="dxa"/>
              <w:right w:w="15" w:type="dxa"/>
            </w:tcMar>
            <w:vAlign w:val="bottom"/>
          </w:tcPr>
          <w:p/>
        </w:tc>
        <w:tc>
          <w:tcPr>
            <w:tcW w:w="143" w:type="dxa"/>
            <w:tcBorders/>
            <w:shd w:fill="cceeff"/>
            <w:tcMar>
              <w:top w:w="15" w:type="dxa"/>
              <w:left w:w="15" w:type="dxa"/>
              <w:bottom w:w="15" w:type="dxa"/>
              <w:right w:w="15" w:type="dxa"/>
            </w:tcMar>
            <w:vAlign w:val="bottom"/>
          </w:tcPr>
          <w:p/>
        </w:tc>
        <w:tc>
          <w:tcPr>
            <w:tcW w:w="1288"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56" w:type="dxa"/>
            <w:tcBorders/>
            <w:shd w:fill="cceeff"/>
            <w:tcMar>
              <w:top w:w="15" w:type="dxa"/>
              <w:left w:w="15" w:type="dxa"/>
              <w:bottom w:w="15" w:type="dxa"/>
              <w:right w:w="15" w:type="dxa"/>
            </w:tcMar>
            <w:vAlign w:val="bottom"/>
          </w:tcPr>
          <w:p/>
        </w:tc>
        <w:tc>
          <w:tcPr>
            <w:tcW w:w="106" w:type="dxa"/>
            <w:tcBorders/>
            <w:shd w:fill="cceeff"/>
            <w:tcMar>
              <w:top w:w="15" w:type="dxa"/>
              <w:left w:w="15" w:type="dxa"/>
              <w:bottom w:w="15" w:type="dxa"/>
              <w:right w:w="15" w:type="dxa"/>
            </w:tcMar>
            <w:vAlign w:val="bottom"/>
          </w:tcPr>
          <w:p/>
        </w:tc>
        <w:tc>
          <w:tcPr>
            <w:tcW w:w="106" w:type="dxa"/>
            <w:tcBorders/>
            <w:shd w:fill="cceeff"/>
            <w:tcMar>
              <w:top w:w="15" w:type="dxa"/>
              <w:left w:w="15" w:type="dxa"/>
              <w:bottom w:w="15" w:type="dxa"/>
              <w:right w:w="15" w:type="dxa"/>
            </w:tcMar>
            <w:vAlign w:val="bottom"/>
          </w:tcPr>
          <w:p/>
        </w:tc>
        <w:tc>
          <w:tcPr>
            <w:tcW w:w="1402"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9,770,943 </w:t>
            </w:r>
          </w:p>
        </w:tc>
        <w:tc>
          <w:tcPr>
            <w:tcW w:w="156" w:type="dxa"/>
            <w:tcBorders/>
            <w:shd w:fill="cceeff"/>
            <w:tcMar>
              <w:top w:w="15" w:type="dxa"/>
              <w:left w:w="15" w:type="dxa"/>
              <w:bottom w:w="15" w:type="dxa"/>
              <w:right w:w="15" w:type="dxa"/>
            </w:tcMar>
            <w:vAlign w:val="bottom"/>
          </w:tcPr>
          <w:p/>
        </w:tc>
      </w:tr>
      <w:tr>
        <w:trPr>
          <w:trHeight w:val="210" w:hRule="atLeast"/>
        </w:trPr>
        <w:tc>
          <w:tcPr>
            <w:tcW w:w="3417" w:type="dxa"/>
            <w:tcBorders/>
            <w:tcMar>
              <w:top w:w="15" w:type="dxa"/>
              <w:left w:w="15" w:type="dxa"/>
              <w:bottom w:w="15" w:type="dxa"/>
              <w:right w:w="15" w:type="dxa"/>
            </w:tcMar>
            <w:vAlign w:val="top"/>
          </w:tcPr>
          <w:p>
            <w:pPr>
              <w:spacing w:before="0" w:after="0"/>
              <w:ind w:left="264"/>
              <w:jc w:val="left"/>
            </w:pPr>
            <w:r>
              <w:rPr>
                <w:rFonts w:ascii="Times New Roman" w:hAnsi="Times New Roman"/>
                <w:b w:val="false"/>
                <w:i w:val="false"/>
                <w:color w:val="000000"/>
                <w:sz w:val="20"/>
              </w:rPr>
              <w:t xml:space="preserve"> Transaction costs </w:t>
            </w:r>
          </w:p>
        </w:tc>
        <w:tc>
          <w:tcPr>
            <w:tcW w:w="105" w:type="dxa"/>
            <w:tcBorders/>
            <w:tcMar>
              <w:top w:w="15" w:type="dxa"/>
              <w:left w:w="15" w:type="dxa"/>
              <w:bottom w:w="15" w:type="dxa"/>
              <w:right w:w="15" w:type="dxa"/>
            </w:tcMar>
            <w:vAlign w:val="bottom"/>
          </w:tcPr>
          <w:p/>
        </w:tc>
        <w:tc>
          <w:tcPr>
            <w:tcW w:w="105" w:type="dxa"/>
            <w:tcBorders/>
            <w:tcMar>
              <w:top w:w="15" w:type="dxa"/>
              <w:left w:w="15" w:type="dxa"/>
              <w:bottom w:w="15" w:type="dxa"/>
              <w:right w:w="15" w:type="dxa"/>
            </w:tcMar>
            <w:vAlign w:val="bottom"/>
          </w:tcPr>
          <w:p/>
        </w:tc>
        <w:tc>
          <w:tcPr>
            <w:tcW w:w="1206"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05" w:type="dxa"/>
            <w:tcBorders/>
            <w:tcMar>
              <w:top w:w="15" w:type="dxa"/>
              <w:left w:w="15" w:type="dxa"/>
              <w:bottom w:w="15" w:type="dxa"/>
              <w:right w:w="15" w:type="dxa"/>
            </w:tcMar>
            <w:vAlign w:val="bottom"/>
          </w:tcPr>
          <w:p/>
        </w:tc>
        <w:tc>
          <w:tcPr>
            <w:tcW w:w="105" w:type="dxa"/>
            <w:tcBorders/>
            <w:tcMar>
              <w:top w:w="15" w:type="dxa"/>
              <w:left w:w="15" w:type="dxa"/>
              <w:bottom w:w="15" w:type="dxa"/>
              <w:right w:w="15" w:type="dxa"/>
            </w:tcMar>
            <w:vAlign w:val="bottom"/>
          </w:tcPr>
          <w:p/>
        </w:tc>
        <w:tc>
          <w:tcPr>
            <w:tcW w:w="105" w:type="dxa"/>
            <w:tcBorders/>
            <w:tcMar>
              <w:top w:w="15" w:type="dxa"/>
              <w:left w:w="15" w:type="dxa"/>
              <w:bottom w:w="15" w:type="dxa"/>
              <w:right w:w="15" w:type="dxa"/>
            </w:tcMar>
            <w:vAlign w:val="bottom"/>
          </w:tcPr>
          <w:p/>
        </w:tc>
        <w:tc>
          <w:tcPr>
            <w:tcW w:w="1402"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(729,840 </w:t>
            </w:r>
          </w:p>
        </w:tc>
        <w:tc>
          <w:tcPr>
            <w:tcW w:w="156" w:type="dxa"/>
            <w:tcBorders/>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c>
          <w:tcPr>
            <w:tcW w:w="105" w:type="dxa"/>
            <w:tcBorders/>
            <w:tcMar>
              <w:top w:w="15" w:type="dxa"/>
              <w:left w:w="15" w:type="dxa"/>
              <w:bottom w:w="15" w:type="dxa"/>
              <w:right w:w="15" w:type="dxa"/>
            </w:tcMar>
            <w:vAlign w:val="bottom"/>
          </w:tcPr>
          <w:p/>
        </w:tc>
        <w:tc>
          <w:tcPr>
            <w:tcW w:w="106" w:type="dxa"/>
            <w:tcBorders/>
            <w:tcMar>
              <w:top w:w="15" w:type="dxa"/>
              <w:left w:w="15" w:type="dxa"/>
              <w:bottom w:w="15" w:type="dxa"/>
              <w:right w:w="15" w:type="dxa"/>
            </w:tcMar>
            <w:vAlign w:val="bottom"/>
          </w:tcPr>
          <w:p/>
        </w:tc>
        <w:tc>
          <w:tcPr>
            <w:tcW w:w="1269"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06" w:type="dxa"/>
            <w:tcBorders/>
            <w:tcMar>
              <w:top w:w="15" w:type="dxa"/>
              <w:left w:w="15" w:type="dxa"/>
              <w:bottom w:w="15" w:type="dxa"/>
              <w:right w:w="15" w:type="dxa"/>
            </w:tcMar>
            <w:vAlign w:val="bottom"/>
          </w:tcPr>
          <w:p/>
        </w:tc>
        <w:tc>
          <w:tcPr>
            <w:tcW w:w="106" w:type="dxa"/>
            <w:tcBorders/>
            <w:tcMar>
              <w:top w:w="15" w:type="dxa"/>
              <w:left w:w="15" w:type="dxa"/>
              <w:bottom w:w="15" w:type="dxa"/>
              <w:right w:w="15" w:type="dxa"/>
            </w:tcMar>
            <w:vAlign w:val="bottom"/>
          </w:tcPr>
          <w:p/>
        </w:tc>
        <w:tc>
          <w:tcPr>
            <w:tcW w:w="126" w:type="dxa"/>
            <w:tcBorders/>
            <w:tcMar>
              <w:top w:w="15" w:type="dxa"/>
              <w:left w:w="15" w:type="dxa"/>
              <w:bottom w:w="15" w:type="dxa"/>
              <w:right w:w="15" w:type="dxa"/>
            </w:tcMar>
            <w:vAlign w:val="bottom"/>
          </w:tcPr>
          <w:p/>
        </w:tc>
        <w:tc>
          <w:tcPr>
            <w:tcW w:w="1491"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56" w:type="dxa"/>
            <w:tcBorders/>
            <w:tcMar>
              <w:top w:w="15" w:type="dxa"/>
              <w:left w:w="15" w:type="dxa"/>
              <w:bottom w:w="15" w:type="dxa"/>
              <w:right w:w="15" w:type="dxa"/>
            </w:tcMar>
            <w:vAlign w:val="bottom"/>
          </w:tcPr>
          <w:p/>
        </w:tc>
        <w:tc>
          <w:tcPr>
            <w:tcW w:w="106" w:type="dxa"/>
            <w:tcBorders/>
            <w:tcMar>
              <w:top w:w="15" w:type="dxa"/>
              <w:left w:w="15" w:type="dxa"/>
              <w:bottom w:w="15" w:type="dxa"/>
              <w:right w:w="15" w:type="dxa"/>
            </w:tcMar>
            <w:vAlign w:val="bottom"/>
          </w:tcPr>
          <w:p/>
        </w:tc>
        <w:tc>
          <w:tcPr>
            <w:tcW w:w="143" w:type="dxa"/>
            <w:tcBorders/>
            <w:tcMar>
              <w:top w:w="15" w:type="dxa"/>
              <w:left w:w="15" w:type="dxa"/>
              <w:bottom w:w="15" w:type="dxa"/>
              <w:right w:w="15" w:type="dxa"/>
            </w:tcMar>
            <w:vAlign w:val="bottom"/>
          </w:tcPr>
          <w:p/>
        </w:tc>
        <w:tc>
          <w:tcPr>
            <w:tcW w:w="1288"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56" w:type="dxa"/>
            <w:tcBorders/>
            <w:tcMar>
              <w:top w:w="15" w:type="dxa"/>
              <w:left w:w="15" w:type="dxa"/>
              <w:bottom w:w="15" w:type="dxa"/>
              <w:right w:w="15" w:type="dxa"/>
            </w:tcMar>
            <w:vAlign w:val="bottom"/>
          </w:tcPr>
          <w:p/>
        </w:tc>
        <w:tc>
          <w:tcPr>
            <w:tcW w:w="106" w:type="dxa"/>
            <w:tcBorders/>
            <w:tcMar>
              <w:top w:w="15" w:type="dxa"/>
              <w:left w:w="15" w:type="dxa"/>
              <w:bottom w:w="15" w:type="dxa"/>
              <w:right w:w="15" w:type="dxa"/>
            </w:tcMar>
            <w:vAlign w:val="bottom"/>
          </w:tcPr>
          <w:p/>
        </w:tc>
        <w:tc>
          <w:tcPr>
            <w:tcW w:w="106" w:type="dxa"/>
            <w:tcBorders/>
            <w:tcMar>
              <w:top w:w="15" w:type="dxa"/>
              <w:left w:w="15" w:type="dxa"/>
              <w:bottom w:w="15" w:type="dxa"/>
              <w:right w:w="15" w:type="dxa"/>
            </w:tcMar>
            <w:vAlign w:val="bottom"/>
          </w:tcPr>
          <w:p/>
        </w:tc>
        <w:tc>
          <w:tcPr>
            <w:tcW w:w="1402"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(729,840 </w:t>
            </w:r>
          </w:p>
        </w:tc>
        <w:tc>
          <w:tcPr>
            <w:tcW w:w="156" w:type="dxa"/>
            <w:tcBorders/>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r>
      <w:tr>
        <w:trPr>
          <w:trHeight w:val="435" w:hRule="atLeast"/>
        </w:trPr>
        <w:tc>
          <w:tcPr>
            <w:tcW w:w="3417" w:type="dxa"/>
            <w:tcBorders/>
            <w:shd w:fill="cceeff"/>
            <w:tcMar>
              <w:top w:w="15" w:type="dxa"/>
              <w:left w:w="15" w:type="dxa"/>
              <w:bottom w:w="15" w:type="dxa"/>
              <w:right w:w="15" w:type="dxa"/>
            </w:tcMar>
            <w:vAlign w:val="top"/>
          </w:tcPr>
          <w:p>
            <w:pPr>
              <w:spacing w:before="0" w:after="0"/>
              <w:ind w:left="264"/>
              <w:jc w:val="left"/>
            </w:pPr>
            <w:r>
              <w:rPr>
                <w:rFonts w:ascii="Times New Roman" w:hAnsi="Times New Roman"/>
                <w:b w:val="false"/>
                <w:i w:val="false"/>
                <w:color w:val="000000"/>
                <w:sz w:val="20"/>
              </w:rPr>
              <w:t xml:space="preserve"> Equity-settled share-based pay-ments </w:t>
            </w:r>
          </w:p>
        </w:tc>
        <w:tc>
          <w:tcPr>
            <w:tcW w:w="105" w:type="dxa"/>
            <w:tcBorders/>
            <w:shd w:fill="cceeff"/>
            <w:tcMar>
              <w:top w:w="15" w:type="dxa"/>
              <w:left w:w="15" w:type="dxa"/>
              <w:bottom w:w="15" w:type="dxa"/>
              <w:right w:w="15" w:type="dxa"/>
            </w:tcMar>
            <w:vAlign w:val="bottom"/>
          </w:tcPr>
          <w:p/>
        </w:tc>
        <w:tc>
          <w:tcPr>
            <w:tcW w:w="105" w:type="dxa"/>
            <w:tcBorders/>
            <w:shd w:fill="cceeff"/>
            <w:tcMar>
              <w:top w:w="15" w:type="dxa"/>
              <w:left w:w="15" w:type="dxa"/>
              <w:bottom w:w="15" w:type="dxa"/>
              <w:right w:w="15" w:type="dxa"/>
            </w:tcMar>
            <w:vAlign w:val="bottom"/>
          </w:tcPr>
          <w:p/>
        </w:tc>
        <w:tc>
          <w:tcPr>
            <w:tcW w:w="1206"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05" w:type="dxa"/>
            <w:tcBorders/>
            <w:shd w:fill="cceeff"/>
            <w:tcMar>
              <w:top w:w="15" w:type="dxa"/>
              <w:left w:w="15" w:type="dxa"/>
              <w:bottom w:w="15" w:type="dxa"/>
              <w:right w:w="15" w:type="dxa"/>
            </w:tcMar>
            <w:vAlign w:val="bottom"/>
          </w:tcPr>
          <w:p/>
        </w:tc>
        <w:tc>
          <w:tcPr>
            <w:tcW w:w="105" w:type="dxa"/>
            <w:tcBorders/>
            <w:shd w:fill="cceeff"/>
            <w:tcMar>
              <w:top w:w="15" w:type="dxa"/>
              <w:left w:w="15" w:type="dxa"/>
              <w:bottom w:w="15" w:type="dxa"/>
              <w:right w:w="15" w:type="dxa"/>
            </w:tcMar>
            <w:vAlign w:val="bottom"/>
          </w:tcPr>
          <w:p/>
        </w:tc>
        <w:tc>
          <w:tcPr>
            <w:tcW w:w="105" w:type="dxa"/>
            <w:tcBorders/>
            <w:shd w:fill="cceeff"/>
            <w:tcMar>
              <w:top w:w="15" w:type="dxa"/>
              <w:left w:w="15" w:type="dxa"/>
              <w:bottom w:w="15" w:type="dxa"/>
              <w:right w:w="15" w:type="dxa"/>
            </w:tcMar>
            <w:vAlign w:val="bottom"/>
          </w:tcPr>
          <w:p/>
        </w:tc>
        <w:tc>
          <w:tcPr>
            <w:tcW w:w="1402"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56" w:type="dxa"/>
            <w:tcBorders/>
            <w:shd w:fill="cceeff"/>
            <w:tcMar>
              <w:top w:w="15" w:type="dxa"/>
              <w:left w:w="15" w:type="dxa"/>
              <w:bottom w:w="15" w:type="dxa"/>
              <w:right w:w="15" w:type="dxa"/>
            </w:tcMar>
            <w:vAlign w:val="bottom"/>
          </w:tcPr>
          <w:p/>
        </w:tc>
        <w:tc>
          <w:tcPr>
            <w:tcW w:w="105" w:type="dxa"/>
            <w:tcBorders/>
            <w:shd w:fill="cceeff"/>
            <w:tcMar>
              <w:top w:w="15" w:type="dxa"/>
              <w:left w:w="15" w:type="dxa"/>
              <w:bottom w:w="15" w:type="dxa"/>
              <w:right w:w="15" w:type="dxa"/>
            </w:tcMar>
            <w:vAlign w:val="bottom"/>
          </w:tcPr>
          <w:p/>
        </w:tc>
        <w:tc>
          <w:tcPr>
            <w:tcW w:w="106" w:type="dxa"/>
            <w:tcBorders/>
            <w:shd w:fill="cceeff"/>
            <w:tcMar>
              <w:top w:w="15" w:type="dxa"/>
              <w:left w:w="15" w:type="dxa"/>
              <w:bottom w:w="15" w:type="dxa"/>
              <w:right w:w="15" w:type="dxa"/>
            </w:tcMar>
            <w:vAlign w:val="bottom"/>
          </w:tcPr>
          <w:p/>
        </w:tc>
        <w:tc>
          <w:tcPr>
            <w:tcW w:w="1269"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1,116,791 </w:t>
            </w:r>
          </w:p>
        </w:tc>
        <w:tc>
          <w:tcPr>
            <w:tcW w:w="106" w:type="dxa"/>
            <w:tcBorders/>
            <w:shd w:fill="cceeff"/>
            <w:tcMar>
              <w:top w:w="15" w:type="dxa"/>
              <w:left w:w="15" w:type="dxa"/>
              <w:bottom w:w="15" w:type="dxa"/>
              <w:right w:w="15" w:type="dxa"/>
            </w:tcMar>
            <w:vAlign w:val="bottom"/>
          </w:tcPr>
          <w:p/>
        </w:tc>
        <w:tc>
          <w:tcPr>
            <w:tcW w:w="106" w:type="dxa"/>
            <w:tcBorders/>
            <w:shd w:fill="cceeff"/>
            <w:tcMar>
              <w:top w:w="15" w:type="dxa"/>
              <w:left w:w="15" w:type="dxa"/>
              <w:bottom w:w="15" w:type="dxa"/>
              <w:right w:w="15" w:type="dxa"/>
            </w:tcMar>
            <w:vAlign w:val="bottom"/>
          </w:tcPr>
          <w:p/>
        </w:tc>
        <w:tc>
          <w:tcPr>
            <w:tcW w:w="126" w:type="dxa"/>
            <w:tcBorders/>
            <w:shd w:fill="cceeff"/>
            <w:tcMar>
              <w:top w:w="15" w:type="dxa"/>
              <w:left w:w="15" w:type="dxa"/>
              <w:bottom w:w="15" w:type="dxa"/>
              <w:right w:w="15" w:type="dxa"/>
            </w:tcMar>
            <w:vAlign w:val="bottom"/>
          </w:tcPr>
          <w:p/>
        </w:tc>
        <w:tc>
          <w:tcPr>
            <w:tcW w:w="1491"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56" w:type="dxa"/>
            <w:tcBorders/>
            <w:shd w:fill="cceeff"/>
            <w:tcMar>
              <w:top w:w="15" w:type="dxa"/>
              <w:left w:w="15" w:type="dxa"/>
              <w:bottom w:w="15" w:type="dxa"/>
              <w:right w:w="15" w:type="dxa"/>
            </w:tcMar>
            <w:vAlign w:val="bottom"/>
          </w:tcPr>
          <w:p/>
        </w:tc>
        <w:tc>
          <w:tcPr>
            <w:tcW w:w="106" w:type="dxa"/>
            <w:tcBorders/>
            <w:shd w:fill="cceeff"/>
            <w:tcMar>
              <w:top w:w="15" w:type="dxa"/>
              <w:left w:w="15" w:type="dxa"/>
              <w:bottom w:w="15" w:type="dxa"/>
              <w:right w:w="15" w:type="dxa"/>
            </w:tcMar>
            <w:vAlign w:val="bottom"/>
          </w:tcPr>
          <w:p/>
        </w:tc>
        <w:tc>
          <w:tcPr>
            <w:tcW w:w="143" w:type="dxa"/>
            <w:tcBorders/>
            <w:shd w:fill="cceeff"/>
            <w:tcMar>
              <w:top w:w="15" w:type="dxa"/>
              <w:left w:w="15" w:type="dxa"/>
              <w:bottom w:w="15" w:type="dxa"/>
              <w:right w:w="15" w:type="dxa"/>
            </w:tcMar>
            <w:vAlign w:val="bottom"/>
          </w:tcPr>
          <w:p/>
        </w:tc>
        <w:tc>
          <w:tcPr>
            <w:tcW w:w="1288"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56" w:type="dxa"/>
            <w:tcBorders/>
            <w:shd w:fill="cceeff"/>
            <w:tcMar>
              <w:top w:w="15" w:type="dxa"/>
              <w:left w:w="15" w:type="dxa"/>
              <w:bottom w:w="15" w:type="dxa"/>
              <w:right w:w="15" w:type="dxa"/>
            </w:tcMar>
            <w:vAlign w:val="bottom"/>
          </w:tcPr>
          <w:p/>
        </w:tc>
        <w:tc>
          <w:tcPr>
            <w:tcW w:w="106" w:type="dxa"/>
            <w:tcBorders/>
            <w:shd w:fill="cceeff"/>
            <w:tcMar>
              <w:top w:w="15" w:type="dxa"/>
              <w:left w:w="15" w:type="dxa"/>
              <w:bottom w:w="15" w:type="dxa"/>
              <w:right w:w="15" w:type="dxa"/>
            </w:tcMar>
            <w:vAlign w:val="bottom"/>
          </w:tcPr>
          <w:p/>
        </w:tc>
        <w:tc>
          <w:tcPr>
            <w:tcW w:w="106" w:type="dxa"/>
            <w:tcBorders/>
            <w:shd w:fill="cceeff"/>
            <w:tcMar>
              <w:top w:w="15" w:type="dxa"/>
              <w:left w:w="15" w:type="dxa"/>
              <w:bottom w:w="15" w:type="dxa"/>
              <w:right w:w="15" w:type="dxa"/>
            </w:tcMar>
            <w:vAlign w:val="bottom"/>
          </w:tcPr>
          <w:p/>
        </w:tc>
        <w:tc>
          <w:tcPr>
            <w:tcW w:w="1402"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1,116,791 </w:t>
            </w:r>
          </w:p>
        </w:tc>
        <w:tc>
          <w:tcPr>
            <w:tcW w:w="156" w:type="dxa"/>
            <w:tcBorders/>
            <w:shd w:fill="cceeff"/>
            <w:tcMar>
              <w:top w:w="15" w:type="dxa"/>
              <w:left w:w="15" w:type="dxa"/>
              <w:bottom w:w="15" w:type="dxa"/>
              <w:right w:w="15" w:type="dxa"/>
            </w:tcMar>
            <w:vAlign w:val="bottom"/>
          </w:tcPr>
          <w:p/>
        </w:tc>
      </w:tr>
      <w:tr>
        <w:trPr>
          <w:trHeight w:val="240" w:hRule="atLeast"/>
        </w:trPr>
        <w:tc>
          <w:tcPr>
            <w:tcW w:w="3417" w:type="dxa"/>
            <w:tcBorders/>
            <w:tcMar>
              <w:top w:w="15" w:type="dxa"/>
              <w:left w:w="15" w:type="dxa"/>
              <w:bottom w:w="30" w:type="dxa"/>
              <w:right w:w="15" w:type="dxa"/>
            </w:tcMar>
            <w:vAlign w:val="top"/>
          </w:tcPr>
          <w:p>
            <w:pPr>
              <w:spacing w:before="0" w:after="0"/>
              <w:ind w:left="264"/>
              <w:jc w:val="left"/>
            </w:pPr>
            <w:r>
              <w:rPr>
                <w:rFonts w:ascii="Times New Roman" w:hAnsi="Times New Roman"/>
                <w:b w:val="false"/>
                <w:i w:val="false"/>
                <w:color w:val="000000"/>
                <w:sz w:val="20"/>
              </w:rPr>
              <w:t xml:space="preserve"> Share options exercised </w:t>
            </w:r>
          </w:p>
        </w:tc>
        <w:tc>
          <w:tcPr>
            <w:tcW w:w="105" w:type="dxa"/>
            <w:tcBorders/>
            <w:tcMar>
              <w:top w:w="15" w:type="dxa"/>
              <w:left w:w="15" w:type="dxa"/>
              <w:bottom w:w="30" w:type="dxa"/>
              <w:right w:w="15" w:type="dxa"/>
            </w:tcMar>
            <w:vAlign w:val="bottom"/>
          </w:tcPr>
          <w:p/>
        </w:tc>
        <w:tc>
          <w:tcPr>
            <w:tcW w:w="105" w:type="dxa"/>
            <w:tcBorders>
              <w:bottom w:val="single" w:color="000000" w:sz="16"/>
            </w:tcBorders>
            <w:tcMar>
              <w:top w:w="15" w:type="dxa"/>
              <w:left w:w="15" w:type="dxa"/>
              <w:bottom w:w="15" w:type="dxa"/>
              <w:right w:w="15" w:type="dxa"/>
            </w:tcMar>
            <w:vAlign w:val="bottom"/>
          </w:tcPr>
          <w:p/>
        </w:tc>
        <w:tc>
          <w:tcPr>
            <w:tcW w:w="1206"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19,797 </w:t>
            </w:r>
          </w:p>
        </w:tc>
        <w:tc>
          <w:tcPr>
            <w:tcW w:w="105" w:type="dxa"/>
            <w:tcBorders/>
            <w:tcMar>
              <w:top w:w="15" w:type="dxa"/>
              <w:left w:w="15" w:type="dxa"/>
              <w:bottom w:w="30" w:type="dxa"/>
              <w:right w:w="15" w:type="dxa"/>
            </w:tcMar>
            <w:vAlign w:val="bottom"/>
          </w:tcPr>
          <w:p/>
        </w:tc>
        <w:tc>
          <w:tcPr>
            <w:tcW w:w="105" w:type="dxa"/>
            <w:tcBorders/>
            <w:tcMar>
              <w:top w:w="15" w:type="dxa"/>
              <w:left w:w="15" w:type="dxa"/>
              <w:bottom w:w="30" w:type="dxa"/>
              <w:right w:w="15" w:type="dxa"/>
            </w:tcMar>
            <w:vAlign w:val="bottom"/>
          </w:tcPr>
          <w:p/>
        </w:tc>
        <w:tc>
          <w:tcPr>
            <w:tcW w:w="105" w:type="dxa"/>
            <w:tcBorders>
              <w:bottom w:val="single" w:color="000000" w:sz="16"/>
            </w:tcBorders>
            <w:tcMar>
              <w:top w:w="15" w:type="dxa"/>
              <w:left w:w="15" w:type="dxa"/>
              <w:bottom w:w="15" w:type="dxa"/>
              <w:right w:w="15" w:type="dxa"/>
            </w:tcMar>
            <w:vAlign w:val="bottom"/>
          </w:tcPr>
          <w:p/>
        </w:tc>
        <w:tc>
          <w:tcPr>
            <w:tcW w:w="1402"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477,149 </w:t>
            </w:r>
          </w:p>
        </w:tc>
        <w:tc>
          <w:tcPr>
            <w:tcW w:w="156" w:type="dxa"/>
            <w:tcBorders/>
            <w:tcMar>
              <w:top w:w="15" w:type="dxa"/>
              <w:left w:w="15" w:type="dxa"/>
              <w:bottom w:w="30" w:type="dxa"/>
              <w:right w:w="15" w:type="dxa"/>
            </w:tcMar>
            <w:vAlign w:val="bottom"/>
          </w:tcPr>
          <w:p/>
        </w:tc>
        <w:tc>
          <w:tcPr>
            <w:tcW w:w="105" w:type="dxa"/>
            <w:tcBorders/>
            <w:tcMar>
              <w:top w:w="15" w:type="dxa"/>
              <w:left w:w="15" w:type="dxa"/>
              <w:bottom w:w="30" w:type="dxa"/>
              <w:right w:w="15" w:type="dxa"/>
            </w:tcMar>
            <w:vAlign w:val="bottom"/>
          </w:tcPr>
          <w:p/>
        </w:tc>
        <w:tc>
          <w:tcPr>
            <w:tcW w:w="106" w:type="dxa"/>
            <w:tcBorders>
              <w:bottom w:val="single" w:color="000000" w:sz="16"/>
            </w:tcBorders>
            <w:tcMar>
              <w:top w:w="15" w:type="dxa"/>
              <w:left w:w="15" w:type="dxa"/>
              <w:bottom w:w="15" w:type="dxa"/>
              <w:right w:w="15" w:type="dxa"/>
            </w:tcMar>
            <w:vAlign w:val="bottom"/>
          </w:tcPr>
          <w:p/>
        </w:tc>
        <w:tc>
          <w:tcPr>
            <w:tcW w:w="1269"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06" w:type="dxa"/>
            <w:tcBorders/>
            <w:tcMar>
              <w:top w:w="15" w:type="dxa"/>
              <w:left w:w="15" w:type="dxa"/>
              <w:bottom w:w="30" w:type="dxa"/>
              <w:right w:w="15" w:type="dxa"/>
            </w:tcMar>
            <w:vAlign w:val="bottom"/>
          </w:tcPr>
          <w:p/>
        </w:tc>
        <w:tc>
          <w:tcPr>
            <w:tcW w:w="106" w:type="dxa"/>
            <w:tcBorders/>
            <w:tcMar>
              <w:top w:w="15" w:type="dxa"/>
              <w:left w:w="15" w:type="dxa"/>
              <w:bottom w:w="30" w:type="dxa"/>
              <w:right w:w="15" w:type="dxa"/>
            </w:tcMar>
            <w:vAlign w:val="bottom"/>
          </w:tcPr>
          <w:p/>
        </w:tc>
        <w:tc>
          <w:tcPr>
            <w:tcW w:w="126" w:type="dxa"/>
            <w:tcBorders>
              <w:bottom w:val="single" w:color="000000" w:sz="16"/>
            </w:tcBorders>
            <w:tcMar>
              <w:top w:w="15" w:type="dxa"/>
              <w:left w:w="15" w:type="dxa"/>
              <w:bottom w:w="15" w:type="dxa"/>
              <w:right w:w="15" w:type="dxa"/>
            </w:tcMar>
            <w:vAlign w:val="bottom"/>
          </w:tcPr>
          <w:p/>
        </w:tc>
        <w:tc>
          <w:tcPr>
            <w:tcW w:w="1491"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56" w:type="dxa"/>
            <w:tcBorders/>
            <w:tcMar>
              <w:top w:w="15" w:type="dxa"/>
              <w:left w:w="15" w:type="dxa"/>
              <w:bottom w:w="30" w:type="dxa"/>
              <w:right w:w="15" w:type="dxa"/>
            </w:tcMar>
            <w:vAlign w:val="bottom"/>
          </w:tcPr>
          <w:p/>
        </w:tc>
        <w:tc>
          <w:tcPr>
            <w:tcW w:w="106" w:type="dxa"/>
            <w:tcBorders/>
            <w:tcMar>
              <w:top w:w="15" w:type="dxa"/>
              <w:left w:w="15" w:type="dxa"/>
              <w:bottom w:w="30" w:type="dxa"/>
              <w:right w:w="15" w:type="dxa"/>
            </w:tcMar>
            <w:vAlign w:val="bottom"/>
          </w:tcPr>
          <w:p/>
        </w:tc>
        <w:tc>
          <w:tcPr>
            <w:tcW w:w="143" w:type="dxa"/>
            <w:tcBorders>
              <w:bottom w:val="single" w:color="000000" w:sz="16"/>
            </w:tcBorders>
            <w:tcMar>
              <w:top w:w="15" w:type="dxa"/>
              <w:left w:w="15" w:type="dxa"/>
              <w:bottom w:w="15" w:type="dxa"/>
              <w:right w:w="15" w:type="dxa"/>
            </w:tcMar>
            <w:vAlign w:val="bottom"/>
          </w:tcPr>
          <w:p/>
        </w:tc>
        <w:tc>
          <w:tcPr>
            <w:tcW w:w="1288"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56" w:type="dxa"/>
            <w:tcBorders/>
            <w:tcMar>
              <w:top w:w="15" w:type="dxa"/>
              <w:left w:w="15" w:type="dxa"/>
              <w:bottom w:w="30" w:type="dxa"/>
              <w:right w:w="15" w:type="dxa"/>
            </w:tcMar>
            <w:vAlign w:val="bottom"/>
          </w:tcPr>
          <w:p/>
        </w:tc>
        <w:tc>
          <w:tcPr>
            <w:tcW w:w="106" w:type="dxa"/>
            <w:tcBorders/>
            <w:tcMar>
              <w:top w:w="15" w:type="dxa"/>
              <w:left w:w="15" w:type="dxa"/>
              <w:bottom w:w="30" w:type="dxa"/>
              <w:right w:w="15" w:type="dxa"/>
            </w:tcMar>
            <w:vAlign w:val="bottom"/>
          </w:tcPr>
          <w:p/>
        </w:tc>
        <w:tc>
          <w:tcPr>
            <w:tcW w:w="106" w:type="dxa"/>
            <w:tcBorders>
              <w:bottom w:val="single" w:color="000000" w:sz="16"/>
            </w:tcBorders>
            <w:tcMar>
              <w:top w:w="15" w:type="dxa"/>
              <w:left w:w="15" w:type="dxa"/>
              <w:bottom w:w="15" w:type="dxa"/>
              <w:right w:w="15" w:type="dxa"/>
            </w:tcMar>
            <w:vAlign w:val="bottom"/>
          </w:tcPr>
          <w:p/>
        </w:tc>
        <w:tc>
          <w:tcPr>
            <w:tcW w:w="1402"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496,946 </w:t>
            </w:r>
          </w:p>
        </w:tc>
        <w:tc>
          <w:tcPr>
            <w:tcW w:w="156" w:type="dxa"/>
            <w:tcBorders/>
            <w:tcMar>
              <w:top w:w="15" w:type="dxa"/>
              <w:left w:w="15" w:type="dxa"/>
              <w:bottom w:w="30" w:type="dxa"/>
              <w:right w:w="15" w:type="dxa"/>
            </w:tcMar>
            <w:vAlign w:val="bottom"/>
          </w:tcPr>
          <w:p/>
        </w:tc>
      </w:tr>
      <w:tr>
        <w:trPr>
          <w:trHeight w:val="480" w:hRule="atLeast"/>
        </w:trPr>
        <w:tc>
          <w:tcPr>
            <w:tcW w:w="3417" w:type="dxa"/>
            <w:tcBorders/>
            <w:shd w:fill="cceeff"/>
            <w:tcMar>
              <w:top w:w="15" w:type="dxa"/>
              <w:left w:w="15" w:type="dxa"/>
              <w:bottom w:w="30" w:type="dxa"/>
              <w:right w:w="15" w:type="dxa"/>
            </w:tcMar>
            <w:vAlign w:val="top"/>
          </w:tcPr>
          <w:p>
            <w:pPr>
              <w:spacing w:before="0" w:after="0"/>
              <w:ind w:left="264"/>
              <w:jc w:val="left"/>
            </w:pPr>
            <w:r>
              <w:rPr>
                <w:rFonts w:ascii="Times New Roman" w:hAnsi="Times New Roman"/>
                <w:b/>
                <w:i w:val="false"/>
                <w:color w:val="000000"/>
                <w:sz w:val="20"/>
              </w:rPr>
              <w:t xml:space="preserve"> Balance as of December 31, 2020 </w:t>
            </w:r>
          </w:p>
        </w:tc>
        <w:tc>
          <w:tcPr>
            <w:tcW w:w="105" w:type="dxa"/>
            <w:tcBorders/>
            <w:shd w:fill="cceeff"/>
            <w:tcMar>
              <w:top w:w="15" w:type="dxa"/>
              <w:left w:w="15" w:type="dxa"/>
              <w:bottom w:w="30" w:type="dxa"/>
              <w:right w:w="15" w:type="dxa"/>
            </w:tcMar>
            <w:vAlign w:val="bottom"/>
          </w:tcPr>
          <w:p/>
        </w:tc>
        <w:tc>
          <w:tcPr>
            <w:tcW w:w="105" w:type="dxa"/>
            <w:tcBorders>
              <w:bottom w:val="single" w:color="000000" w:sz="16"/>
            </w:tcBorders>
            <w:shd w:fill="cceeff"/>
            <w:tcMar>
              <w:top w:w="15" w:type="dxa"/>
              <w:left w:w="15" w:type="dxa"/>
              <w:bottom w:w="15" w:type="dxa"/>
              <w:right w:w="15" w:type="dxa"/>
            </w:tcMar>
            <w:vAlign w:val="bottom"/>
          </w:tcPr>
          <w:p/>
        </w:tc>
        <w:tc>
          <w:tcPr>
            <w:tcW w:w="1206"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3,387,410 </w:t>
            </w:r>
          </w:p>
        </w:tc>
        <w:tc>
          <w:tcPr>
            <w:tcW w:w="105" w:type="dxa"/>
            <w:tcBorders/>
            <w:shd w:fill="cceeff"/>
            <w:tcMar>
              <w:top w:w="15" w:type="dxa"/>
              <w:left w:w="15" w:type="dxa"/>
              <w:bottom w:w="30" w:type="dxa"/>
              <w:right w:w="15" w:type="dxa"/>
            </w:tcMar>
            <w:vAlign w:val="bottom"/>
          </w:tcPr>
          <w:p/>
        </w:tc>
        <w:tc>
          <w:tcPr>
            <w:tcW w:w="105" w:type="dxa"/>
            <w:tcBorders/>
            <w:shd w:fill="cceeff"/>
            <w:tcMar>
              <w:top w:w="15" w:type="dxa"/>
              <w:left w:w="15" w:type="dxa"/>
              <w:bottom w:w="30" w:type="dxa"/>
              <w:right w:w="15" w:type="dxa"/>
            </w:tcMar>
            <w:vAlign w:val="bottom"/>
          </w:tcPr>
          <w:p/>
        </w:tc>
        <w:tc>
          <w:tcPr>
            <w:tcW w:w="105" w:type="dxa"/>
            <w:tcBorders>
              <w:bottom w:val="single" w:color="000000" w:sz="16"/>
            </w:tcBorders>
            <w:shd w:fill="cceeff"/>
            <w:tcMar>
              <w:top w:w="15" w:type="dxa"/>
              <w:left w:w="15" w:type="dxa"/>
              <w:bottom w:w="15" w:type="dxa"/>
              <w:right w:w="15" w:type="dxa"/>
            </w:tcMar>
            <w:vAlign w:val="bottom"/>
          </w:tcPr>
          <w:p/>
        </w:tc>
        <w:tc>
          <w:tcPr>
            <w:tcW w:w="1402"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220,289,876 </w:t>
            </w:r>
          </w:p>
        </w:tc>
        <w:tc>
          <w:tcPr>
            <w:tcW w:w="156" w:type="dxa"/>
            <w:tcBorders/>
            <w:shd w:fill="cceeff"/>
            <w:tcMar>
              <w:top w:w="15" w:type="dxa"/>
              <w:left w:w="15" w:type="dxa"/>
              <w:bottom w:w="30" w:type="dxa"/>
              <w:right w:w="15" w:type="dxa"/>
            </w:tcMar>
            <w:vAlign w:val="bottom"/>
          </w:tcPr>
          <w:p/>
        </w:tc>
        <w:tc>
          <w:tcPr>
            <w:tcW w:w="105" w:type="dxa"/>
            <w:tcBorders/>
            <w:shd w:fill="cceeff"/>
            <w:tcMar>
              <w:top w:w="15" w:type="dxa"/>
              <w:left w:w="15" w:type="dxa"/>
              <w:bottom w:w="30" w:type="dxa"/>
              <w:right w:w="15" w:type="dxa"/>
            </w:tcMar>
            <w:vAlign w:val="bottom"/>
          </w:tcPr>
          <w:p/>
        </w:tc>
        <w:tc>
          <w:tcPr>
            <w:tcW w:w="106" w:type="dxa"/>
            <w:tcBorders>
              <w:bottom w:val="single" w:color="000000" w:sz="16"/>
            </w:tcBorders>
            <w:shd w:fill="cceeff"/>
            <w:tcMar>
              <w:top w:w="15" w:type="dxa"/>
              <w:left w:w="15" w:type="dxa"/>
              <w:bottom w:w="15" w:type="dxa"/>
              <w:right w:w="15" w:type="dxa"/>
            </w:tcMar>
            <w:vAlign w:val="bottom"/>
          </w:tcPr>
          <w:p/>
        </w:tc>
        <w:tc>
          <w:tcPr>
            <w:tcW w:w="1269"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26,259,004 </w:t>
            </w:r>
          </w:p>
        </w:tc>
        <w:tc>
          <w:tcPr>
            <w:tcW w:w="106" w:type="dxa"/>
            <w:tcBorders/>
            <w:shd w:fill="cceeff"/>
            <w:tcMar>
              <w:top w:w="15" w:type="dxa"/>
              <w:left w:w="15" w:type="dxa"/>
              <w:bottom w:w="30" w:type="dxa"/>
              <w:right w:w="15" w:type="dxa"/>
            </w:tcMar>
            <w:vAlign w:val="bottom"/>
          </w:tcPr>
          <w:p/>
        </w:tc>
        <w:tc>
          <w:tcPr>
            <w:tcW w:w="106" w:type="dxa"/>
            <w:tcBorders/>
            <w:shd w:fill="cceeff"/>
            <w:tcMar>
              <w:top w:w="15" w:type="dxa"/>
              <w:left w:w="15" w:type="dxa"/>
              <w:bottom w:w="30" w:type="dxa"/>
              <w:right w:w="15" w:type="dxa"/>
            </w:tcMar>
            <w:vAlign w:val="bottom"/>
          </w:tcPr>
          <w:p/>
        </w:tc>
        <w:tc>
          <w:tcPr>
            <w:tcW w:w="126" w:type="dxa"/>
            <w:tcBorders>
              <w:bottom w:val="single" w:color="000000" w:sz="16"/>
            </w:tcBorders>
            <w:shd w:fill="cceeff"/>
            <w:tcMar>
              <w:top w:w="15" w:type="dxa"/>
              <w:left w:w="15" w:type="dxa"/>
              <w:bottom w:w="15" w:type="dxa"/>
              <w:right w:w="15" w:type="dxa"/>
            </w:tcMar>
            <w:vAlign w:val="bottom"/>
          </w:tcPr>
          <w:p/>
        </w:tc>
        <w:tc>
          <w:tcPr>
            <w:tcW w:w="1491"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(168,345,620 </w:t>
            </w:r>
          </w:p>
        </w:tc>
        <w:tc>
          <w:tcPr>
            <w:tcW w:w="156" w:type="dxa"/>
            <w:tcBorders/>
            <w:shd w:fill="cceeff"/>
            <w:tcMar>
              <w:top w:w="15" w:type="dxa"/>
              <w:left w:w="15" w:type="dxa"/>
              <w:bottom w:w="30" w:type="dxa"/>
              <w:right w:w="15" w:type="dxa"/>
            </w:tcMar>
            <w:vAlign w:val="bottom"/>
          </w:tcPr>
          <w:p>
            <w:pPr>
              <w:spacing w:before="0" w:after="0"/>
              <w:ind w:left="120"/>
              <w:jc w:val="left"/>
            </w:pPr>
            <w:r>
              <w:rPr>
                <w:rFonts w:ascii="Times New Roman" w:hAnsi="Times New Roman"/>
                <w:b/>
                <w:i w:val="false"/>
                <w:color w:val="000000"/>
                <w:sz w:val="20"/>
              </w:rPr>
              <w:t xml:space="preserve"> ) </w:t>
            </w:r>
          </w:p>
        </w:tc>
        <w:tc>
          <w:tcPr>
            <w:tcW w:w="106" w:type="dxa"/>
            <w:tcBorders/>
            <w:shd w:fill="cceeff"/>
            <w:tcMar>
              <w:top w:w="15" w:type="dxa"/>
              <w:left w:w="15" w:type="dxa"/>
              <w:bottom w:w="30" w:type="dxa"/>
              <w:right w:w="15" w:type="dxa"/>
            </w:tcMar>
            <w:vAlign w:val="bottom"/>
          </w:tcPr>
          <w:p/>
        </w:tc>
        <w:tc>
          <w:tcPr>
            <w:tcW w:w="143" w:type="dxa"/>
            <w:tcBorders>
              <w:bottom w:val="single" w:color="000000" w:sz="16"/>
            </w:tcBorders>
            <w:shd w:fill="cceeff"/>
            <w:tcMar>
              <w:top w:w="15" w:type="dxa"/>
              <w:left w:w="15" w:type="dxa"/>
              <w:bottom w:w="15" w:type="dxa"/>
              <w:right w:w="15" w:type="dxa"/>
            </w:tcMar>
            <w:vAlign w:val="bottom"/>
          </w:tcPr>
          <w:p/>
        </w:tc>
        <w:tc>
          <w:tcPr>
            <w:tcW w:w="1288"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(3,726,791 </w:t>
            </w:r>
          </w:p>
        </w:tc>
        <w:tc>
          <w:tcPr>
            <w:tcW w:w="156" w:type="dxa"/>
            <w:tcBorders/>
            <w:shd w:fill="cceeff"/>
            <w:tcMar>
              <w:top w:w="15" w:type="dxa"/>
              <w:left w:w="15" w:type="dxa"/>
              <w:bottom w:w="30" w:type="dxa"/>
              <w:right w:w="15" w:type="dxa"/>
            </w:tcMar>
            <w:vAlign w:val="bottom"/>
          </w:tcPr>
          <w:p>
            <w:pPr>
              <w:spacing w:before="0" w:after="0"/>
              <w:ind w:left="120"/>
              <w:jc w:val="left"/>
            </w:pPr>
            <w:r>
              <w:rPr>
                <w:rFonts w:ascii="Times New Roman" w:hAnsi="Times New Roman"/>
                <w:b/>
                <w:i w:val="false"/>
                <w:color w:val="000000"/>
                <w:sz w:val="20"/>
              </w:rPr>
              <w:t xml:space="preserve"> ) </w:t>
            </w:r>
          </w:p>
        </w:tc>
        <w:tc>
          <w:tcPr>
            <w:tcW w:w="106" w:type="dxa"/>
            <w:tcBorders/>
            <w:shd w:fill="cceeff"/>
            <w:tcMar>
              <w:top w:w="15" w:type="dxa"/>
              <w:left w:w="15" w:type="dxa"/>
              <w:bottom w:w="30" w:type="dxa"/>
              <w:right w:w="15" w:type="dxa"/>
            </w:tcMar>
            <w:vAlign w:val="bottom"/>
          </w:tcPr>
          <w:p/>
        </w:tc>
        <w:tc>
          <w:tcPr>
            <w:tcW w:w="106" w:type="dxa"/>
            <w:tcBorders>
              <w:bottom w:val="single" w:color="000000" w:sz="16"/>
            </w:tcBorders>
            <w:shd w:fill="cceeff"/>
            <w:tcMar>
              <w:top w:w="15" w:type="dxa"/>
              <w:left w:w="15" w:type="dxa"/>
              <w:bottom w:w="15" w:type="dxa"/>
              <w:right w:w="15" w:type="dxa"/>
            </w:tcMar>
            <w:vAlign w:val="bottom"/>
          </w:tcPr>
          <w:p/>
        </w:tc>
        <w:tc>
          <w:tcPr>
            <w:tcW w:w="1402"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77,863,880 </w:t>
            </w:r>
          </w:p>
        </w:tc>
        <w:tc>
          <w:tcPr>
            <w:tcW w:w="156" w:type="dxa"/>
            <w:tcBorders/>
            <w:shd w:fill="cceeff"/>
            <w:tcMar>
              <w:top w:w="15" w:type="dxa"/>
              <w:left w:w="15" w:type="dxa"/>
              <w:bottom w:w="30" w:type="dxa"/>
              <w:right w:w="15" w:type="dxa"/>
            </w:tcMar>
            <w:vAlign w:val="bottom"/>
          </w:tcPr>
          <w:p/>
        </w:tc>
      </w:tr>
      <w:tr>
        <w:trPr>
          <w:trHeight w:val="210" w:hRule="atLeast"/>
        </w:trPr>
        <w:tc>
          <w:tcPr>
            <w:tcW w:w="3417" w:type="dxa"/>
            <w:tcBorders/>
            <w:tcMar>
              <w:top w:w="15" w:type="dxa"/>
              <w:left w:w="15" w:type="dxa"/>
              <w:bottom w:w="15" w:type="dxa"/>
              <w:right w:w="15" w:type="dxa"/>
            </w:tcMar>
            <w:vAlign w:val="top"/>
          </w:tcPr>
          <w:p>
            <w:pPr>
              <w:spacing w:before="0" w:after="0"/>
              <w:ind w:left="264"/>
              <w:jc w:val="left"/>
            </w:pPr>
            <w:r>
              <w:rPr>
                <w:rFonts w:ascii="Times New Roman" w:hAnsi="Times New Roman"/>
                <w:b w:val="false"/>
                <w:i w:val="false"/>
                <w:color w:val="000000"/>
                <w:sz w:val="20"/>
              </w:rPr>
              <w:t xml:space="preserve"> Loss for the Period </w:t>
            </w:r>
          </w:p>
        </w:tc>
        <w:tc>
          <w:tcPr>
            <w:tcW w:w="105" w:type="dxa"/>
            <w:tcBorders/>
            <w:tcMar>
              <w:top w:w="15" w:type="dxa"/>
              <w:left w:w="15" w:type="dxa"/>
              <w:bottom w:w="15" w:type="dxa"/>
              <w:right w:w="15" w:type="dxa"/>
            </w:tcMar>
            <w:vAlign w:val="bottom"/>
          </w:tcPr>
          <w:p/>
        </w:tc>
        <w:tc>
          <w:tcPr>
            <w:tcW w:w="105" w:type="dxa"/>
            <w:tcBorders/>
            <w:tcMar>
              <w:top w:w="15" w:type="dxa"/>
              <w:left w:w="15" w:type="dxa"/>
              <w:bottom w:w="15" w:type="dxa"/>
              <w:right w:w="15" w:type="dxa"/>
            </w:tcMar>
            <w:vAlign w:val="bottom"/>
          </w:tcPr>
          <w:p/>
        </w:tc>
        <w:tc>
          <w:tcPr>
            <w:tcW w:w="1206"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05" w:type="dxa"/>
            <w:tcBorders/>
            <w:tcMar>
              <w:top w:w="15" w:type="dxa"/>
              <w:left w:w="15" w:type="dxa"/>
              <w:bottom w:w="15" w:type="dxa"/>
              <w:right w:w="15" w:type="dxa"/>
            </w:tcMar>
            <w:vAlign w:val="bottom"/>
          </w:tcPr>
          <w:p/>
        </w:tc>
        <w:tc>
          <w:tcPr>
            <w:tcW w:w="105" w:type="dxa"/>
            <w:tcBorders/>
            <w:tcMar>
              <w:top w:w="15" w:type="dxa"/>
              <w:left w:w="15" w:type="dxa"/>
              <w:bottom w:w="15" w:type="dxa"/>
              <w:right w:w="15" w:type="dxa"/>
            </w:tcMar>
            <w:vAlign w:val="bottom"/>
          </w:tcPr>
          <w:p/>
        </w:tc>
        <w:tc>
          <w:tcPr>
            <w:tcW w:w="105" w:type="dxa"/>
            <w:tcBorders/>
            <w:tcMar>
              <w:top w:w="15" w:type="dxa"/>
              <w:left w:w="15" w:type="dxa"/>
              <w:bottom w:w="15" w:type="dxa"/>
              <w:right w:w="15" w:type="dxa"/>
            </w:tcMar>
            <w:vAlign w:val="bottom"/>
          </w:tcPr>
          <w:p/>
        </w:tc>
        <w:tc>
          <w:tcPr>
            <w:tcW w:w="1402"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56" w:type="dxa"/>
            <w:tcBorders/>
            <w:tcMar>
              <w:top w:w="15" w:type="dxa"/>
              <w:left w:w="15" w:type="dxa"/>
              <w:bottom w:w="15" w:type="dxa"/>
              <w:right w:w="15" w:type="dxa"/>
            </w:tcMar>
            <w:vAlign w:val="bottom"/>
          </w:tcPr>
          <w:p/>
        </w:tc>
        <w:tc>
          <w:tcPr>
            <w:tcW w:w="105" w:type="dxa"/>
            <w:tcBorders/>
            <w:tcMar>
              <w:top w:w="15" w:type="dxa"/>
              <w:left w:w="15" w:type="dxa"/>
              <w:bottom w:w="15" w:type="dxa"/>
              <w:right w:w="15" w:type="dxa"/>
            </w:tcMar>
            <w:vAlign w:val="bottom"/>
          </w:tcPr>
          <w:p/>
        </w:tc>
        <w:tc>
          <w:tcPr>
            <w:tcW w:w="106" w:type="dxa"/>
            <w:tcBorders/>
            <w:tcMar>
              <w:top w:w="15" w:type="dxa"/>
              <w:left w:w="15" w:type="dxa"/>
              <w:bottom w:w="15" w:type="dxa"/>
              <w:right w:w="15" w:type="dxa"/>
            </w:tcMar>
            <w:vAlign w:val="bottom"/>
          </w:tcPr>
          <w:p/>
        </w:tc>
        <w:tc>
          <w:tcPr>
            <w:tcW w:w="1269"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06" w:type="dxa"/>
            <w:tcBorders/>
            <w:tcMar>
              <w:top w:w="15" w:type="dxa"/>
              <w:left w:w="15" w:type="dxa"/>
              <w:bottom w:w="15" w:type="dxa"/>
              <w:right w:w="15" w:type="dxa"/>
            </w:tcMar>
            <w:vAlign w:val="bottom"/>
          </w:tcPr>
          <w:p/>
        </w:tc>
        <w:tc>
          <w:tcPr>
            <w:tcW w:w="106" w:type="dxa"/>
            <w:tcBorders/>
            <w:tcMar>
              <w:top w:w="15" w:type="dxa"/>
              <w:left w:w="15" w:type="dxa"/>
              <w:bottom w:w="15" w:type="dxa"/>
              <w:right w:w="15" w:type="dxa"/>
            </w:tcMar>
            <w:vAlign w:val="bottom"/>
          </w:tcPr>
          <w:p/>
        </w:tc>
        <w:tc>
          <w:tcPr>
            <w:tcW w:w="126" w:type="dxa"/>
            <w:tcBorders/>
            <w:tcMar>
              <w:top w:w="15" w:type="dxa"/>
              <w:left w:w="15" w:type="dxa"/>
              <w:bottom w:w="15" w:type="dxa"/>
              <w:right w:w="15" w:type="dxa"/>
            </w:tcMar>
            <w:vAlign w:val="bottom"/>
          </w:tcPr>
          <w:p/>
        </w:tc>
        <w:tc>
          <w:tcPr>
            <w:tcW w:w="1491"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(45,630,059 </w:t>
            </w:r>
          </w:p>
        </w:tc>
        <w:tc>
          <w:tcPr>
            <w:tcW w:w="156" w:type="dxa"/>
            <w:tcBorders/>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c>
          <w:tcPr>
            <w:tcW w:w="106" w:type="dxa"/>
            <w:tcBorders/>
            <w:tcMar>
              <w:top w:w="15" w:type="dxa"/>
              <w:left w:w="15" w:type="dxa"/>
              <w:bottom w:w="15" w:type="dxa"/>
              <w:right w:w="15" w:type="dxa"/>
            </w:tcMar>
            <w:vAlign w:val="bottom"/>
          </w:tcPr>
          <w:p/>
        </w:tc>
        <w:tc>
          <w:tcPr>
            <w:tcW w:w="143" w:type="dxa"/>
            <w:tcBorders/>
            <w:tcMar>
              <w:top w:w="15" w:type="dxa"/>
              <w:left w:w="15" w:type="dxa"/>
              <w:bottom w:w="15" w:type="dxa"/>
              <w:right w:w="15" w:type="dxa"/>
            </w:tcMar>
            <w:vAlign w:val="bottom"/>
          </w:tcPr>
          <w:p/>
        </w:tc>
        <w:tc>
          <w:tcPr>
            <w:tcW w:w="1288"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56" w:type="dxa"/>
            <w:tcBorders/>
            <w:tcMar>
              <w:top w:w="15" w:type="dxa"/>
              <w:left w:w="15" w:type="dxa"/>
              <w:bottom w:w="15" w:type="dxa"/>
              <w:right w:w="15" w:type="dxa"/>
            </w:tcMar>
            <w:vAlign w:val="bottom"/>
          </w:tcPr>
          <w:p/>
        </w:tc>
        <w:tc>
          <w:tcPr>
            <w:tcW w:w="106" w:type="dxa"/>
            <w:tcBorders/>
            <w:tcMar>
              <w:top w:w="15" w:type="dxa"/>
              <w:left w:w="15" w:type="dxa"/>
              <w:bottom w:w="15" w:type="dxa"/>
              <w:right w:w="15" w:type="dxa"/>
            </w:tcMar>
            <w:vAlign w:val="bottom"/>
          </w:tcPr>
          <w:p/>
        </w:tc>
        <w:tc>
          <w:tcPr>
            <w:tcW w:w="106" w:type="dxa"/>
            <w:tcBorders/>
            <w:tcMar>
              <w:top w:w="15" w:type="dxa"/>
              <w:left w:w="15" w:type="dxa"/>
              <w:bottom w:w="15" w:type="dxa"/>
              <w:right w:w="15" w:type="dxa"/>
            </w:tcMar>
            <w:vAlign w:val="bottom"/>
          </w:tcPr>
          <w:p/>
        </w:tc>
        <w:tc>
          <w:tcPr>
            <w:tcW w:w="1402"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(45,630,059 </w:t>
            </w:r>
          </w:p>
        </w:tc>
        <w:tc>
          <w:tcPr>
            <w:tcW w:w="156" w:type="dxa"/>
            <w:tcBorders/>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r>
      <w:tr>
        <w:trPr>
          <w:trHeight w:val="690" w:hRule="atLeast"/>
        </w:trPr>
        <w:tc>
          <w:tcPr>
            <w:tcW w:w="3417" w:type="dxa"/>
            <w:tcBorders/>
            <w:shd w:fill="cceeff"/>
            <w:tcMar>
              <w:top w:w="15" w:type="dxa"/>
              <w:left w:w="15" w:type="dxa"/>
              <w:bottom w:w="30" w:type="dxa"/>
              <w:right w:w="15" w:type="dxa"/>
            </w:tcMar>
            <w:vAlign w:val="top"/>
          </w:tcPr>
          <w:p>
            <w:pPr>
              <w:spacing w:before="0" w:after="0"/>
              <w:ind w:left="264"/>
              <w:jc w:val="left"/>
            </w:pPr>
            <w:r>
              <w:rPr>
                <w:rFonts w:ascii="Times New Roman" w:hAnsi="Times New Roman"/>
                <w:b w:val="false"/>
                <w:i w:val="false"/>
                <w:color w:val="000000"/>
                <w:sz w:val="20"/>
              </w:rPr>
              <w:t xml:space="preserve"> Exchange differences on </w:t>
            </w:r>
          </w:p>
          <w:p>
            <w:pPr>
              <w:spacing w:before="0" w:after="0"/>
              <w:ind w:left="264"/>
              <w:jc w:val="left"/>
            </w:pPr>
            <w:r>
              <w:rPr>
                <w:rFonts w:ascii="Times New Roman" w:hAnsi="Times New Roman"/>
                <w:b w:val="false"/>
                <w:i w:val="false"/>
                <w:color w:val="000000"/>
                <w:sz w:val="20"/>
              </w:rPr>
              <w:t xml:space="preserve"> translation of foreign currency </w:t>
            </w:r>
          </w:p>
        </w:tc>
        <w:tc>
          <w:tcPr>
            <w:tcW w:w="105" w:type="dxa"/>
            <w:tcBorders/>
            <w:shd w:fill="cceeff"/>
            <w:tcMar>
              <w:top w:w="15" w:type="dxa"/>
              <w:left w:w="15" w:type="dxa"/>
              <w:bottom w:w="30" w:type="dxa"/>
              <w:right w:w="15" w:type="dxa"/>
            </w:tcMar>
            <w:vAlign w:val="bottom"/>
          </w:tcPr>
          <w:p/>
        </w:tc>
        <w:tc>
          <w:tcPr>
            <w:tcW w:w="105" w:type="dxa"/>
            <w:tcBorders>
              <w:bottom w:val="single" w:color="000000" w:sz="16"/>
            </w:tcBorders>
            <w:shd w:fill="cceeff"/>
            <w:tcMar>
              <w:top w:w="15" w:type="dxa"/>
              <w:left w:w="15" w:type="dxa"/>
              <w:bottom w:w="15" w:type="dxa"/>
              <w:right w:w="15" w:type="dxa"/>
            </w:tcMar>
            <w:vAlign w:val="bottom"/>
          </w:tcPr>
          <w:p/>
        </w:tc>
        <w:tc>
          <w:tcPr>
            <w:tcW w:w="1206"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05" w:type="dxa"/>
            <w:tcBorders/>
            <w:shd w:fill="cceeff"/>
            <w:tcMar>
              <w:top w:w="15" w:type="dxa"/>
              <w:left w:w="15" w:type="dxa"/>
              <w:bottom w:w="30" w:type="dxa"/>
              <w:right w:w="15" w:type="dxa"/>
            </w:tcMar>
            <w:vAlign w:val="bottom"/>
          </w:tcPr>
          <w:p/>
        </w:tc>
        <w:tc>
          <w:tcPr>
            <w:tcW w:w="105" w:type="dxa"/>
            <w:tcBorders/>
            <w:shd w:fill="cceeff"/>
            <w:tcMar>
              <w:top w:w="15" w:type="dxa"/>
              <w:left w:w="15" w:type="dxa"/>
              <w:bottom w:w="30" w:type="dxa"/>
              <w:right w:w="15" w:type="dxa"/>
            </w:tcMar>
            <w:vAlign w:val="bottom"/>
          </w:tcPr>
          <w:p/>
        </w:tc>
        <w:tc>
          <w:tcPr>
            <w:tcW w:w="105" w:type="dxa"/>
            <w:tcBorders>
              <w:bottom w:val="single" w:color="000000" w:sz="16"/>
            </w:tcBorders>
            <w:shd w:fill="cceeff"/>
            <w:tcMar>
              <w:top w:w="15" w:type="dxa"/>
              <w:left w:w="15" w:type="dxa"/>
              <w:bottom w:w="15" w:type="dxa"/>
              <w:right w:w="15" w:type="dxa"/>
            </w:tcMar>
            <w:vAlign w:val="bottom"/>
          </w:tcPr>
          <w:p/>
        </w:tc>
        <w:tc>
          <w:tcPr>
            <w:tcW w:w="1402"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56" w:type="dxa"/>
            <w:tcBorders/>
            <w:shd w:fill="cceeff"/>
            <w:tcMar>
              <w:top w:w="15" w:type="dxa"/>
              <w:left w:w="15" w:type="dxa"/>
              <w:bottom w:w="30" w:type="dxa"/>
              <w:right w:w="15" w:type="dxa"/>
            </w:tcMar>
            <w:vAlign w:val="bottom"/>
          </w:tcPr>
          <w:p/>
        </w:tc>
        <w:tc>
          <w:tcPr>
            <w:tcW w:w="105" w:type="dxa"/>
            <w:tcBorders/>
            <w:shd w:fill="cceeff"/>
            <w:tcMar>
              <w:top w:w="15" w:type="dxa"/>
              <w:left w:w="15" w:type="dxa"/>
              <w:bottom w:w="30" w:type="dxa"/>
              <w:right w:w="15" w:type="dxa"/>
            </w:tcMar>
            <w:vAlign w:val="bottom"/>
          </w:tcPr>
          <w:p/>
        </w:tc>
        <w:tc>
          <w:tcPr>
            <w:tcW w:w="106" w:type="dxa"/>
            <w:tcBorders>
              <w:bottom w:val="single" w:color="000000" w:sz="16"/>
            </w:tcBorders>
            <w:shd w:fill="cceeff"/>
            <w:tcMar>
              <w:top w:w="15" w:type="dxa"/>
              <w:left w:w="15" w:type="dxa"/>
              <w:bottom w:w="15" w:type="dxa"/>
              <w:right w:w="15" w:type="dxa"/>
            </w:tcMar>
            <w:vAlign w:val="bottom"/>
          </w:tcPr>
          <w:p/>
        </w:tc>
        <w:tc>
          <w:tcPr>
            <w:tcW w:w="1269"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06" w:type="dxa"/>
            <w:tcBorders/>
            <w:shd w:fill="cceeff"/>
            <w:tcMar>
              <w:top w:w="15" w:type="dxa"/>
              <w:left w:w="15" w:type="dxa"/>
              <w:bottom w:w="30" w:type="dxa"/>
              <w:right w:w="15" w:type="dxa"/>
            </w:tcMar>
            <w:vAlign w:val="bottom"/>
          </w:tcPr>
          <w:p/>
        </w:tc>
        <w:tc>
          <w:tcPr>
            <w:tcW w:w="106" w:type="dxa"/>
            <w:tcBorders/>
            <w:shd w:fill="cceeff"/>
            <w:tcMar>
              <w:top w:w="15" w:type="dxa"/>
              <w:left w:w="15" w:type="dxa"/>
              <w:bottom w:w="30" w:type="dxa"/>
              <w:right w:w="15" w:type="dxa"/>
            </w:tcMar>
            <w:vAlign w:val="bottom"/>
          </w:tcPr>
          <w:p/>
        </w:tc>
        <w:tc>
          <w:tcPr>
            <w:tcW w:w="126" w:type="dxa"/>
            <w:tcBorders>
              <w:bottom w:val="single" w:color="000000" w:sz="16"/>
            </w:tcBorders>
            <w:shd w:fill="cceeff"/>
            <w:tcMar>
              <w:top w:w="15" w:type="dxa"/>
              <w:left w:w="15" w:type="dxa"/>
              <w:bottom w:w="15" w:type="dxa"/>
              <w:right w:w="15" w:type="dxa"/>
            </w:tcMar>
            <w:vAlign w:val="bottom"/>
          </w:tcPr>
          <w:p/>
        </w:tc>
        <w:tc>
          <w:tcPr>
            <w:tcW w:w="1491"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56" w:type="dxa"/>
            <w:tcBorders/>
            <w:shd w:fill="cceeff"/>
            <w:tcMar>
              <w:top w:w="15" w:type="dxa"/>
              <w:left w:w="15" w:type="dxa"/>
              <w:bottom w:w="30" w:type="dxa"/>
              <w:right w:w="15" w:type="dxa"/>
            </w:tcMar>
            <w:vAlign w:val="bottom"/>
          </w:tcPr>
          <w:p/>
        </w:tc>
        <w:tc>
          <w:tcPr>
            <w:tcW w:w="106" w:type="dxa"/>
            <w:tcBorders/>
            <w:shd w:fill="cceeff"/>
            <w:tcMar>
              <w:top w:w="15" w:type="dxa"/>
              <w:left w:w="15" w:type="dxa"/>
              <w:bottom w:w="30" w:type="dxa"/>
              <w:right w:w="15" w:type="dxa"/>
            </w:tcMar>
            <w:vAlign w:val="bottom"/>
          </w:tcPr>
          <w:p/>
        </w:tc>
        <w:tc>
          <w:tcPr>
            <w:tcW w:w="143" w:type="dxa"/>
            <w:tcBorders>
              <w:bottom w:val="single" w:color="000000" w:sz="16"/>
            </w:tcBorders>
            <w:shd w:fill="cceeff"/>
            <w:tcMar>
              <w:top w:w="15" w:type="dxa"/>
              <w:left w:w="15" w:type="dxa"/>
              <w:bottom w:w="15" w:type="dxa"/>
              <w:right w:w="15" w:type="dxa"/>
            </w:tcMar>
            <w:vAlign w:val="bottom"/>
          </w:tcPr>
          <w:p/>
        </w:tc>
        <w:tc>
          <w:tcPr>
            <w:tcW w:w="1288"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6,777,061 </w:t>
            </w:r>
          </w:p>
        </w:tc>
        <w:tc>
          <w:tcPr>
            <w:tcW w:w="156" w:type="dxa"/>
            <w:tcBorders/>
            <w:shd w:fill="cceeff"/>
            <w:tcMar>
              <w:top w:w="15" w:type="dxa"/>
              <w:left w:w="15" w:type="dxa"/>
              <w:bottom w:w="30" w:type="dxa"/>
              <w:right w:w="15" w:type="dxa"/>
            </w:tcMar>
            <w:vAlign w:val="bottom"/>
          </w:tcPr>
          <w:p/>
        </w:tc>
        <w:tc>
          <w:tcPr>
            <w:tcW w:w="106" w:type="dxa"/>
            <w:tcBorders/>
            <w:shd w:fill="cceeff"/>
            <w:tcMar>
              <w:top w:w="15" w:type="dxa"/>
              <w:left w:w="15" w:type="dxa"/>
              <w:bottom w:w="30" w:type="dxa"/>
              <w:right w:w="15" w:type="dxa"/>
            </w:tcMar>
            <w:vAlign w:val="bottom"/>
          </w:tcPr>
          <w:p/>
        </w:tc>
        <w:tc>
          <w:tcPr>
            <w:tcW w:w="106" w:type="dxa"/>
            <w:tcBorders>
              <w:bottom w:val="single" w:color="000000" w:sz="16"/>
            </w:tcBorders>
            <w:shd w:fill="cceeff"/>
            <w:tcMar>
              <w:top w:w="15" w:type="dxa"/>
              <w:left w:w="15" w:type="dxa"/>
              <w:bottom w:w="15" w:type="dxa"/>
              <w:right w:w="15" w:type="dxa"/>
            </w:tcMar>
            <w:vAlign w:val="bottom"/>
          </w:tcPr>
          <w:p/>
        </w:tc>
        <w:tc>
          <w:tcPr>
            <w:tcW w:w="1402"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6,777,061 </w:t>
            </w:r>
          </w:p>
        </w:tc>
        <w:tc>
          <w:tcPr>
            <w:tcW w:w="156" w:type="dxa"/>
            <w:tcBorders/>
            <w:shd w:fill="cceeff"/>
            <w:tcMar>
              <w:top w:w="15" w:type="dxa"/>
              <w:left w:w="15" w:type="dxa"/>
              <w:bottom w:w="30" w:type="dxa"/>
              <w:right w:w="15" w:type="dxa"/>
            </w:tcMar>
            <w:vAlign w:val="bottom"/>
          </w:tcPr>
          <w:p/>
        </w:tc>
      </w:tr>
      <w:tr>
        <w:trPr>
          <w:trHeight w:val="255" w:hRule="atLeast"/>
        </w:trPr>
        <w:tc>
          <w:tcPr>
            <w:tcW w:w="3417" w:type="dxa"/>
            <w:tcBorders/>
            <w:tcMar>
              <w:top w:w="15" w:type="dxa"/>
              <w:left w:w="15" w:type="dxa"/>
              <w:bottom w:w="30" w:type="dxa"/>
              <w:right w:w="15" w:type="dxa"/>
            </w:tcMar>
            <w:vAlign w:val="top"/>
          </w:tcPr>
          <w:p>
            <w:pPr>
              <w:spacing w:before="0" w:after="0"/>
              <w:ind w:left="264"/>
              <w:jc w:val="left"/>
            </w:pPr>
            <w:r>
              <w:rPr>
                <w:rFonts w:ascii="Times New Roman" w:hAnsi="Times New Roman"/>
                <w:b/>
                <w:i w:val="false"/>
                <w:color w:val="000000"/>
                <w:sz w:val="20"/>
              </w:rPr>
              <w:t xml:space="preserve"> Total Comprehensive Loss </w:t>
            </w:r>
          </w:p>
        </w:tc>
        <w:tc>
          <w:tcPr>
            <w:tcW w:w="105" w:type="dxa"/>
            <w:tcBorders/>
            <w:tcMar>
              <w:top w:w="15" w:type="dxa"/>
              <w:left w:w="15" w:type="dxa"/>
              <w:bottom w:w="30" w:type="dxa"/>
              <w:right w:w="15" w:type="dxa"/>
            </w:tcMar>
            <w:vAlign w:val="bottom"/>
          </w:tcPr>
          <w:p/>
        </w:tc>
        <w:tc>
          <w:tcPr>
            <w:tcW w:w="105" w:type="dxa"/>
            <w:tcBorders>
              <w:bottom w:val="single" w:color="000000" w:sz="16"/>
            </w:tcBorders>
            <w:tcMar>
              <w:top w:w="15" w:type="dxa"/>
              <w:left w:w="15" w:type="dxa"/>
              <w:bottom w:w="15" w:type="dxa"/>
              <w:right w:w="15" w:type="dxa"/>
            </w:tcMar>
            <w:vAlign w:val="bottom"/>
          </w:tcPr>
          <w:p/>
        </w:tc>
        <w:tc>
          <w:tcPr>
            <w:tcW w:w="1206"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 </w:t>
            </w:r>
          </w:p>
        </w:tc>
        <w:tc>
          <w:tcPr>
            <w:tcW w:w="105" w:type="dxa"/>
            <w:tcBorders/>
            <w:tcMar>
              <w:top w:w="15" w:type="dxa"/>
              <w:left w:w="15" w:type="dxa"/>
              <w:bottom w:w="30" w:type="dxa"/>
              <w:right w:w="15" w:type="dxa"/>
            </w:tcMar>
            <w:vAlign w:val="bottom"/>
          </w:tcPr>
          <w:p/>
        </w:tc>
        <w:tc>
          <w:tcPr>
            <w:tcW w:w="105" w:type="dxa"/>
            <w:tcBorders/>
            <w:tcMar>
              <w:top w:w="15" w:type="dxa"/>
              <w:left w:w="15" w:type="dxa"/>
              <w:bottom w:w="30" w:type="dxa"/>
              <w:right w:w="15" w:type="dxa"/>
            </w:tcMar>
            <w:vAlign w:val="bottom"/>
          </w:tcPr>
          <w:p/>
        </w:tc>
        <w:tc>
          <w:tcPr>
            <w:tcW w:w="105" w:type="dxa"/>
            <w:tcBorders>
              <w:bottom w:val="single" w:color="000000" w:sz="16"/>
            </w:tcBorders>
            <w:tcMar>
              <w:top w:w="15" w:type="dxa"/>
              <w:left w:w="15" w:type="dxa"/>
              <w:bottom w:w="15" w:type="dxa"/>
              <w:right w:w="15" w:type="dxa"/>
            </w:tcMar>
            <w:vAlign w:val="bottom"/>
          </w:tcPr>
          <w:p/>
        </w:tc>
        <w:tc>
          <w:tcPr>
            <w:tcW w:w="1402"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56" w:type="dxa"/>
            <w:tcBorders/>
            <w:tcMar>
              <w:top w:w="15" w:type="dxa"/>
              <w:left w:w="15" w:type="dxa"/>
              <w:bottom w:w="30" w:type="dxa"/>
              <w:right w:w="15" w:type="dxa"/>
            </w:tcMar>
            <w:vAlign w:val="bottom"/>
          </w:tcPr>
          <w:p/>
        </w:tc>
        <w:tc>
          <w:tcPr>
            <w:tcW w:w="105" w:type="dxa"/>
            <w:tcBorders/>
            <w:tcMar>
              <w:top w:w="15" w:type="dxa"/>
              <w:left w:w="15" w:type="dxa"/>
              <w:bottom w:w="30" w:type="dxa"/>
              <w:right w:w="15" w:type="dxa"/>
            </w:tcMar>
            <w:vAlign w:val="bottom"/>
          </w:tcPr>
          <w:p/>
        </w:tc>
        <w:tc>
          <w:tcPr>
            <w:tcW w:w="106" w:type="dxa"/>
            <w:tcBorders>
              <w:bottom w:val="single" w:color="000000" w:sz="16"/>
            </w:tcBorders>
            <w:tcMar>
              <w:top w:w="15" w:type="dxa"/>
              <w:left w:w="15" w:type="dxa"/>
              <w:bottom w:w="15" w:type="dxa"/>
              <w:right w:w="15" w:type="dxa"/>
            </w:tcMar>
            <w:vAlign w:val="bottom"/>
          </w:tcPr>
          <w:p/>
        </w:tc>
        <w:tc>
          <w:tcPr>
            <w:tcW w:w="1269"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06" w:type="dxa"/>
            <w:tcBorders/>
            <w:tcMar>
              <w:top w:w="15" w:type="dxa"/>
              <w:left w:w="15" w:type="dxa"/>
              <w:bottom w:w="30" w:type="dxa"/>
              <w:right w:w="15" w:type="dxa"/>
            </w:tcMar>
            <w:vAlign w:val="bottom"/>
          </w:tcPr>
          <w:p/>
        </w:tc>
        <w:tc>
          <w:tcPr>
            <w:tcW w:w="106" w:type="dxa"/>
            <w:tcBorders/>
            <w:tcMar>
              <w:top w:w="15" w:type="dxa"/>
              <w:left w:w="15" w:type="dxa"/>
              <w:bottom w:w="30" w:type="dxa"/>
              <w:right w:w="15" w:type="dxa"/>
            </w:tcMar>
            <w:vAlign w:val="bottom"/>
          </w:tcPr>
          <w:p/>
        </w:tc>
        <w:tc>
          <w:tcPr>
            <w:tcW w:w="126" w:type="dxa"/>
            <w:tcBorders>
              <w:bottom w:val="single" w:color="000000" w:sz="16"/>
            </w:tcBorders>
            <w:tcMar>
              <w:top w:w="15" w:type="dxa"/>
              <w:left w:w="15" w:type="dxa"/>
              <w:bottom w:w="15" w:type="dxa"/>
              <w:right w:w="15" w:type="dxa"/>
            </w:tcMar>
            <w:vAlign w:val="bottom"/>
          </w:tcPr>
          <w:p/>
        </w:tc>
        <w:tc>
          <w:tcPr>
            <w:tcW w:w="1491"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(45,630,059 </w:t>
            </w:r>
          </w:p>
        </w:tc>
        <w:tc>
          <w:tcPr>
            <w:tcW w:w="156" w:type="dxa"/>
            <w:tcBorders/>
            <w:tcMar>
              <w:top w:w="15" w:type="dxa"/>
              <w:left w:w="15" w:type="dxa"/>
              <w:bottom w:w="30"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c>
          <w:tcPr>
            <w:tcW w:w="106" w:type="dxa"/>
            <w:tcBorders/>
            <w:tcMar>
              <w:top w:w="15" w:type="dxa"/>
              <w:left w:w="15" w:type="dxa"/>
              <w:bottom w:w="30" w:type="dxa"/>
              <w:right w:w="15" w:type="dxa"/>
            </w:tcMar>
            <w:vAlign w:val="bottom"/>
          </w:tcPr>
          <w:p/>
        </w:tc>
        <w:tc>
          <w:tcPr>
            <w:tcW w:w="143" w:type="dxa"/>
            <w:tcBorders>
              <w:bottom w:val="single" w:color="000000" w:sz="16"/>
            </w:tcBorders>
            <w:tcMar>
              <w:top w:w="15" w:type="dxa"/>
              <w:left w:w="15" w:type="dxa"/>
              <w:bottom w:w="15" w:type="dxa"/>
              <w:right w:w="15" w:type="dxa"/>
            </w:tcMar>
            <w:vAlign w:val="bottom"/>
          </w:tcPr>
          <w:p/>
        </w:tc>
        <w:tc>
          <w:tcPr>
            <w:tcW w:w="1288"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6,777,061 </w:t>
            </w:r>
          </w:p>
        </w:tc>
        <w:tc>
          <w:tcPr>
            <w:tcW w:w="156" w:type="dxa"/>
            <w:tcBorders/>
            <w:tcMar>
              <w:top w:w="15" w:type="dxa"/>
              <w:left w:w="15" w:type="dxa"/>
              <w:bottom w:w="30" w:type="dxa"/>
              <w:right w:w="15" w:type="dxa"/>
            </w:tcMar>
            <w:vAlign w:val="bottom"/>
          </w:tcPr>
          <w:p/>
        </w:tc>
        <w:tc>
          <w:tcPr>
            <w:tcW w:w="106" w:type="dxa"/>
            <w:tcBorders/>
            <w:tcMar>
              <w:top w:w="15" w:type="dxa"/>
              <w:left w:w="15" w:type="dxa"/>
              <w:bottom w:w="30" w:type="dxa"/>
              <w:right w:w="15" w:type="dxa"/>
            </w:tcMar>
            <w:vAlign w:val="bottom"/>
          </w:tcPr>
          <w:p/>
        </w:tc>
        <w:tc>
          <w:tcPr>
            <w:tcW w:w="106" w:type="dxa"/>
            <w:tcBorders>
              <w:bottom w:val="single" w:color="000000" w:sz="16"/>
            </w:tcBorders>
            <w:tcMar>
              <w:top w:w="15" w:type="dxa"/>
              <w:left w:w="15" w:type="dxa"/>
              <w:bottom w:w="15" w:type="dxa"/>
              <w:right w:w="15" w:type="dxa"/>
            </w:tcMar>
            <w:vAlign w:val="bottom"/>
          </w:tcPr>
          <w:p/>
        </w:tc>
        <w:tc>
          <w:tcPr>
            <w:tcW w:w="1402"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(38,852,998 </w:t>
            </w:r>
          </w:p>
        </w:tc>
        <w:tc>
          <w:tcPr>
            <w:tcW w:w="156" w:type="dxa"/>
            <w:tcBorders/>
            <w:tcMar>
              <w:top w:w="15" w:type="dxa"/>
              <w:left w:w="15" w:type="dxa"/>
              <w:bottom w:w="30"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r>
      <w:tr>
        <w:trPr>
          <w:trHeight w:val="210" w:hRule="atLeast"/>
        </w:trPr>
        <w:tc>
          <w:tcPr>
            <w:tcW w:w="3417" w:type="dxa"/>
            <w:tcBorders/>
            <w:shd w:fill="cceeff"/>
            <w:tcMar>
              <w:top w:w="15" w:type="dxa"/>
              <w:left w:w="15" w:type="dxa"/>
              <w:bottom w:w="15" w:type="dxa"/>
              <w:right w:w="15" w:type="dxa"/>
            </w:tcMar>
            <w:vAlign w:val="top"/>
          </w:tcPr>
          <w:p>
            <w:pPr>
              <w:spacing w:before="0" w:after="0"/>
              <w:ind w:left="264"/>
              <w:jc w:val="left"/>
            </w:pPr>
            <w:r>
              <w:rPr>
                <w:rFonts w:ascii="Times New Roman" w:hAnsi="Times New Roman"/>
                <w:b w:val="false"/>
                <w:i w:val="false"/>
                <w:color w:val="000000"/>
                <w:sz w:val="20"/>
              </w:rPr>
              <w:t xml:space="preserve"> Issuance of common shares </w:t>
            </w:r>
          </w:p>
        </w:tc>
        <w:tc>
          <w:tcPr>
            <w:tcW w:w="105" w:type="dxa"/>
            <w:tcBorders/>
            <w:shd w:fill="cceeff"/>
            <w:tcMar>
              <w:top w:w="15" w:type="dxa"/>
              <w:left w:w="15" w:type="dxa"/>
              <w:bottom w:w="15" w:type="dxa"/>
              <w:right w:w="15" w:type="dxa"/>
            </w:tcMar>
            <w:vAlign w:val="bottom"/>
          </w:tcPr>
          <w:p/>
        </w:tc>
        <w:tc>
          <w:tcPr>
            <w:tcW w:w="105" w:type="dxa"/>
            <w:tcBorders/>
            <w:shd w:fill="cceeff"/>
            <w:tcMar>
              <w:top w:w="15" w:type="dxa"/>
              <w:left w:w="15" w:type="dxa"/>
              <w:bottom w:w="15" w:type="dxa"/>
              <w:right w:w="15" w:type="dxa"/>
            </w:tcMar>
            <w:vAlign w:val="bottom"/>
          </w:tcPr>
          <w:p/>
        </w:tc>
        <w:tc>
          <w:tcPr>
            <w:tcW w:w="1206"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1,873,203 </w:t>
            </w:r>
          </w:p>
        </w:tc>
        <w:tc>
          <w:tcPr>
            <w:tcW w:w="105" w:type="dxa"/>
            <w:tcBorders/>
            <w:shd w:fill="cceeff"/>
            <w:tcMar>
              <w:top w:w="15" w:type="dxa"/>
              <w:left w:w="15" w:type="dxa"/>
              <w:bottom w:w="15" w:type="dxa"/>
              <w:right w:w="15" w:type="dxa"/>
            </w:tcMar>
            <w:vAlign w:val="bottom"/>
          </w:tcPr>
          <w:p/>
        </w:tc>
        <w:tc>
          <w:tcPr>
            <w:tcW w:w="105" w:type="dxa"/>
            <w:tcBorders/>
            <w:shd w:fill="cceeff"/>
            <w:tcMar>
              <w:top w:w="15" w:type="dxa"/>
              <w:left w:w="15" w:type="dxa"/>
              <w:bottom w:w="15" w:type="dxa"/>
              <w:right w:w="15" w:type="dxa"/>
            </w:tcMar>
            <w:vAlign w:val="bottom"/>
          </w:tcPr>
          <w:p/>
        </w:tc>
        <w:tc>
          <w:tcPr>
            <w:tcW w:w="105" w:type="dxa"/>
            <w:tcBorders/>
            <w:shd w:fill="cceeff"/>
            <w:tcMar>
              <w:top w:w="15" w:type="dxa"/>
              <w:left w:w="15" w:type="dxa"/>
              <w:bottom w:w="15" w:type="dxa"/>
              <w:right w:w="15" w:type="dxa"/>
            </w:tcMar>
            <w:vAlign w:val="bottom"/>
          </w:tcPr>
          <w:p/>
        </w:tc>
        <w:tc>
          <w:tcPr>
            <w:tcW w:w="1402"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63,269,346 </w:t>
            </w:r>
          </w:p>
        </w:tc>
        <w:tc>
          <w:tcPr>
            <w:tcW w:w="156" w:type="dxa"/>
            <w:tcBorders/>
            <w:shd w:fill="cceeff"/>
            <w:tcMar>
              <w:top w:w="15" w:type="dxa"/>
              <w:left w:w="15" w:type="dxa"/>
              <w:bottom w:w="15" w:type="dxa"/>
              <w:right w:w="15" w:type="dxa"/>
            </w:tcMar>
            <w:vAlign w:val="bottom"/>
          </w:tcPr>
          <w:p/>
        </w:tc>
        <w:tc>
          <w:tcPr>
            <w:tcW w:w="105" w:type="dxa"/>
            <w:tcBorders/>
            <w:shd w:fill="cceeff"/>
            <w:tcMar>
              <w:top w:w="15" w:type="dxa"/>
              <w:left w:w="15" w:type="dxa"/>
              <w:bottom w:w="15" w:type="dxa"/>
              <w:right w:w="15" w:type="dxa"/>
            </w:tcMar>
            <w:vAlign w:val="bottom"/>
          </w:tcPr>
          <w:p/>
        </w:tc>
        <w:tc>
          <w:tcPr>
            <w:tcW w:w="106" w:type="dxa"/>
            <w:tcBorders/>
            <w:shd w:fill="cceeff"/>
            <w:tcMar>
              <w:top w:w="15" w:type="dxa"/>
              <w:left w:w="15" w:type="dxa"/>
              <w:bottom w:w="15" w:type="dxa"/>
              <w:right w:w="15" w:type="dxa"/>
            </w:tcMar>
            <w:vAlign w:val="bottom"/>
          </w:tcPr>
          <w:p/>
        </w:tc>
        <w:tc>
          <w:tcPr>
            <w:tcW w:w="1269"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06" w:type="dxa"/>
            <w:tcBorders/>
            <w:shd w:fill="cceeff"/>
            <w:tcMar>
              <w:top w:w="15" w:type="dxa"/>
              <w:left w:w="15" w:type="dxa"/>
              <w:bottom w:w="15" w:type="dxa"/>
              <w:right w:w="15" w:type="dxa"/>
            </w:tcMar>
            <w:vAlign w:val="bottom"/>
          </w:tcPr>
          <w:p/>
        </w:tc>
        <w:tc>
          <w:tcPr>
            <w:tcW w:w="106" w:type="dxa"/>
            <w:tcBorders/>
            <w:shd w:fill="cceeff"/>
            <w:tcMar>
              <w:top w:w="15" w:type="dxa"/>
              <w:left w:w="15" w:type="dxa"/>
              <w:bottom w:w="15" w:type="dxa"/>
              <w:right w:w="15" w:type="dxa"/>
            </w:tcMar>
            <w:vAlign w:val="bottom"/>
          </w:tcPr>
          <w:p/>
        </w:tc>
        <w:tc>
          <w:tcPr>
            <w:tcW w:w="126" w:type="dxa"/>
            <w:tcBorders/>
            <w:shd w:fill="cceeff"/>
            <w:tcMar>
              <w:top w:w="15" w:type="dxa"/>
              <w:left w:w="15" w:type="dxa"/>
              <w:bottom w:w="15" w:type="dxa"/>
              <w:right w:w="15" w:type="dxa"/>
            </w:tcMar>
            <w:vAlign w:val="bottom"/>
          </w:tcPr>
          <w:p/>
        </w:tc>
        <w:tc>
          <w:tcPr>
            <w:tcW w:w="1491"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56" w:type="dxa"/>
            <w:tcBorders/>
            <w:shd w:fill="cceeff"/>
            <w:tcMar>
              <w:top w:w="15" w:type="dxa"/>
              <w:left w:w="15" w:type="dxa"/>
              <w:bottom w:w="15" w:type="dxa"/>
              <w:right w:w="15" w:type="dxa"/>
            </w:tcMar>
            <w:vAlign w:val="bottom"/>
          </w:tcPr>
          <w:p/>
        </w:tc>
        <w:tc>
          <w:tcPr>
            <w:tcW w:w="106" w:type="dxa"/>
            <w:tcBorders/>
            <w:shd w:fill="cceeff"/>
            <w:tcMar>
              <w:top w:w="15" w:type="dxa"/>
              <w:left w:w="15" w:type="dxa"/>
              <w:bottom w:w="15" w:type="dxa"/>
              <w:right w:w="15" w:type="dxa"/>
            </w:tcMar>
            <w:vAlign w:val="bottom"/>
          </w:tcPr>
          <w:p/>
        </w:tc>
        <w:tc>
          <w:tcPr>
            <w:tcW w:w="143" w:type="dxa"/>
            <w:tcBorders/>
            <w:shd w:fill="cceeff"/>
            <w:tcMar>
              <w:top w:w="15" w:type="dxa"/>
              <w:left w:w="15" w:type="dxa"/>
              <w:bottom w:w="15" w:type="dxa"/>
              <w:right w:w="15" w:type="dxa"/>
            </w:tcMar>
            <w:vAlign w:val="bottom"/>
          </w:tcPr>
          <w:p/>
        </w:tc>
        <w:tc>
          <w:tcPr>
            <w:tcW w:w="1288"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56" w:type="dxa"/>
            <w:tcBorders/>
            <w:shd w:fill="cceeff"/>
            <w:tcMar>
              <w:top w:w="15" w:type="dxa"/>
              <w:left w:w="15" w:type="dxa"/>
              <w:bottom w:w="15" w:type="dxa"/>
              <w:right w:w="15" w:type="dxa"/>
            </w:tcMar>
            <w:vAlign w:val="bottom"/>
          </w:tcPr>
          <w:p/>
        </w:tc>
        <w:tc>
          <w:tcPr>
            <w:tcW w:w="106" w:type="dxa"/>
            <w:tcBorders/>
            <w:shd w:fill="cceeff"/>
            <w:tcMar>
              <w:top w:w="15" w:type="dxa"/>
              <w:left w:w="15" w:type="dxa"/>
              <w:bottom w:w="15" w:type="dxa"/>
              <w:right w:w="15" w:type="dxa"/>
            </w:tcMar>
            <w:vAlign w:val="bottom"/>
          </w:tcPr>
          <w:p/>
        </w:tc>
        <w:tc>
          <w:tcPr>
            <w:tcW w:w="106" w:type="dxa"/>
            <w:tcBorders/>
            <w:shd w:fill="cceeff"/>
            <w:tcMar>
              <w:top w:w="15" w:type="dxa"/>
              <w:left w:w="15" w:type="dxa"/>
              <w:bottom w:w="15" w:type="dxa"/>
              <w:right w:w="15" w:type="dxa"/>
            </w:tcMar>
            <w:vAlign w:val="bottom"/>
          </w:tcPr>
          <w:p/>
        </w:tc>
        <w:tc>
          <w:tcPr>
            <w:tcW w:w="1402"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65,142,549 </w:t>
            </w:r>
          </w:p>
        </w:tc>
        <w:tc>
          <w:tcPr>
            <w:tcW w:w="156" w:type="dxa"/>
            <w:tcBorders/>
            <w:shd w:fill="cceeff"/>
            <w:tcMar>
              <w:top w:w="15" w:type="dxa"/>
              <w:left w:w="15" w:type="dxa"/>
              <w:bottom w:w="15" w:type="dxa"/>
              <w:right w:w="15" w:type="dxa"/>
            </w:tcMar>
            <w:vAlign w:val="bottom"/>
          </w:tcPr>
          <w:p/>
        </w:tc>
      </w:tr>
      <w:tr>
        <w:trPr>
          <w:trHeight w:val="210" w:hRule="atLeast"/>
        </w:trPr>
        <w:tc>
          <w:tcPr>
            <w:tcW w:w="3417" w:type="dxa"/>
            <w:tcBorders/>
            <w:tcMar>
              <w:top w:w="15" w:type="dxa"/>
              <w:left w:w="15" w:type="dxa"/>
              <w:bottom w:w="15" w:type="dxa"/>
              <w:right w:w="15" w:type="dxa"/>
            </w:tcMar>
            <w:vAlign w:val="top"/>
          </w:tcPr>
          <w:p>
            <w:pPr>
              <w:spacing w:before="0" w:after="0"/>
              <w:ind w:left="264"/>
              <w:jc w:val="left"/>
            </w:pPr>
            <w:r>
              <w:rPr>
                <w:rFonts w:ascii="Times New Roman" w:hAnsi="Times New Roman"/>
                <w:b w:val="false"/>
                <w:i w:val="false"/>
                <w:color w:val="000000"/>
                <w:sz w:val="20"/>
              </w:rPr>
              <w:t xml:space="preserve"> Transaction costs </w:t>
            </w:r>
          </w:p>
        </w:tc>
        <w:tc>
          <w:tcPr>
            <w:tcW w:w="105" w:type="dxa"/>
            <w:tcBorders/>
            <w:tcMar>
              <w:top w:w="15" w:type="dxa"/>
              <w:left w:w="15" w:type="dxa"/>
              <w:bottom w:w="15" w:type="dxa"/>
              <w:right w:w="15" w:type="dxa"/>
            </w:tcMar>
            <w:vAlign w:val="bottom"/>
          </w:tcPr>
          <w:p/>
        </w:tc>
        <w:tc>
          <w:tcPr>
            <w:tcW w:w="105" w:type="dxa"/>
            <w:tcBorders/>
            <w:tcMar>
              <w:top w:w="15" w:type="dxa"/>
              <w:left w:w="15" w:type="dxa"/>
              <w:bottom w:w="15" w:type="dxa"/>
              <w:right w:w="15" w:type="dxa"/>
            </w:tcMar>
            <w:vAlign w:val="bottom"/>
          </w:tcPr>
          <w:p/>
        </w:tc>
        <w:tc>
          <w:tcPr>
            <w:tcW w:w="1206"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05" w:type="dxa"/>
            <w:tcBorders/>
            <w:tcMar>
              <w:top w:w="15" w:type="dxa"/>
              <w:left w:w="15" w:type="dxa"/>
              <w:bottom w:w="15" w:type="dxa"/>
              <w:right w:w="15" w:type="dxa"/>
            </w:tcMar>
            <w:vAlign w:val="bottom"/>
          </w:tcPr>
          <w:p/>
        </w:tc>
        <w:tc>
          <w:tcPr>
            <w:tcW w:w="105" w:type="dxa"/>
            <w:tcBorders/>
            <w:tcMar>
              <w:top w:w="15" w:type="dxa"/>
              <w:left w:w="15" w:type="dxa"/>
              <w:bottom w:w="15" w:type="dxa"/>
              <w:right w:w="15" w:type="dxa"/>
            </w:tcMar>
            <w:vAlign w:val="bottom"/>
          </w:tcPr>
          <w:p/>
        </w:tc>
        <w:tc>
          <w:tcPr>
            <w:tcW w:w="105" w:type="dxa"/>
            <w:tcBorders/>
            <w:tcMar>
              <w:top w:w="15" w:type="dxa"/>
              <w:left w:w="15" w:type="dxa"/>
              <w:bottom w:w="15" w:type="dxa"/>
              <w:right w:w="15" w:type="dxa"/>
            </w:tcMar>
            <w:vAlign w:val="bottom"/>
          </w:tcPr>
          <w:p/>
        </w:tc>
        <w:tc>
          <w:tcPr>
            <w:tcW w:w="1402"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(4,219,222 </w:t>
            </w:r>
          </w:p>
        </w:tc>
        <w:tc>
          <w:tcPr>
            <w:tcW w:w="156" w:type="dxa"/>
            <w:tcBorders/>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c>
          <w:tcPr>
            <w:tcW w:w="105" w:type="dxa"/>
            <w:tcBorders/>
            <w:tcMar>
              <w:top w:w="15" w:type="dxa"/>
              <w:left w:w="15" w:type="dxa"/>
              <w:bottom w:w="15" w:type="dxa"/>
              <w:right w:w="15" w:type="dxa"/>
            </w:tcMar>
            <w:vAlign w:val="bottom"/>
          </w:tcPr>
          <w:p/>
        </w:tc>
        <w:tc>
          <w:tcPr>
            <w:tcW w:w="106" w:type="dxa"/>
            <w:tcBorders/>
            <w:tcMar>
              <w:top w:w="15" w:type="dxa"/>
              <w:left w:w="15" w:type="dxa"/>
              <w:bottom w:w="15" w:type="dxa"/>
              <w:right w:w="15" w:type="dxa"/>
            </w:tcMar>
            <w:vAlign w:val="bottom"/>
          </w:tcPr>
          <w:p/>
        </w:tc>
        <w:tc>
          <w:tcPr>
            <w:tcW w:w="1269"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06" w:type="dxa"/>
            <w:tcBorders/>
            <w:tcMar>
              <w:top w:w="15" w:type="dxa"/>
              <w:left w:w="15" w:type="dxa"/>
              <w:bottom w:w="15" w:type="dxa"/>
              <w:right w:w="15" w:type="dxa"/>
            </w:tcMar>
            <w:vAlign w:val="bottom"/>
          </w:tcPr>
          <w:p/>
        </w:tc>
        <w:tc>
          <w:tcPr>
            <w:tcW w:w="106" w:type="dxa"/>
            <w:tcBorders/>
            <w:tcMar>
              <w:top w:w="15" w:type="dxa"/>
              <w:left w:w="15" w:type="dxa"/>
              <w:bottom w:w="15" w:type="dxa"/>
              <w:right w:w="15" w:type="dxa"/>
            </w:tcMar>
            <w:vAlign w:val="bottom"/>
          </w:tcPr>
          <w:p/>
        </w:tc>
        <w:tc>
          <w:tcPr>
            <w:tcW w:w="126" w:type="dxa"/>
            <w:tcBorders/>
            <w:tcMar>
              <w:top w:w="15" w:type="dxa"/>
              <w:left w:w="15" w:type="dxa"/>
              <w:bottom w:w="15" w:type="dxa"/>
              <w:right w:w="15" w:type="dxa"/>
            </w:tcMar>
            <w:vAlign w:val="bottom"/>
          </w:tcPr>
          <w:p/>
        </w:tc>
        <w:tc>
          <w:tcPr>
            <w:tcW w:w="1491"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56" w:type="dxa"/>
            <w:tcBorders/>
            <w:tcMar>
              <w:top w:w="15" w:type="dxa"/>
              <w:left w:w="15" w:type="dxa"/>
              <w:bottom w:w="15" w:type="dxa"/>
              <w:right w:w="15" w:type="dxa"/>
            </w:tcMar>
            <w:vAlign w:val="bottom"/>
          </w:tcPr>
          <w:p/>
        </w:tc>
        <w:tc>
          <w:tcPr>
            <w:tcW w:w="106" w:type="dxa"/>
            <w:tcBorders/>
            <w:tcMar>
              <w:top w:w="15" w:type="dxa"/>
              <w:left w:w="15" w:type="dxa"/>
              <w:bottom w:w="15" w:type="dxa"/>
              <w:right w:w="15" w:type="dxa"/>
            </w:tcMar>
            <w:vAlign w:val="bottom"/>
          </w:tcPr>
          <w:p/>
        </w:tc>
        <w:tc>
          <w:tcPr>
            <w:tcW w:w="143" w:type="dxa"/>
            <w:tcBorders/>
            <w:tcMar>
              <w:top w:w="15" w:type="dxa"/>
              <w:left w:w="15" w:type="dxa"/>
              <w:bottom w:w="15" w:type="dxa"/>
              <w:right w:w="15" w:type="dxa"/>
            </w:tcMar>
            <w:vAlign w:val="bottom"/>
          </w:tcPr>
          <w:p/>
        </w:tc>
        <w:tc>
          <w:tcPr>
            <w:tcW w:w="1288"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56" w:type="dxa"/>
            <w:tcBorders/>
            <w:tcMar>
              <w:top w:w="15" w:type="dxa"/>
              <w:left w:w="15" w:type="dxa"/>
              <w:bottom w:w="15" w:type="dxa"/>
              <w:right w:w="15" w:type="dxa"/>
            </w:tcMar>
            <w:vAlign w:val="bottom"/>
          </w:tcPr>
          <w:p/>
        </w:tc>
        <w:tc>
          <w:tcPr>
            <w:tcW w:w="106" w:type="dxa"/>
            <w:tcBorders/>
            <w:tcMar>
              <w:top w:w="15" w:type="dxa"/>
              <w:left w:w="15" w:type="dxa"/>
              <w:bottom w:w="15" w:type="dxa"/>
              <w:right w:w="15" w:type="dxa"/>
            </w:tcMar>
            <w:vAlign w:val="bottom"/>
          </w:tcPr>
          <w:p/>
        </w:tc>
        <w:tc>
          <w:tcPr>
            <w:tcW w:w="106" w:type="dxa"/>
            <w:tcBorders/>
            <w:tcMar>
              <w:top w:w="15" w:type="dxa"/>
              <w:left w:w="15" w:type="dxa"/>
              <w:bottom w:w="15" w:type="dxa"/>
              <w:right w:w="15" w:type="dxa"/>
            </w:tcMar>
            <w:vAlign w:val="bottom"/>
          </w:tcPr>
          <w:p/>
        </w:tc>
        <w:tc>
          <w:tcPr>
            <w:tcW w:w="1402"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(4,219,222 </w:t>
            </w:r>
          </w:p>
        </w:tc>
        <w:tc>
          <w:tcPr>
            <w:tcW w:w="156" w:type="dxa"/>
            <w:tcBorders/>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r>
      <w:tr>
        <w:trPr>
          <w:trHeight w:val="435" w:hRule="atLeast"/>
        </w:trPr>
        <w:tc>
          <w:tcPr>
            <w:tcW w:w="3417" w:type="dxa"/>
            <w:tcBorders/>
            <w:shd w:fill="cceeff"/>
            <w:tcMar>
              <w:top w:w="15" w:type="dxa"/>
              <w:left w:w="15" w:type="dxa"/>
              <w:bottom w:w="15" w:type="dxa"/>
              <w:right w:w="15" w:type="dxa"/>
            </w:tcMar>
            <w:vAlign w:val="top"/>
          </w:tcPr>
          <w:p>
            <w:pPr>
              <w:spacing w:before="0" w:after="0"/>
              <w:ind w:left="264"/>
              <w:jc w:val="left"/>
            </w:pPr>
            <w:r>
              <w:rPr>
                <w:rFonts w:ascii="Times New Roman" w:hAnsi="Times New Roman"/>
                <w:b w:val="false"/>
                <w:i w:val="false"/>
                <w:color w:val="000000"/>
                <w:sz w:val="20"/>
              </w:rPr>
              <w:t xml:space="preserve"> Equity-settled share-based pay-ments </w:t>
            </w:r>
          </w:p>
        </w:tc>
        <w:tc>
          <w:tcPr>
            <w:tcW w:w="105" w:type="dxa"/>
            <w:tcBorders/>
            <w:shd w:fill="cceeff"/>
            <w:tcMar>
              <w:top w:w="15" w:type="dxa"/>
              <w:left w:w="15" w:type="dxa"/>
              <w:bottom w:w="15" w:type="dxa"/>
              <w:right w:w="15" w:type="dxa"/>
            </w:tcMar>
            <w:vAlign w:val="bottom"/>
          </w:tcPr>
          <w:p/>
        </w:tc>
        <w:tc>
          <w:tcPr>
            <w:tcW w:w="105" w:type="dxa"/>
            <w:tcBorders/>
            <w:shd w:fill="cceeff"/>
            <w:tcMar>
              <w:top w:w="15" w:type="dxa"/>
              <w:left w:w="15" w:type="dxa"/>
              <w:bottom w:w="15" w:type="dxa"/>
              <w:right w:w="15" w:type="dxa"/>
            </w:tcMar>
            <w:vAlign w:val="bottom"/>
          </w:tcPr>
          <w:p/>
        </w:tc>
        <w:tc>
          <w:tcPr>
            <w:tcW w:w="1206"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05" w:type="dxa"/>
            <w:tcBorders/>
            <w:shd w:fill="cceeff"/>
            <w:tcMar>
              <w:top w:w="15" w:type="dxa"/>
              <w:left w:w="15" w:type="dxa"/>
              <w:bottom w:w="15" w:type="dxa"/>
              <w:right w:w="15" w:type="dxa"/>
            </w:tcMar>
            <w:vAlign w:val="bottom"/>
          </w:tcPr>
          <w:p/>
        </w:tc>
        <w:tc>
          <w:tcPr>
            <w:tcW w:w="105" w:type="dxa"/>
            <w:tcBorders/>
            <w:shd w:fill="cceeff"/>
            <w:tcMar>
              <w:top w:w="15" w:type="dxa"/>
              <w:left w:w="15" w:type="dxa"/>
              <w:bottom w:w="15" w:type="dxa"/>
              <w:right w:w="15" w:type="dxa"/>
            </w:tcMar>
            <w:vAlign w:val="bottom"/>
          </w:tcPr>
          <w:p/>
        </w:tc>
        <w:tc>
          <w:tcPr>
            <w:tcW w:w="105" w:type="dxa"/>
            <w:tcBorders/>
            <w:shd w:fill="cceeff"/>
            <w:tcMar>
              <w:top w:w="15" w:type="dxa"/>
              <w:left w:w="15" w:type="dxa"/>
              <w:bottom w:w="15" w:type="dxa"/>
              <w:right w:w="15" w:type="dxa"/>
            </w:tcMar>
            <w:vAlign w:val="bottom"/>
          </w:tcPr>
          <w:p/>
        </w:tc>
        <w:tc>
          <w:tcPr>
            <w:tcW w:w="1402"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56" w:type="dxa"/>
            <w:tcBorders/>
            <w:shd w:fill="cceeff"/>
            <w:tcMar>
              <w:top w:w="15" w:type="dxa"/>
              <w:left w:w="15" w:type="dxa"/>
              <w:bottom w:w="15" w:type="dxa"/>
              <w:right w:w="15" w:type="dxa"/>
            </w:tcMar>
            <w:vAlign w:val="bottom"/>
          </w:tcPr>
          <w:p/>
        </w:tc>
        <w:tc>
          <w:tcPr>
            <w:tcW w:w="105" w:type="dxa"/>
            <w:tcBorders/>
            <w:shd w:fill="cceeff"/>
            <w:tcMar>
              <w:top w:w="15" w:type="dxa"/>
              <w:left w:w="15" w:type="dxa"/>
              <w:bottom w:w="15" w:type="dxa"/>
              <w:right w:w="15" w:type="dxa"/>
            </w:tcMar>
            <w:vAlign w:val="bottom"/>
          </w:tcPr>
          <w:p/>
        </w:tc>
        <w:tc>
          <w:tcPr>
            <w:tcW w:w="106" w:type="dxa"/>
            <w:tcBorders/>
            <w:shd w:fill="cceeff"/>
            <w:tcMar>
              <w:top w:w="15" w:type="dxa"/>
              <w:left w:w="15" w:type="dxa"/>
              <w:bottom w:w="15" w:type="dxa"/>
              <w:right w:w="15" w:type="dxa"/>
            </w:tcMar>
            <w:vAlign w:val="bottom"/>
          </w:tcPr>
          <w:p/>
        </w:tc>
        <w:tc>
          <w:tcPr>
            <w:tcW w:w="1269"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4,332,205 </w:t>
            </w:r>
          </w:p>
        </w:tc>
        <w:tc>
          <w:tcPr>
            <w:tcW w:w="106" w:type="dxa"/>
            <w:tcBorders/>
            <w:shd w:fill="cceeff"/>
            <w:tcMar>
              <w:top w:w="15" w:type="dxa"/>
              <w:left w:w="15" w:type="dxa"/>
              <w:bottom w:w="15" w:type="dxa"/>
              <w:right w:w="15" w:type="dxa"/>
            </w:tcMar>
            <w:vAlign w:val="bottom"/>
          </w:tcPr>
          <w:p/>
        </w:tc>
        <w:tc>
          <w:tcPr>
            <w:tcW w:w="106" w:type="dxa"/>
            <w:tcBorders/>
            <w:shd w:fill="cceeff"/>
            <w:tcMar>
              <w:top w:w="15" w:type="dxa"/>
              <w:left w:w="15" w:type="dxa"/>
              <w:bottom w:w="15" w:type="dxa"/>
              <w:right w:w="15" w:type="dxa"/>
            </w:tcMar>
            <w:vAlign w:val="bottom"/>
          </w:tcPr>
          <w:p/>
        </w:tc>
        <w:tc>
          <w:tcPr>
            <w:tcW w:w="126" w:type="dxa"/>
            <w:tcBorders/>
            <w:shd w:fill="cceeff"/>
            <w:tcMar>
              <w:top w:w="15" w:type="dxa"/>
              <w:left w:w="15" w:type="dxa"/>
              <w:bottom w:w="15" w:type="dxa"/>
              <w:right w:w="15" w:type="dxa"/>
            </w:tcMar>
            <w:vAlign w:val="bottom"/>
          </w:tcPr>
          <w:p/>
        </w:tc>
        <w:tc>
          <w:tcPr>
            <w:tcW w:w="1491"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56" w:type="dxa"/>
            <w:tcBorders/>
            <w:shd w:fill="cceeff"/>
            <w:tcMar>
              <w:top w:w="15" w:type="dxa"/>
              <w:left w:w="15" w:type="dxa"/>
              <w:bottom w:w="15" w:type="dxa"/>
              <w:right w:w="15" w:type="dxa"/>
            </w:tcMar>
            <w:vAlign w:val="bottom"/>
          </w:tcPr>
          <w:p/>
        </w:tc>
        <w:tc>
          <w:tcPr>
            <w:tcW w:w="106" w:type="dxa"/>
            <w:tcBorders/>
            <w:shd w:fill="cceeff"/>
            <w:tcMar>
              <w:top w:w="15" w:type="dxa"/>
              <w:left w:w="15" w:type="dxa"/>
              <w:bottom w:w="15" w:type="dxa"/>
              <w:right w:w="15" w:type="dxa"/>
            </w:tcMar>
            <w:vAlign w:val="bottom"/>
          </w:tcPr>
          <w:p/>
        </w:tc>
        <w:tc>
          <w:tcPr>
            <w:tcW w:w="143" w:type="dxa"/>
            <w:tcBorders/>
            <w:shd w:fill="cceeff"/>
            <w:tcMar>
              <w:top w:w="15" w:type="dxa"/>
              <w:left w:w="15" w:type="dxa"/>
              <w:bottom w:w="15" w:type="dxa"/>
              <w:right w:w="15" w:type="dxa"/>
            </w:tcMar>
            <w:vAlign w:val="bottom"/>
          </w:tcPr>
          <w:p/>
        </w:tc>
        <w:tc>
          <w:tcPr>
            <w:tcW w:w="1288"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56" w:type="dxa"/>
            <w:tcBorders/>
            <w:shd w:fill="cceeff"/>
            <w:tcMar>
              <w:top w:w="15" w:type="dxa"/>
              <w:left w:w="15" w:type="dxa"/>
              <w:bottom w:w="15" w:type="dxa"/>
              <w:right w:w="15" w:type="dxa"/>
            </w:tcMar>
            <w:vAlign w:val="bottom"/>
          </w:tcPr>
          <w:p/>
        </w:tc>
        <w:tc>
          <w:tcPr>
            <w:tcW w:w="106" w:type="dxa"/>
            <w:tcBorders/>
            <w:shd w:fill="cceeff"/>
            <w:tcMar>
              <w:top w:w="15" w:type="dxa"/>
              <w:left w:w="15" w:type="dxa"/>
              <w:bottom w:w="15" w:type="dxa"/>
              <w:right w:w="15" w:type="dxa"/>
            </w:tcMar>
            <w:vAlign w:val="bottom"/>
          </w:tcPr>
          <w:p/>
        </w:tc>
        <w:tc>
          <w:tcPr>
            <w:tcW w:w="106" w:type="dxa"/>
            <w:tcBorders/>
            <w:shd w:fill="cceeff"/>
            <w:tcMar>
              <w:top w:w="15" w:type="dxa"/>
              <w:left w:w="15" w:type="dxa"/>
              <w:bottom w:w="15" w:type="dxa"/>
              <w:right w:w="15" w:type="dxa"/>
            </w:tcMar>
            <w:vAlign w:val="bottom"/>
          </w:tcPr>
          <w:p/>
        </w:tc>
        <w:tc>
          <w:tcPr>
            <w:tcW w:w="1402"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4,332,205 </w:t>
            </w:r>
          </w:p>
        </w:tc>
        <w:tc>
          <w:tcPr>
            <w:tcW w:w="156" w:type="dxa"/>
            <w:tcBorders/>
            <w:shd w:fill="cceeff"/>
            <w:tcMar>
              <w:top w:w="15" w:type="dxa"/>
              <w:left w:w="15" w:type="dxa"/>
              <w:bottom w:w="15" w:type="dxa"/>
              <w:right w:w="15" w:type="dxa"/>
            </w:tcMar>
            <w:vAlign w:val="bottom"/>
          </w:tcPr>
          <w:p/>
        </w:tc>
      </w:tr>
      <w:tr>
        <w:trPr>
          <w:trHeight w:val="240" w:hRule="atLeast"/>
        </w:trPr>
        <w:tc>
          <w:tcPr>
            <w:tcW w:w="3417" w:type="dxa"/>
            <w:tcBorders/>
            <w:tcMar>
              <w:top w:w="15" w:type="dxa"/>
              <w:left w:w="15" w:type="dxa"/>
              <w:bottom w:w="30" w:type="dxa"/>
              <w:right w:w="15" w:type="dxa"/>
            </w:tcMar>
            <w:vAlign w:val="top"/>
          </w:tcPr>
          <w:p>
            <w:pPr>
              <w:spacing w:before="0" w:after="0"/>
              <w:ind w:left="264"/>
              <w:jc w:val="left"/>
            </w:pPr>
            <w:r>
              <w:rPr>
                <w:rFonts w:ascii="Times New Roman" w:hAnsi="Times New Roman"/>
                <w:b w:val="false"/>
                <w:i w:val="false"/>
                <w:color w:val="000000"/>
                <w:sz w:val="20"/>
              </w:rPr>
              <w:t xml:space="preserve"> Share options exercised </w:t>
            </w:r>
          </w:p>
        </w:tc>
        <w:tc>
          <w:tcPr>
            <w:tcW w:w="105" w:type="dxa"/>
            <w:tcBorders/>
            <w:tcMar>
              <w:top w:w="15" w:type="dxa"/>
              <w:left w:w="15" w:type="dxa"/>
              <w:bottom w:w="30" w:type="dxa"/>
              <w:right w:w="15" w:type="dxa"/>
            </w:tcMar>
            <w:vAlign w:val="bottom"/>
          </w:tcPr>
          <w:p/>
        </w:tc>
        <w:tc>
          <w:tcPr>
            <w:tcW w:w="105" w:type="dxa"/>
            <w:tcBorders>
              <w:bottom w:val="single" w:color="000000" w:sz="16"/>
            </w:tcBorders>
            <w:tcMar>
              <w:top w:w="15" w:type="dxa"/>
              <w:left w:w="15" w:type="dxa"/>
              <w:bottom w:w="15" w:type="dxa"/>
              <w:right w:w="15" w:type="dxa"/>
            </w:tcMar>
            <w:vAlign w:val="bottom"/>
          </w:tcPr>
          <w:p/>
        </w:tc>
        <w:tc>
          <w:tcPr>
            <w:tcW w:w="1206"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43,839 </w:t>
            </w:r>
          </w:p>
        </w:tc>
        <w:tc>
          <w:tcPr>
            <w:tcW w:w="105" w:type="dxa"/>
            <w:tcBorders/>
            <w:tcMar>
              <w:top w:w="15" w:type="dxa"/>
              <w:left w:w="15" w:type="dxa"/>
              <w:bottom w:w="30" w:type="dxa"/>
              <w:right w:w="15" w:type="dxa"/>
            </w:tcMar>
            <w:vAlign w:val="bottom"/>
          </w:tcPr>
          <w:p/>
        </w:tc>
        <w:tc>
          <w:tcPr>
            <w:tcW w:w="105" w:type="dxa"/>
            <w:tcBorders/>
            <w:tcMar>
              <w:top w:w="15" w:type="dxa"/>
              <w:left w:w="15" w:type="dxa"/>
              <w:bottom w:w="30" w:type="dxa"/>
              <w:right w:w="15" w:type="dxa"/>
            </w:tcMar>
            <w:vAlign w:val="bottom"/>
          </w:tcPr>
          <w:p/>
        </w:tc>
        <w:tc>
          <w:tcPr>
            <w:tcW w:w="105" w:type="dxa"/>
            <w:tcBorders>
              <w:bottom w:val="single" w:color="000000" w:sz="16"/>
            </w:tcBorders>
            <w:tcMar>
              <w:top w:w="15" w:type="dxa"/>
              <w:left w:w="15" w:type="dxa"/>
              <w:bottom w:w="15" w:type="dxa"/>
              <w:right w:w="15" w:type="dxa"/>
            </w:tcMar>
            <w:vAlign w:val="bottom"/>
          </w:tcPr>
          <w:p/>
        </w:tc>
        <w:tc>
          <w:tcPr>
            <w:tcW w:w="1402"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970,744 </w:t>
            </w:r>
          </w:p>
        </w:tc>
        <w:tc>
          <w:tcPr>
            <w:tcW w:w="156" w:type="dxa"/>
            <w:tcBorders/>
            <w:tcMar>
              <w:top w:w="15" w:type="dxa"/>
              <w:left w:w="15" w:type="dxa"/>
              <w:bottom w:w="30" w:type="dxa"/>
              <w:right w:w="15" w:type="dxa"/>
            </w:tcMar>
            <w:vAlign w:val="bottom"/>
          </w:tcPr>
          <w:p/>
        </w:tc>
        <w:tc>
          <w:tcPr>
            <w:tcW w:w="105" w:type="dxa"/>
            <w:tcBorders/>
            <w:tcMar>
              <w:top w:w="15" w:type="dxa"/>
              <w:left w:w="15" w:type="dxa"/>
              <w:bottom w:w="30" w:type="dxa"/>
              <w:right w:w="15" w:type="dxa"/>
            </w:tcMar>
            <w:vAlign w:val="bottom"/>
          </w:tcPr>
          <w:p/>
        </w:tc>
        <w:tc>
          <w:tcPr>
            <w:tcW w:w="106" w:type="dxa"/>
            <w:tcBorders>
              <w:bottom w:val="single" w:color="000000" w:sz="16"/>
            </w:tcBorders>
            <w:tcMar>
              <w:top w:w="15" w:type="dxa"/>
              <w:left w:w="15" w:type="dxa"/>
              <w:bottom w:w="15" w:type="dxa"/>
              <w:right w:w="15" w:type="dxa"/>
            </w:tcMar>
            <w:vAlign w:val="bottom"/>
          </w:tcPr>
          <w:p/>
        </w:tc>
        <w:tc>
          <w:tcPr>
            <w:tcW w:w="1269"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06" w:type="dxa"/>
            <w:tcBorders/>
            <w:tcMar>
              <w:top w:w="15" w:type="dxa"/>
              <w:left w:w="15" w:type="dxa"/>
              <w:bottom w:w="30" w:type="dxa"/>
              <w:right w:w="15" w:type="dxa"/>
            </w:tcMar>
            <w:vAlign w:val="bottom"/>
          </w:tcPr>
          <w:p/>
        </w:tc>
        <w:tc>
          <w:tcPr>
            <w:tcW w:w="106" w:type="dxa"/>
            <w:tcBorders/>
            <w:tcMar>
              <w:top w:w="15" w:type="dxa"/>
              <w:left w:w="15" w:type="dxa"/>
              <w:bottom w:w="30" w:type="dxa"/>
              <w:right w:w="15" w:type="dxa"/>
            </w:tcMar>
            <w:vAlign w:val="bottom"/>
          </w:tcPr>
          <w:p/>
        </w:tc>
        <w:tc>
          <w:tcPr>
            <w:tcW w:w="126" w:type="dxa"/>
            <w:tcBorders>
              <w:bottom w:val="single" w:color="000000" w:sz="16"/>
            </w:tcBorders>
            <w:tcMar>
              <w:top w:w="15" w:type="dxa"/>
              <w:left w:w="15" w:type="dxa"/>
              <w:bottom w:w="15" w:type="dxa"/>
              <w:right w:w="15" w:type="dxa"/>
            </w:tcMar>
            <w:vAlign w:val="bottom"/>
          </w:tcPr>
          <w:p/>
        </w:tc>
        <w:tc>
          <w:tcPr>
            <w:tcW w:w="1491"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56" w:type="dxa"/>
            <w:tcBorders/>
            <w:tcMar>
              <w:top w:w="15" w:type="dxa"/>
              <w:left w:w="15" w:type="dxa"/>
              <w:bottom w:w="30" w:type="dxa"/>
              <w:right w:w="15" w:type="dxa"/>
            </w:tcMar>
            <w:vAlign w:val="bottom"/>
          </w:tcPr>
          <w:p/>
        </w:tc>
        <w:tc>
          <w:tcPr>
            <w:tcW w:w="106" w:type="dxa"/>
            <w:tcBorders/>
            <w:tcMar>
              <w:top w:w="15" w:type="dxa"/>
              <w:left w:w="15" w:type="dxa"/>
              <w:bottom w:w="30" w:type="dxa"/>
              <w:right w:w="15" w:type="dxa"/>
            </w:tcMar>
            <w:vAlign w:val="bottom"/>
          </w:tcPr>
          <w:p/>
        </w:tc>
        <w:tc>
          <w:tcPr>
            <w:tcW w:w="143" w:type="dxa"/>
            <w:tcBorders>
              <w:bottom w:val="single" w:color="000000" w:sz="16"/>
            </w:tcBorders>
            <w:tcMar>
              <w:top w:w="15" w:type="dxa"/>
              <w:left w:w="15" w:type="dxa"/>
              <w:bottom w:w="15" w:type="dxa"/>
              <w:right w:w="15" w:type="dxa"/>
            </w:tcMar>
            <w:vAlign w:val="bottom"/>
          </w:tcPr>
          <w:p/>
        </w:tc>
        <w:tc>
          <w:tcPr>
            <w:tcW w:w="1288"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56" w:type="dxa"/>
            <w:tcBorders/>
            <w:tcMar>
              <w:top w:w="15" w:type="dxa"/>
              <w:left w:w="15" w:type="dxa"/>
              <w:bottom w:w="30" w:type="dxa"/>
              <w:right w:w="15" w:type="dxa"/>
            </w:tcMar>
            <w:vAlign w:val="bottom"/>
          </w:tcPr>
          <w:p/>
        </w:tc>
        <w:tc>
          <w:tcPr>
            <w:tcW w:w="106" w:type="dxa"/>
            <w:tcBorders/>
            <w:tcMar>
              <w:top w:w="15" w:type="dxa"/>
              <w:left w:w="15" w:type="dxa"/>
              <w:bottom w:w="30" w:type="dxa"/>
              <w:right w:w="15" w:type="dxa"/>
            </w:tcMar>
            <w:vAlign w:val="bottom"/>
          </w:tcPr>
          <w:p/>
        </w:tc>
        <w:tc>
          <w:tcPr>
            <w:tcW w:w="106" w:type="dxa"/>
            <w:tcBorders>
              <w:bottom w:val="single" w:color="000000" w:sz="16"/>
            </w:tcBorders>
            <w:tcMar>
              <w:top w:w="15" w:type="dxa"/>
              <w:left w:w="15" w:type="dxa"/>
              <w:bottom w:w="15" w:type="dxa"/>
              <w:right w:w="15" w:type="dxa"/>
            </w:tcMar>
            <w:vAlign w:val="bottom"/>
          </w:tcPr>
          <w:p/>
        </w:tc>
        <w:tc>
          <w:tcPr>
            <w:tcW w:w="1402"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1,014,583 </w:t>
            </w:r>
          </w:p>
        </w:tc>
        <w:tc>
          <w:tcPr>
            <w:tcW w:w="156" w:type="dxa"/>
            <w:tcBorders/>
            <w:tcMar>
              <w:top w:w="15" w:type="dxa"/>
              <w:left w:w="15" w:type="dxa"/>
              <w:bottom w:w="30" w:type="dxa"/>
              <w:right w:w="15" w:type="dxa"/>
            </w:tcMar>
            <w:vAlign w:val="bottom"/>
          </w:tcPr>
          <w:p/>
        </w:tc>
      </w:tr>
      <w:tr>
        <w:trPr>
          <w:trHeight w:val="480" w:hRule="atLeast"/>
        </w:trPr>
        <w:tc>
          <w:tcPr>
            <w:tcW w:w="3417" w:type="dxa"/>
            <w:tcBorders/>
            <w:shd w:fill="cceeff"/>
            <w:tcMar>
              <w:top w:w="15" w:type="dxa"/>
              <w:left w:w="15" w:type="dxa"/>
              <w:bottom w:w="30" w:type="dxa"/>
              <w:right w:w="15" w:type="dxa"/>
            </w:tcMar>
            <w:vAlign w:val="top"/>
          </w:tcPr>
          <w:p>
            <w:pPr>
              <w:spacing w:before="0" w:after="0"/>
              <w:ind w:left="264"/>
              <w:jc w:val="left"/>
            </w:pPr>
            <w:r>
              <w:rPr>
                <w:rFonts w:ascii="Times New Roman" w:hAnsi="Times New Roman"/>
                <w:b/>
                <w:i w:val="false"/>
                <w:color w:val="000000"/>
                <w:sz w:val="20"/>
              </w:rPr>
              <w:t xml:space="preserve"> Balance as of December 31, 2021 </w:t>
            </w:r>
          </w:p>
        </w:tc>
        <w:tc>
          <w:tcPr>
            <w:tcW w:w="105" w:type="dxa"/>
            <w:tcBorders/>
            <w:shd w:fill="cceeff"/>
            <w:tcMar>
              <w:top w:w="15" w:type="dxa"/>
              <w:left w:w="15" w:type="dxa"/>
              <w:bottom w:w="30" w:type="dxa"/>
              <w:right w:w="15" w:type="dxa"/>
            </w:tcMar>
            <w:vAlign w:val="bottom"/>
          </w:tcPr>
          <w:p/>
        </w:tc>
        <w:tc>
          <w:tcPr>
            <w:tcW w:w="105" w:type="dxa"/>
            <w:tcBorders>
              <w:bottom w:val="single" w:color="000000" w:sz="16"/>
            </w:tcBorders>
            <w:shd w:fill="cceeff"/>
            <w:tcMar>
              <w:top w:w="15" w:type="dxa"/>
              <w:left w:w="15" w:type="dxa"/>
              <w:bottom w:w="15" w:type="dxa"/>
              <w:right w:w="15" w:type="dxa"/>
            </w:tcMar>
            <w:vAlign w:val="bottom"/>
          </w:tcPr>
          <w:p/>
        </w:tc>
        <w:tc>
          <w:tcPr>
            <w:tcW w:w="1206"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5,304,452 </w:t>
            </w:r>
          </w:p>
        </w:tc>
        <w:tc>
          <w:tcPr>
            <w:tcW w:w="105" w:type="dxa"/>
            <w:tcBorders/>
            <w:shd w:fill="cceeff"/>
            <w:tcMar>
              <w:top w:w="15" w:type="dxa"/>
              <w:left w:w="15" w:type="dxa"/>
              <w:bottom w:w="30" w:type="dxa"/>
              <w:right w:w="15" w:type="dxa"/>
            </w:tcMar>
            <w:vAlign w:val="bottom"/>
          </w:tcPr>
          <w:p/>
        </w:tc>
        <w:tc>
          <w:tcPr>
            <w:tcW w:w="105" w:type="dxa"/>
            <w:tcBorders/>
            <w:shd w:fill="cceeff"/>
            <w:tcMar>
              <w:top w:w="15" w:type="dxa"/>
              <w:left w:w="15" w:type="dxa"/>
              <w:bottom w:w="30" w:type="dxa"/>
              <w:right w:w="15" w:type="dxa"/>
            </w:tcMar>
            <w:vAlign w:val="bottom"/>
          </w:tcPr>
          <w:p/>
        </w:tc>
        <w:tc>
          <w:tcPr>
            <w:tcW w:w="105" w:type="dxa"/>
            <w:tcBorders>
              <w:bottom w:val="single" w:color="000000" w:sz="16"/>
            </w:tcBorders>
            <w:shd w:fill="cceeff"/>
            <w:tcMar>
              <w:top w:w="15" w:type="dxa"/>
              <w:left w:w="15" w:type="dxa"/>
              <w:bottom w:w="15" w:type="dxa"/>
              <w:right w:w="15" w:type="dxa"/>
            </w:tcMar>
            <w:vAlign w:val="bottom"/>
          </w:tcPr>
          <w:p/>
        </w:tc>
        <w:tc>
          <w:tcPr>
            <w:tcW w:w="1402"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280,310,744 </w:t>
            </w:r>
          </w:p>
        </w:tc>
        <w:tc>
          <w:tcPr>
            <w:tcW w:w="156" w:type="dxa"/>
            <w:tcBorders/>
            <w:shd w:fill="cceeff"/>
            <w:tcMar>
              <w:top w:w="15" w:type="dxa"/>
              <w:left w:w="15" w:type="dxa"/>
              <w:bottom w:w="30" w:type="dxa"/>
              <w:right w:w="15" w:type="dxa"/>
            </w:tcMar>
            <w:vAlign w:val="bottom"/>
          </w:tcPr>
          <w:p/>
        </w:tc>
        <w:tc>
          <w:tcPr>
            <w:tcW w:w="105" w:type="dxa"/>
            <w:tcBorders/>
            <w:shd w:fill="cceeff"/>
            <w:tcMar>
              <w:top w:w="15" w:type="dxa"/>
              <w:left w:w="15" w:type="dxa"/>
              <w:bottom w:w="30" w:type="dxa"/>
              <w:right w:w="15" w:type="dxa"/>
            </w:tcMar>
            <w:vAlign w:val="bottom"/>
          </w:tcPr>
          <w:p/>
        </w:tc>
        <w:tc>
          <w:tcPr>
            <w:tcW w:w="106" w:type="dxa"/>
            <w:tcBorders>
              <w:bottom w:val="single" w:color="000000" w:sz="16"/>
            </w:tcBorders>
            <w:shd w:fill="cceeff"/>
            <w:tcMar>
              <w:top w:w="15" w:type="dxa"/>
              <w:left w:w="15" w:type="dxa"/>
              <w:bottom w:w="15" w:type="dxa"/>
              <w:right w:w="15" w:type="dxa"/>
            </w:tcMar>
            <w:vAlign w:val="bottom"/>
          </w:tcPr>
          <w:p/>
        </w:tc>
        <w:tc>
          <w:tcPr>
            <w:tcW w:w="1269"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30,591,209 </w:t>
            </w:r>
          </w:p>
        </w:tc>
        <w:tc>
          <w:tcPr>
            <w:tcW w:w="106" w:type="dxa"/>
            <w:tcBorders/>
            <w:shd w:fill="cceeff"/>
            <w:tcMar>
              <w:top w:w="15" w:type="dxa"/>
              <w:left w:w="15" w:type="dxa"/>
              <w:bottom w:w="30" w:type="dxa"/>
              <w:right w:w="15" w:type="dxa"/>
            </w:tcMar>
            <w:vAlign w:val="bottom"/>
          </w:tcPr>
          <w:p/>
        </w:tc>
        <w:tc>
          <w:tcPr>
            <w:tcW w:w="106" w:type="dxa"/>
            <w:tcBorders/>
            <w:shd w:fill="cceeff"/>
            <w:tcMar>
              <w:top w:w="15" w:type="dxa"/>
              <w:left w:w="15" w:type="dxa"/>
              <w:bottom w:w="30" w:type="dxa"/>
              <w:right w:w="15" w:type="dxa"/>
            </w:tcMar>
            <w:vAlign w:val="bottom"/>
          </w:tcPr>
          <w:p/>
        </w:tc>
        <w:tc>
          <w:tcPr>
            <w:tcW w:w="126" w:type="dxa"/>
            <w:tcBorders>
              <w:bottom w:val="single" w:color="000000" w:sz="16"/>
            </w:tcBorders>
            <w:shd w:fill="cceeff"/>
            <w:tcMar>
              <w:top w:w="15" w:type="dxa"/>
              <w:left w:w="15" w:type="dxa"/>
              <w:bottom w:w="15" w:type="dxa"/>
              <w:right w:w="15" w:type="dxa"/>
            </w:tcMar>
            <w:vAlign w:val="bottom"/>
          </w:tcPr>
          <w:p/>
        </w:tc>
        <w:tc>
          <w:tcPr>
            <w:tcW w:w="1491"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(213,975,679 </w:t>
            </w:r>
          </w:p>
        </w:tc>
        <w:tc>
          <w:tcPr>
            <w:tcW w:w="156" w:type="dxa"/>
            <w:tcBorders/>
            <w:shd w:fill="cceeff"/>
            <w:tcMar>
              <w:top w:w="15" w:type="dxa"/>
              <w:left w:w="15" w:type="dxa"/>
              <w:bottom w:w="30" w:type="dxa"/>
              <w:right w:w="15" w:type="dxa"/>
            </w:tcMar>
            <w:vAlign w:val="bottom"/>
          </w:tcPr>
          <w:p>
            <w:pPr>
              <w:spacing w:before="0" w:after="0"/>
              <w:ind w:left="120"/>
              <w:jc w:val="left"/>
            </w:pPr>
            <w:r>
              <w:rPr>
                <w:rFonts w:ascii="Times New Roman" w:hAnsi="Times New Roman"/>
                <w:b/>
                <w:i w:val="false"/>
                <w:color w:val="000000"/>
                <w:sz w:val="20"/>
              </w:rPr>
              <w:t xml:space="preserve"> ) </w:t>
            </w:r>
          </w:p>
        </w:tc>
        <w:tc>
          <w:tcPr>
            <w:tcW w:w="106" w:type="dxa"/>
            <w:tcBorders/>
            <w:shd w:fill="cceeff"/>
            <w:tcMar>
              <w:top w:w="15" w:type="dxa"/>
              <w:left w:w="15" w:type="dxa"/>
              <w:bottom w:w="30" w:type="dxa"/>
              <w:right w:w="15" w:type="dxa"/>
            </w:tcMar>
            <w:vAlign w:val="bottom"/>
          </w:tcPr>
          <w:p/>
        </w:tc>
        <w:tc>
          <w:tcPr>
            <w:tcW w:w="143" w:type="dxa"/>
            <w:tcBorders>
              <w:bottom w:val="single" w:color="000000" w:sz="16"/>
            </w:tcBorders>
            <w:shd w:fill="cceeff"/>
            <w:tcMar>
              <w:top w:w="15" w:type="dxa"/>
              <w:left w:w="15" w:type="dxa"/>
              <w:bottom w:w="15" w:type="dxa"/>
              <w:right w:w="15" w:type="dxa"/>
            </w:tcMar>
            <w:vAlign w:val="bottom"/>
          </w:tcPr>
          <w:p/>
        </w:tc>
        <w:tc>
          <w:tcPr>
            <w:tcW w:w="1288"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3,050,270 </w:t>
            </w:r>
          </w:p>
        </w:tc>
        <w:tc>
          <w:tcPr>
            <w:tcW w:w="156" w:type="dxa"/>
            <w:tcBorders/>
            <w:shd w:fill="cceeff"/>
            <w:tcMar>
              <w:top w:w="15" w:type="dxa"/>
              <w:left w:w="15" w:type="dxa"/>
              <w:bottom w:w="30" w:type="dxa"/>
              <w:right w:w="15" w:type="dxa"/>
            </w:tcMar>
            <w:vAlign w:val="bottom"/>
          </w:tcPr>
          <w:p/>
        </w:tc>
        <w:tc>
          <w:tcPr>
            <w:tcW w:w="106" w:type="dxa"/>
            <w:tcBorders/>
            <w:shd w:fill="cceeff"/>
            <w:tcMar>
              <w:top w:w="15" w:type="dxa"/>
              <w:left w:w="15" w:type="dxa"/>
              <w:bottom w:w="30" w:type="dxa"/>
              <w:right w:w="15" w:type="dxa"/>
            </w:tcMar>
            <w:vAlign w:val="bottom"/>
          </w:tcPr>
          <w:p/>
        </w:tc>
        <w:tc>
          <w:tcPr>
            <w:tcW w:w="106" w:type="dxa"/>
            <w:tcBorders>
              <w:bottom w:val="single" w:color="000000" w:sz="16"/>
            </w:tcBorders>
            <w:shd w:fill="cceeff"/>
            <w:tcMar>
              <w:top w:w="15" w:type="dxa"/>
              <w:left w:w="15" w:type="dxa"/>
              <w:bottom w:w="15" w:type="dxa"/>
              <w:right w:w="15" w:type="dxa"/>
            </w:tcMar>
            <w:vAlign w:val="bottom"/>
          </w:tcPr>
          <w:p/>
        </w:tc>
        <w:tc>
          <w:tcPr>
            <w:tcW w:w="1402"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105,280,996 </w:t>
            </w:r>
          </w:p>
        </w:tc>
        <w:tc>
          <w:tcPr>
            <w:tcW w:w="156" w:type="dxa"/>
            <w:tcBorders/>
            <w:shd w:fill="cceeff"/>
            <w:tcMar>
              <w:top w:w="15" w:type="dxa"/>
              <w:left w:w="15" w:type="dxa"/>
              <w:bottom w:w="30" w:type="dxa"/>
              <w:right w:w="15" w:type="dxa"/>
            </w:tcMar>
            <w:vAlign w:val="bottom"/>
          </w:tcPr>
          <w:p/>
        </w:tc>
      </w:tr>
    </w:tbl>
    <w:bookmarkEnd w:id="101"/>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DSPFPageBreakArea" w:id="102"/>
    <w:p>
      <w:pPr>
        <w:spacing w:before="0" w:after="0"/>
        <w:ind w:left="120"/>
        <w:jc w:val="left"/>
      </w:pPr>
      <w:bookmarkStart w:name="DSPFPageBreak" w:id="103"/>
    </w:p>
    <w:p>
      <w:r>
        <w:pict>
          <v:rect style="width:0;height:1.5pt" id="_x0000_i1025" o:hr="t" o:hrstd="t" o:hralign="center" stroked="f" fillcolor="#a0a0a0"/>
        </w:pict>
      </w:r>
    </w:p>
    <w:bookmarkEnd w:id="103"/>
    <w:bookmarkStart w:name="DSPFPageHeader" w:id="104"/>
    <w:tbl>
      <w:tblPr>
        <w:tblW w:w="0" w:type="auto"/>
        <w:tblCellSpacing w:w="0" w:type="dxa"/>
        <w:tblBorders>
          <w:top w:val="none"/>
          <w:left w:val="none"/>
          <w:bottom w:val="none"/>
          <w:right w:val="none"/>
          <w:insideH w:val="none"/>
          <w:insideV w:val="none"/>
        </w:tblBorders>
      </w:tblPr>
      <w:tblGrid>
        <w:gridCol w:w="6817"/>
        <w:gridCol w:w="6817"/>
      </w:tblGrid>
      <w:tr>
        <w:trPr/>
        <w:tc>
          <w:tcPr>
            <w:tcW w:w="6817" w:type="dxa"/>
            <w:tcBorders/>
            <w:tcMar>
              <w:top w:w="15" w:type="dxa"/>
              <w:left w:w="15" w:type="dxa"/>
              <w:bottom w:w="15" w:type="dxa"/>
              <w:right w:w="15" w:type="dxa"/>
            </w:tcMar>
            <w:vAlign w:val="center"/>
          </w:tcPr>
          <w:p>
            <w:r>
              <w:drawing>
                <wp:inline distT="0" distB="0" distL="0" distR="0">
                  <wp:extent cx="1543050" cy="55245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43050" cy="552450"/>
                          </a:xfrm>
                          <a:prstGeom prst="rect">
                            <a:avLst/>
                          </a:prstGeom>
                        </pic:spPr>
                      </pic:pic>
                    </a:graphicData>
                  </a:graphic>
                </wp:inline>
              </w:drawing>
            </w:r>
          </w:p>
        </w:tc>
        <w:tc>
          <w:tcPr>
            <w:tcW w:w="6817" w:type="dxa"/>
            <w:tcBorders/>
            <w:tcMar>
              <w:top w:w="15" w:type="dxa"/>
              <w:left w:w="15" w:type="dxa"/>
              <w:bottom w:w="15" w:type="dxa"/>
              <w:right w:w="15" w:type="dxa"/>
            </w:tcMar>
            <w:vAlign w:val="center"/>
          </w:tcPr>
          <w:p>
            <w:pPr>
              <w:spacing w:before="0" w:after="0"/>
              <w:ind w:left="120"/>
              <w:jc w:val="left"/>
            </w:pPr>
          </w:p>
        </w:tc>
      </w:tr>
    </w:tbl>
    <w:bookmarkEnd w:id="104"/>
    <w:bookmarkEnd w:id="102"/>
    <w:p>
      <w:pPr>
        <w:spacing w:before="0" w:after="0"/>
        <w:ind w:left="120"/>
        <w:jc w:val="both"/>
      </w:pPr>
      <w:r>
        <w:rPr>
          <w:rFonts w:ascii="Times New Roman" w:hAnsi="Times New Roman"/>
          <w:b/>
          <w:i w:val="false"/>
          <w:color w:val="000000"/>
          <w:sz w:val="20"/>
        </w:rPr>
        <w:t xml:space="preserve"> InflaRx N.V. and subsidiaries </w:t>
      </w:r>
    </w:p>
    <w:p>
      <w:pPr>
        <w:spacing w:before="0" w:after="0"/>
        <w:ind w:left="120"/>
        <w:jc w:val="both"/>
      </w:pPr>
      <w:r>
        <w:rPr>
          <w:rFonts w:ascii="Times New Roman" w:hAnsi="Times New Roman"/>
          <w:b/>
          <w:i w:val="false"/>
          <w:color w:val="000000"/>
          <w:sz w:val="20"/>
        </w:rPr>
        <w:t xml:space="preserve"> Consolidated Statements of Cash Flows for the Years ended December 31, 2021, 2020 and 2019 </w:t>
      </w:r>
    </w:p>
    <w:p>
      <w:pPr>
        <w:spacing w:before="0" w:after="0"/>
        <w:ind w:left="120"/>
        <w:jc w:val="left"/>
      </w:pPr>
    </w:p>
    <w:bookmarkStart w:name="z986cdbc567614a00aea3af28e6fb41c5" w:id="105"/>
    <w:tbl>
      <w:tblPr>
        <w:tblW w:w="0" w:type="auto"/>
        <w:tblCellSpacing w:w="0" w:type="dxa"/>
        <w:tblBorders>
          <w:top w:val="none"/>
          <w:left w:val="none"/>
          <w:bottom w:val="none"/>
          <w:right w:val="none"/>
          <w:insideH w:val="none"/>
          <w:insideV w:val="none"/>
        </w:tblBorders>
      </w:tblPr>
      <w:tblGrid>
        <w:gridCol w:w="8165"/>
        <w:gridCol w:w="125"/>
        <w:gridCol w:w="125"/>
        <w:gridCol w:w="1358"/>
        <w:gridCol w:w="156"/>
        <w:gridCol w:w="125"/>
        <w:gridCol w:w="125"/>
        <w:gridCol w:w="1491"/>
        <w:gridCol w:w="156"/>
        <w:gridCol w:w="125"/>
        <w:gridCol w:w="125"/>
        <w:gridCol w:w="1402"/>
        <w:gridCol w:w="156"/>
      </w:tblGrid>
      <w:tr>
        <w:trPr>
          <w:trHeight w:val="255" w:hRule="atLeast"/>
        </w:trPr>
        <w:tc>
          <w:tcPr>
            <w:tcW w:w="8165" w:type="dxa"/>
            <w:tcBorders/>
            <w:tcMar>
              <w:top w:w="15" w:type="dxa"/>
              <w:left w:w="15" w:type="dxa"/>
              <w:bottom w:w="30" w:type="dxa"/>
              <w:right w:w="15" w:type="dxa"/>
            </w:tcMar>
            <w:vAlign w:val="bottom"/>
          </w:tcPr>
          <w:p>
            <w:pPr>
              <w:spacing w:before="0" w:after="0"/>
              <w:ind w:left="264"/>
              <w:jc w:val="left"/>
            </w:pPr>
            <w:r>
              <w:rPr>
                <w:rFonts w:ascii="Times New Roman" w:hAnsi="Times New Roman"/>
                <w:b/>
                <w:i w:val="false"/>
                <w:color w:val="000000"/>
                <w:sz w:val="20"/>
              </w:rPr>
              <w:t xml:space="preserve"> in € </w:t>
            </w:r>
          </w:p>
        </w:tc>
        <w:tc>
          <w:tcPr>
            <w:tcW w:w="125" w:type="dxa"/>
            <w:tcBorders/>
            <w:tcMar>
              <w:top w:w="15" w:type="dxa"/>
              <w:left w:w="15" w:type="dxa"/>
              <w:bottom w:w="30" w:type="dxa"/>
              <w:right w:w="15" w:type="dxa"/>
            </w:tcMar>
            <w:vAlign w:val="bottom"/>
          </w:tcPr>
          <w:p/>
        </w:tc>
        <w:tc>
          <w:tcPr>
            <w:tcW w:w="0" w:type="auto"/>
            <w:gridSpan w:val="2"/>
            <w:tcBorders>
              <w:bottom w:val="single" w:color="000000" w:sz="16"/>
            </w:tcBorders>
            <w:tcMar>
              <w:top w:w="15" w:type="dxa"/>
              <w:left w:w="15" w:type="dxa"/>
              <w:bottom w:w="15" w:type="dxa"/>
              <w:right w:w="15" w:type="dxa"/>
            </w:tcMar>
            <w:vAlign w:val="bottom"/>
          </w:tcPr>
          <w:p>
            <w:pPr>
              <w:spacing w:before="0" w:after="0"/>
              <w:ind w:left="120"/>
              <w:jc w:val="center"/>
            </w:pPr>
            <w:r>
              <w:rPr>
                <w:rFonts w:ascii="Times New Roman" w:hAnsi="Times New Roman"/>
                <w:b/>
                <w:i w:val="false"/>
                <w:color w:val="000000"/>
                <w:sz w:val="20"/>
              </w:rPr>
              <w:t xml:space="preserve"> 2021 </w:t>
            </w:r>
          </w:p>
        </w:tc>
        <w:tc>
          <w:tcPr>
            <w:tcW w:w="156" w:type="dxa"/>
            <w:tcBorders/>
            <w:tcMar>
              <w:top w:w="15" w:type="dxa"/>
              <w:left w:w="15" w:type="dxa"/>
              <w:bottom w:w="30" w:type="dxa"/>
              <w:right w:w="15" w:type="dxa"/>
            </w:tcMar>
            <w:vAlign w:val="bottom"/>
          </w:tcPr>
          <w:p/>
        </w:tc>
        <w:tc>
          <w:tcPr>
            <w:tcW w:w="125" w:type="dxa"/>
            <w:tcBorders/>
            <w:tcMar>
              <w:top w:w="15" w:type="dxa"/>
              <w:left w:w="15" w:type="dxa"/>
              <w:bottom w:w="30" w:type="dxa"/>
              <w:right w:w="15" w:type="dxa"/>
            </w:tcMar>
            <w:vAlign w:val="bottom"/>
          </w:tcPr>
          <w:p/>
        </w:tc>
        <w:tc>
          <w:tcPr>
            <w:tcW w:w="0" w:type="auto"/>
            <w:gridSpan w:val="2"/>
            <w:tcBorders>
              <w:bottom w:val="single" w:color="000000" w:sz="16"/>
            </w:tcBorders>
            <w:tcMar>
              <w:top w:w="15" w:type="dxa"/>
              <w:left w:w="15" w:type="dxa"/>
              <w:bottom w:w="15" w:type="dxa"/>
              <w:right w:w="15" w:type="dxa"/>
            </w:tcMar>
            <w:vAlign w:val="bottom"/>
          </w:tcPr>
          <w:p>
            <w:pPr>
              <w:spacing w:before="0" w:after="0"/>
              <w:ind w:left="120"/>
              <w:jc w:val="center"/>
            </w:pPr>
            <w:r>
              <w:rPr>
                <w:rFonts w:ascii="Times New Roman" w:hAnsi="Times New Roman"/>
                <w:b/>
                <w:i w:val="false"/>
                <w:color w:val="000000"/>
                <w:sz w:val="20"/>
              </w:rPr>
              <w:t xml:space="preserve"> 2020 </w:t>
            </w:r>
          </w:p>
        </w:tc>
        <w:tc>
          <w:tcPr>
            <w:tcW w:w="156" w:type="dxa"/>
            <w:tcBorders/>
            <w:tcMar>
              <w:top w:w="15" w:type="dxa"/>
              <w:left w:w="15" w:type="dxa"/>
              <w:bottom w:w="30" w:type="dxa"/>
              <w:right w:w="15" w:type="dxa"/>
            </w:tcMar>
            <w:vAlign w:val="bottom"/>
          </w:tcPr>
          <w:p/>
        </w:tc>
        <w:tc>
          <w:tcPr>
            <w:tcW w:w="125" w:type="dxa"/>
            <w:tcBorders/>
            <w:tcMar>
              <w:top w:w="15" w:type="dxa"/>
              <w:left w:w="15" w:type="dxa"/>
              <w:bottom w:w="30" w:type="dxa"/>
              <w:right w:w="15" w:type="dxa"/>
            </w:tcMar>
            <w:vAlign w:val="bottom"/>
          </w:tcPr>
          <w:p/>
        </w:tc>
        <w:tc>
          <w:tcPr>
            <w:tcW w:w="0" w:type="auto"/>
            <w:gridSpan w:val="2"/>
            <w:tcBorders>
              <w:bottom w:val="single" w:color="000000" w:sz="16"/>
            </w:tcBorders>
            <w:tcMar>
              <w:top w:w="15" w:type="dxa"/>
              <w:left w:w="15" w:type="dxa"/>
              <w:bottom w:w="15" w:type="dxa"/>
              <w:right w:w="15" w:type="dxa"/>
            </w:tcMar>
            <w:vAlign w:val="bottom"/>
          </w:tcPr>
          <w:p>
            <w:pPr>
              <w:spacing w:before="0" w:after="0"/>
              <w:ind w:left="120"/>
              <w:jc w:val="center"/>
            </w:pPr>
            <w:r>
              <w:rPr>
                <w:rFonts w:ascii="Times New Roman" w:hAnsi="Times New Roman"/>
                <w:b/>
                <w:i w:val="false"/>
                <w:color w:val="000000"/>
                <w:sz w:val="20"/>
              </w:rPr>
              <w:t xml:space="preserve"> 2019 </w:t>
            </w:r>
          </w:p>
        </w:tc>
        <w:tc>
          <w:tcPr>
            <w:tcW w:w="156" w:type="dxa"/>
            <w:tcBorders/>
            <w:tcMar>
              <w:top w:w="15" w:type="dxa"/>
              <w:left w:w="15" w:type="dxa"/>
              <w:bottom w:w="30" w:type="dxa"/>
              <w:right w:w="15" w:type="dxa"/>
            </w:tcMar>
            <w:vAlign w:val="bottom"/>
          </w:tcPr>
          <w:p/>
        </w:tc>
      </w:tr>
      <w:tr>
        <w:trPr/>
        <w:tc>
          <w:tcPr>
            <w:tcW w:w="8165"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0" w:type="auto"/>
            <w:gridSpan w:val="2"/>
            <w:tcBorders/>
            <w:tcMar>
              <w:top w:w="15" w:type="dxa"/>
              <w:left w:w="15" w:type="dxa"/>
              <w:bottom w:w="15" w:type="dxa"/>
              <w:right w:w="15" w:type="dxa"/>
            </w:tcMar>
            <w:vAlign w:val="bottom"/>
          </w:tcPr>
          <w:p/>
        </w:tc>
        <w:tc>
          <w:tcPr>
            <w:tcW w:w="156"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0" w:type="auto"/>
            <w:gridSpan w:val="2"/>
            <w:tcBorders/>
            <w:tcMar>
              <w:top w:w="15" w:type="dxa"/>
              <w:left w:w="15" w:type="dxa"/>
              <w:bottom w:w="15" w:type="dxa"/>
              <w:right w:w="15" w:type="dxa"/>
            </w:tcMar>
            <w:vAlign w:val="bottom"/>
          </w:tcPr>
          <w:p/>
        </w:tc>
        <w:tc>
          <w:tcPr>
            <w:tcW w:w="156"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0" w:type="auto"/>
            <w:gridSpan w:val="2"/>
            <w:tcBorders/>
            <w:tcMar>
              <w:top w:w="15" w:type="dxa"/>
              <w:left w:w="15" w:type="dxa"/>
              <w:bottom w:w="15" w:type="dxa"/>
              <w:right w:w="15" w:type="dxa"/>
            </w:tcMar>
            <w:vAlign w:val="bottom"/>
          </w:tcPr>
          <w:p/>
        </w:tc>
        <w:tc>
          <w:tcPr>
            <w:tcW w:w="156" w:type="dxa"/>
            <w:tcBorders/>
            <w:tcMar>
              <w:top w:w="15" w:type="dxa"/>
              <w:left w:w="15" w:type="dxa"/>
              <w:bottom w:w="15" w:type="dxa"/>
              <w:right w:w="15" w:type="dxa"/>
            </w:tcMar>
            <w:vAlign w:val="bottom"/>
          </w:tcPr>
          <w:p/>
        </w:tc>
      </w:tr>
      <w:tr>
        <w:trPr>
          <w:trHeight w:val="225" w:hRule="atLeast"/>
        </w:trPr>
        <w:tc>
          <w:tcPr>
            <w:tcW w:w="8165" w:type="dxa"/>
            <w:tcBorders/>
            <w:tcMar>
              <w:top w:w="15" w:type="dxa"/>
              <w:left w:w="15" w:type="dxa"/>
              <w:bottom w:w="15" w:type="dxa"/>
              <w:right w:w="15" w:type="dxa"/>
            </w:tcMar>
            <w:vAlign w:val="bottom"/>
          </w:tcPr>
          <w:p>
            <w:pPr>
              <w:spacing w:before="0" w:after="0"/>
              <w:ind w:left="264"/>
              <w:jc w:val="left"/>
            </w:pPr>
            <w:r>
              <w:rPr>
                <w:rFonts w:ascii="Times New Roman" w:hAnsi="Times New Roman"/>
                <w:b/>
                <w:i w:val="false"/>
                <w:color w:val="000000"/>
                <w:sz w:val="20"/>
              </w:rPr>
              <w:t xml:space="preserve"> Operating activities </w:t>
            </w:r>
          </w:p>
        </w:tc>
        <w:tc>
          <w:tcPr>
            <w:tcW w:w="125" w:type="dxa"/>
            <w:tcBorders/>
            <w:tcMar>
              <w:top w:w="15" w:type="dxa"/>
              <w:left w:w="15" w:type="dxa"/>
              <w:bottom w:w="15" w:type="dxa"/>
              <w:right w:w="15" w:type="dxa"/>
            </w:tcMar>
            <w:vAlign w:val="bottom"/>
          </w:tcPr>
          <w:p/>
        </w:tc>
        <w:tc>
          <w:tcPr>
            <w:tcW w:w="0" w:type="auto"/>
            <w:gridSpan w:val="2"/>
            <w:tcBorders/>
            <w:tcMar>
              <w:top w:w="15" w:type="dxa"/>
              <w:left w:w="15" w:type="dxa"/>
              <w:bottom w:w="15" w:type="dxa"/>
              <w:right w:w="15" w:type="dxa"/>
            </w:tcMar>
            <w:vAlign w:val="bottom"/>
          </w:tcPr>
          <w:p/>
        </w:tc>
        <w:tc>
          <w:tcPr>
            <w:tcW w:w="156"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0" w:type="auto"/>
            <w:gridSpan w:val="2"/>
            <w:tcBorders/>
            <w:tcMar>
              <w:top w:w="15" w:type="dxa"/>
              <w:left w:w="15" w:type="dxa"/>
              <w:bottom w:w="15" w:type="dxa"/>
              <w:right w:w="15" w:type="dxa"/>
            </w:tcMar>
            <w:vAlign w:val="bottom"/>
          </w:tcPr>
          <w:p/>
        </w:tc>
        <w:tc>
          <w:tcPr>
            <w:tcW w:w="156"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0" w:type="auto"/>
            <w:gridSpan w:val="2"/>
            <w:tcBorders/>
            <w:tcMar>
              <w:top w:w="15" w:type="dxa"/>
              <w:left w:w="15" w:type="dxa"/>
              <w:bottom w:w="15" w:type="dxa"/>
              <w:right w:w="15" w:type="dxa"/>
            </w:tcMar>
            <w:vAlign w:val="bottom"/>
          </w:tcPr>
          <w:p/>
        </w:tc>
        <w:tc>
          <w:tcPr>
            <w:tcW w:w="156" w:type="dxa"/>
            <w:tcBorders/>
            <w:tcMar>
              <w:top w:w="15" w:type="dxa"/>
              <w:left w:w="15" w:type="dxa"/>
              <w:bottom w:w="15" w:type="dxa"/>
              <w:right w:w="15" w:type="dxa"/>
            </w:tcMar>
            <w:vAlign w:val="bottom"/>
          </w:tcPr>
          <w:p/>
        </w:tc>
      </w:tr>
      <w:tr>
        <w:trPr>
          <w:trHeight w:val="210" w:hRule="atLeast"/>
        </w:trPr>
        <w:tc>
          <w:tcPr>
            <w:tcW w:w="8165" w:type="dxa"/>
            <w:tcBorders/>
            <w:shd w:fill="cceeff"/>
            <w:tcMar>
              <w:top w:w="15" w:type="dxa"/>
              <w:left w:w="15" w:type="dxa"/>
              <w:bottom w:w="15" w:type="dxa"/>
              <w:right w:w="15" w:type="dxa"/>
            </w:tcMar>
            <w:vAlign w:val="bottom"/>
          </w:tcPr>
          <w:p>
            <w:pPr>
              <w:spacing w:before="0" w:after="0"/>
              <w:ind w:left="264"/>
              <w:jc w:val="left"/>
            </w:pPr>
            <w:r>
              <w:rPr>
                <w:rFonts w:ascii="Times New Roman" w:hAnsi="Times New Roman"/>
                <w:b w:val="false"/>
                <w:i w:val="false"/>
                <w:color w:val="000000"/>
                <w:sz w:val="20"/>
              </w:rPr>
              <w:t xml:space="preserve"> Loss for the Period </w:t>
            </w:r>
          </w:p>
        </w:tc>
        <w:tc>
          <w:tcPr>
            <w:tcW w:w="125" w:type="dxa"/>
            <w:tcBorders/>
            <w:shd w:fill="cceeff"/>
            <w:tcMar>
              <w:top w:w="15" w:type="dxa"/>
              <w:left w:w="15" w:type="dxa"/>
              <w:bottom w:w="15" w:type="dxa"/>
              <w:right w:w="15" w:type="dxa"/>
            </w:tcMar>
            <w:vAlign w:val="bottom"/>
          </w:tcPr>
          <w:p/>
        </w:tc>
        <w:tc>
          <w:tcPr>
            <w:tcW w:w="125" w:type="dxa"/>
            <w:tcBorders/>
            <w:shd w:fill="cceeff"/>
            <w:tcMar>
              <w:top w:w="15" w:type="dxa"/>
              <w:left w:w="15" w:type="dxa"/>
              <w:bottom w:w="15" w:type="dxa"/>
              <w:right w:w="15" w:type="dxa"/>
            </w:tcMar>
            <w:vAlign w:val="bottom"/>
          </w:tcPr>
          <w:p/>
        </w:tc>
        <w:tc>
          <w:tcPr>
            <w:tcW w:w="1358"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(45,630,059 </w:t>
            </w:r>
          </w:p>
        </w:tc>
        <w:tc>
          <w:tcPr>
            <w:tcW w:w="156" w:type="dxa"/>
            <w:tcBorders/>
            <w:shd w:fill="cceeff"/>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c>
          <w:tcPr>
            <w:tcW w:w="125" w:type="dxa"/>
            <w:tcBorders/>
            <w:shd w:fill="cceeff"/>
            <w:tcMar>
              <w:top w:w="15" w:type="dxa"/>
              <w:left w:w="15" w:type="dxa"/>
              <w:bottom w:w="15" w:type="dxa"/>
              <w:right w:w="15" w:type="dxa"/>
            </w:tcMar>
            <w:vAlign w:val="bottom"/>
          </w:tcPr>
          <w:p/>
        </w:tc>
        <w:tc>
          <w:tcPr>
            <w:tcW w:w="125" w:type="dxa"/>
            <w:tcBorders/>
            <w:shd w:fill="cceeff"/>
            <w:tcMar>
              <w:top w:w="15" w:type="dxa"/>
              <w:left w:w="15" w:type="dxa"/>
              <w:bottom w:w="15" w:type="dxa"/>
              <w:right w:w="15" w:type="dxa"/>
            </w:tcMar>
            <w:vAlign w:val="bottom"/>
          </w:tcPr>
          <w:p/>
        </w:tc>
        <w:tc>
          <w:tcPr>
            <w:tcW w:w="1491"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(33,983,614 </w:t>
            </w:r>
          </w:p>
        </w:tc>
        <w:tc>
          <w:tcPr>
            <w:tcW w:w="156" w:type="dxa"/>
            <w:tcBorders/>
            <w:shd w:fill="cceeff"/>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c>
          <w:tcPr>
            <w:tcW w:w="125" w:type="dxa"/>
            <w:tcBorders/>
            <w:shd w:fill="cceeff"/>
            <w:tcMar>
              <w:top w:w="15" w:type="dxa"/>
              <w:left w:w="15" w:type="dxa"/>
              <w:bottom w:w="15" w:type="dxa"/>
              <w:right w:w="15" w:type="dxa"/>
            </w:tcMar>
            <w:vAlign w:val="bottom"/>
          </w:tcPr>
          <w:p/>
        </w:tc>
        <w:tc>
          <w:tcPr>
            <w:tcW w:w="125" w:type="dxa"/>
            <w:tcBorders/>
            <w:shd w:fill="cceeff"/>
            <w:tcMar>
              <w:top w:w="15" w:type="dxa"/>
              <w:left w:w="15" w:type="dxa"/>
              <w:bottom w:w="15" w:type="dxa"/>
              <w:right w:w="15" w:type="dxa"/>
            </w:tcMar>
            <w:vAlign w:val="bottom"/>
          </w:tcPr>
          <w:p/>
        </w:tc>
        <w:tc>
          <w:tcPr>
            <w:tcW w:w="1402"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(53,254,817 </w:t>
            </w:r>
          </w:p>
        </w:tc>
        <w:tc>
          <w:tcPr>
            <w:tcW w:w="156" w:type="dxa"/>
            <w:tcBorders/>
            <w:shd w:fill="cceeff"/>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r>
      <w:tr>
        <w:trPr>
          <w:trHeight w:val="210" w:hRule="atLeast"/>
        </w:trPr>
        <w:tc>
          <w:tcPr>
            <w:tcW w:w="8165" w:type="dxa"/>
            <w:tcBorders/>
            <w:tcMar>
              <w:top w:w="15" w:type="dxa"/>
              <w:left w:w="15" w:type="dxa"/>
              <w:bottom w:w="15" w:type="dxa"/>
              <w:right w:w="15" w:type="dxa"/>
            </w:tcMar>
            <w:vAlign w:val="bottom"/>
          </w:tcPr>
          <w:p>
            <w:pPr>
              <w:spacing w:before="0" w:after="0"/>
              <w:ind w:left="264"/>
              <w:jc w:val="left"/>
            </w:pPr>
            <w:r>
              <w:rPr>
                <w:rFonts w:ascii="Times New Roman" w:hAnsi="Times New Roman"/>
                <w:b w:val="false"/>
                <w:i w:val="false"/>
                <w:color w:val="000000"/>
                <w:sz w:val="20"/>
              </w:rPr>
              <w:t xml:space="preserve"> Adjustments for: </w:t>
            </w:r>
          </w:p>
        </w:tc>
        <w:tc>
          <w:tcPr>
            <w:tcW w:w="125"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358" w:type="dxa"/>
            <w:tcBorders/>
            <w:tcMar>
              <w:top w:w="15" w:type="dxa"/>
              <w:left w:w="15" w:type="dxa"/>
              <w:bottom w:w="15" w:type="dxa"/>
              <w:right w:w="15" w:type="dxa"/>
            </w:tcMar>
            <w:vAlign w:val="bottom"/>
          </w:tcPr>
          <w:p/>
        </w:tc>
        <w:tc>
          <w:tcPr>
            <w:tcW w:w="156"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491" w:type="dxa"/>
            <w:tcBorders/>
            <w:tcMar>
              <w:top w:w="15" w:type="dxa"/>
              <w:left w:w="15" w:type="dxa"/>
              <w:bottom w:w="15" w:type="dxa"/>
              <w:right w:w="15" w:type="dxa"/>
            </w:tcMar>
            <w:vAlign w:val="bottom"/>
          </w:tcPr>
          <w:p/>
        </w:tc>
        <w:tc>
          <w:tcPr>
            <w:tcW w:w="156"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402" w:type="dxa"/>
            <w:tcBorders/>
            <w:tcMar>
              <w:top w:w="15" w:type="dxa"/>
              <w:left w:w="15" w:type="dxa"/>
              <w:bottom w:w="15" w:type="dxa"/>
              <w:right w:w="15" w:type="dxa"/>
            </w:tcMar>
            <w:vAlign w:val="bottom"/>
          </w:tcPr>
          <w:p/>
        </w:tc>
        <w:tc>
          <w:tcPr>
            <w:tcW w:w="156" w:type="dxa"/>
            <w:tcBorders/>
            <w:tcMar>
              <w:top w:w="15" w:type="dxa"/>
              <w:left w:w="15" w:type="dxa"/>
              <w:bottom w:w="15" w:type="dxa"/>
              <w:right w:w="15" w:type="dxa"/>
            </w:tcMar>
            <w:vAlign w:val="bottom"/>
          </w:tcPr>
          <w:p/>
        </w:tc>
      </w:tr>
      <w:tr>
        <w:trPr>
          <w:trHeight w:val="435" w:hRule="atLeast"/>
        </w:trPr>
        <w:tc>
          <w:tcPr>
            <w:tcW w:w="8165" w:type="dxa"/>
            <w:tcBorders/>
            <w:shd w:fill="cceeff"/>
            <w:tcMar>
              <w:top w:w="15" w:type="dxa"/>
              <w:left w:w="15" w:type="dxa"/>
              <w:bottom w:w="15" w:type="dxa"/>
              <w:right w:w="15" w:type="dxa"/>
            </w:tcMar>
            <w:vAlign w:val="bottom"/>
          </w:tcPr>
          <w:p>
            <w:pPr>
              <w:spacing w:before="0" w:after="0"/>
              <w:ind w:left="444"/>
              <w:jc w:val="left"/>
            </w:pPr>
            <w:r>
              <w:rPr>
                <w:rFonts w:ascii="Times New Roman" w:hAnsi="Times New Roman"/>
                <w:b w:val="false"/>
                <w:i w:val="false"/>
                <w:color w:val="000000"/>
                <w:sz w:val="20"/>
              </w:rPr>
              <w:t xml:space="preserve"> Depreciation &amp; amortization of property and equipment, right-of-use assets and intangible assets </w:t>
            </w:r>
          </w:p>
        </w:tc>
        <w:tc>
          <w:tcPr>
            <w:tcW w:w="125" w:type="dxa"/>
            <w:tcBorders/>
            <w:shd w:fill="cceeff"/>
            <w:tcMar>
              <w:top w:w="15" w:type="dxa"/>
              <w:left w:w="15" w:type="dxa"/>
              <w:bottom w:w="15" w:type="dxa"/>
              <w:right w:w="15" w:type="dxa"/>
            </w:tcMar>
            <w:vAlign w:val="bottom"/>
          </w:tcPr>
          <w:p/>
        </w:tc>
        <w:tc>
          <w:tcPr>
            <w:tcW w:w="125" w:type="dxa"/>
            <w:tcBorders/>
            <w:shd w:fill="cceeff"/>
            <w:tcMar>
              <w:top w:w="15" w:type="dxa"/>
              <w:left w:w="15" w:type="dxa"/>
              <w:bottom w:w="15" w:type="dxa"/>
              <w:right w:w="15" w:type="dxa"/>
            </w:tcMar>
            <w:vAlign w:val="bottom"/>
          </w:tcPr>
          <w:p/>
        </w:tc>
        <w:tc>
          <w:tcPr>
            <w:tcW w:w="1358"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669,434 </w:t>
            </w:r>
          </w:p>
        </w:tc>
        <w:tc>
          <w:tcPr>
            <w:tcW w:w="156" w:type="dxa"/>
            <w:tcBorders/>
            <w:shd w:fill="cceeff"/>
            <w:tcMar>
              <w:top w:w="15" w:type="dxa"/>
              <w:left w:w="15" w:type="dxa"/>
              <w:bottom w:w="15" w:type="dxa"/>
              <w:right w:w="15" w:type="dxa"/>
            </w:tcMar>
            <w:vAlign w:val="bottom"/>
          </w:tcPr>
          <w:p/>
        </w:tc>
        <w:tc>
          <w:tcPr>
            <w:tcW w:w="125" w:type="dxa"/>
            <w:tcBorders/>
            <w:shd w:fill="cceeff"/>
            <w:tcMar>
              <w:top w:w="15" w:type="dxa"/>
              <w:left w:w="15" w:type="dxa"/>
              <w:bottom w:w="15" w:type="dxa"/>
              <w:right w:w="15" w:type="dxa"/>
            </w:tcMar>
            <w:vAlign w:val="bottom"/>
          </w:tcPr>
          <w:p/>
        </w:tc>
        <w:tc>
          <w:tcPr>
            <w:tcW w:w="125" w:type="dxa"/>
            <w:tcBorders/>
            <w:shd w:fill="cceeff"/>
            <w:tcMar>
              <w:top w:w="15" w:type="dxa"/>
              <w:left w:w="15" w:type="dxa"/>
              <w:bottom w:w="15" w:type="dxa"/>
              <w:right w:w="15" w:type="dxa"/>
            </w:tcMar>
            <w:vAlign w:val="bottom"/>
          </w:tcPr>
          <w:p/>
        </w:tc>
        <w:tc>
          <w:tcPr>
            <w:tcW w:w="1491"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712,713 </w:t>
            </w:r>
          </w:p>
        </w:tc>
        <w:tc>
          <w:tcPr>
            <w:tcW w:w="156" w:type="dxa"/>
            <w:tcBorders/>
            <w:shd w:fill="cceeff"/>
            <w:tcMar>
              <w:top w:w="15" w:type="dxa"/>
              <w:left w:w="15" w:type="dxa"/>
              <w:bottom w:w="15" w:type="dxa"/>
              <w:right w:w="15" w:type="dxa"/>
            </w:tcMar>
            <w:vAlign w:val="bottom"/>
          </w:tcPr>
          <w:p/>
        </w:tc>
        <w:tc>
          <w:tcPr>
            <w:tcW w:w="125" w:type="dxa"/>
            <w:tcBorders/>
            <w:shd w:fill="cceeff"/>
            <w:tcMar>
              <w:top w:w="15" w:type="dxa"/>
              <w:left w:w="15" w:type="dxa"/>
              <w:bottom w:w="15" w:type="dxa"/>
              <w:right w:w="15" w:type="dxa"/>
            </w:tcMar>
            <w:vAlign w:val="bottom"/>
          </w:tcPr>
          <w:p/>
        </w:tc>
        <w:tc>
          <w:tcPr>
            <w:tcW w:w="125" w:type="dxa"/>
            <w:tcBorders/>
            <w:shd w:fill="cceeff"/>
            <w:tcMar>
              <w:top w:w="15" w:type="dxa"/>
              <w:left w:w="15" w:type="dxa"/>
              <w:bottom w:w="15" w:type="dxa"/>
              <w:right w:w="15" w:type="dxa"/>
            </w:tcMar>
            <w:vAlign w:val="bottom"/>
          </w:tcPr>
          <w:p/>
        </w:tc>
        <w:tc>
          <w:tcPr>
            <w:tcW w:w="1402"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663,166 </w:t>
            </w:r>
          </w:p>
        </w:tc>
        <w:tc>
          <w:tcPr>
            <w:tcW w:w="156" w:type="dxa"/>
            <w:tcBorders/>
            <w:shd w:fill="cceeff"/>
            <w:tcMar>
              <w:top w:w="15" w:type="dxa"/>
              <w:left w:w="15" w:type="dxa"/>
              <w:bottom w:w="15" w:type="dxa"/>
              <w:right w:w="15" w:type="dxa"/>
            </w:tcMar>
            <w:vAlign w:val="bottom"/>
          </w:tcPr>
          <w:p/>
        </w:tc>
      </w:tr>
      <w:tr>
        <w:trPr>
          <w:trHeight w:val="210" w:hRule="atLeast"/>
        </w:trPr>
        <w:tc>
          <w:tcPr>
            <w:tcW w:w="8165" w:type="dxa"/>
            <w:tcBorders/>
            <w:tcMar>
              <w:top w:w="15" w:type="dxa"/>
              <w:left w:w="15" w:type="dxa"/>
              <w:bottom w:w="15" w:type="dxa"/>
              <w:right w:w="15" w:type="dxa"/>
            </w:tcMar>
            <w:vAlign w:val="top"/>
          </w:tcPr>
          <w:p>
            <w:pPr>
              <w:spacing w:before="0" w:after="0"/>
              <w:ind w:left="444"/>
              <w:jc w:val="left"/>
            </w:pPr>
            <w:r>
              <w:rPr>
                <w:rFonts w:ascii="Times New Roman" w:hAnsi="Times New Roman"/>
                <w:b w:val="false"/>
                <w:i w:val="false"/>
                <w:color w:val="000000"/>
                <w:sz w:val="20"/>
              </w:rPr>
              <w:t xml:space="preserve"> Net finance income </w:t>
            </w:r>
          </w:p>
        </w:tc>
        <w:tc>
          <w:tcPr>
            <w:tcW w:w="125"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358"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(2,004,757 </w:t>
            </w:r>
          </w:p>
        </w:tc>
        <w:tc>
          <w:tcPr>
            <w:tcW w:w="156" w:type="dxa"/>
            <w:tcBorders/>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c>
          <w:tcPr>
            <w:tcW w:w="125"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491"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40,810 </w:t>
            </w:r>
          </w:p>
        </w:tc>
        <w:tc>
          <w:tcPr>
            <w:tcW w:w="156"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402"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(3,513,355 </w:t>
            </w:r>
          </w:p>
        </w:tc>
        <w:tc>
          <w:tcPr>
            <w:tcW w:w="156" w:type="dxa"/>
            <w:tcBorders/>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r>
      <w:tr>
        <w:trPr>
          <w:trHeight w:val="210" w:hRule="atLeast"/>
        </w:trPr>
        <w:tc>
          <w:tcPr>
            <w:tcW w:w="8165" w:type="dxa"/>
            <w:tcBorders/>
            <w:shd w:fill="cceeff"/>
            <w:tcMar>
              <w:top w:w="15" w:type="dxa"/>
              <w:left w:w="15" w:type="dxa"/>
              <w:bottom w:w="15" w:type="dxa"/>
              <w:right w:w="15" w:type="dxa"/>
            </w:tcMar>
            <w:vAlign w:val="top"/>
          </w:tcPr>
          <w:p>
            <w:pPr>
              <w:spacing w:before="0" w:after="0"/>
              <w:ind w:left="444"/>
              <w:jc w:val="left"/>
            </w:pPr>
            <w:r>
              <w:rPr>
                <w:rFonts w:ascii="Times New Roman" w:hAnsi="Times New Roman"/>
                <w:b w:val="false"/>
                <w:i w:val="false"/>
                <w:color w:val="000000"/>
                <w:sz w:val="20"/>
              </w:rPr>
              <w:t xml:space="preserve"> Share-based payment expense </w:t>
            </w:r>
          </w:p>
        </w:tc>
        <w:tc>
          <w:tcPr>
            <w:tcW w:w="125" w:type="dxa"/>
            <w:tcBorders/>
            <w:shd w:fill="cceeff"/>
            <w:tcMar>
              <w:top w:w="15" w:type="dxa"/>
              <w:left w:w="15" w:type="dxa"/>
              <w:bottom w:w="15" w:type="dxa"/>
              <w:right w:w="15" w:type="dxa"/>
            </w:tcMar>
            <w:vAlign w:val="bottom"/>
          </w:tcPr>
          <w:p/>
        </w:tc>
        <w:tc>
          <w:tcPr>
            <w:tcW w:w="125" w:type="dxa"/>
            <w:tcBorders/>
            <w:shd w:fill="cceeff"/>
            <w:tcMar>
              <w:top w:w="15" w:type="dxa"/>
              <w:left w:w="15" w:type="dxa"/>
              <w:bottom w:w="15" w:type="dxa"/>
              <w:right w:w="15" w:type="dxa"/>
            </w:tcMar>
            <w:vAlign w:val="bottom"/>
          </w:tcPr>
          <w:p/>
        </w:tc>
        <w:tc>
          <w:tcPr>
            <w:tcW w:w="1358"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4,332,205 </w:t>
            </w:r>
          </w:p>
        </w:tc>
        <w:tc>
          <w:tcPr>
            <w:tcW w:w="156" w:type="dxa"/>
            <w:tcBorders/>
            <w:shd w:fill="cceeff"/>
            <w:tcMar>
              <w:top w:w="15" w:type="dxa"/>
              <w:left w:w="15" w:type="dxa"/>
              <w:bottom w:w="15" w:type="dxa"/>
              <w:right w:w="15" w:type="dxa"/>
            </w:tcMar>
            <w:vAlign w:val="bottom"/>
          </w:tcPr>
          <w:p/>
        </w:tc>
        <w:tc>
          <w:tcPr>
            <w:tcW w:w="125" w:type="dxa"/>
            <w:tcBorders/>
            <w:shd w:fill="cceeff"/>
            <w:tcMar>
              <w:top w:w="15" w:type="dxa"/>
              <w:left w:w="15" w:type="dxa"/>
              <w:bottom w:w="15" w:type="dxa"/>
              <w:right w:w="15" w:type="dxa"/>
            </w:tcMar>
            <w:vAlign w:val="bottom"/>
          </w:tcPr>
          <w:p/>
        </w:tc>
        <w:tc>
          <w:tcPr>
            <w:tcW w:w="125" w:type="dxa"/>
            <w:tcBorders/>
            <w:shd w:fill="cceeff"/>
            <w:tcMar>
              <w:top w:w="15" w:type="dxa"/>
              <w:left w:w="15" w:type="dxa"/>
              <w:bottom w:w="15" w:type="dxa"/>
              <w:right w:w="15" w:type="dxa"/>
            </w:tcMar>
            <w:vAlign w:val="bottom"/>
          </w:tcPr>
          <w:p/>
        </w:tc>
        <w:tc>
          <w:tcPr>
            <w:tcW w:w="1491"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1,116,791 </w:t>
            </w:r>
          </w:p>
        </w:tc>
        <w:tc>
          <w:tcPr>
            <w:tcW w:w="156" w:type="dxa"/>
            <w:tcBorders/>
            <w:shd w:fill="cceeff"/>
            <w:tcMar>
              <w:top w:w="15" w:type="dxa"/>
              <w:left w:w="15" w:type="dxa"/>
              <w:bottom w:w="15" w:type="dxa"/>
              <w:right w:w="15" w:type="dxa"/>
            </w:tcMar>
            <w:vAlign w:val="bottom"/>
          </w:tcPr>
          <w:p/>
        </w:tc>
        <w:tc>
          <w:tcPr>
            <w:tcW w:w="125" w:type="dxa"/>
            <w:tcBorders/>
            <w:shd w:fill="cceeff"/>
            <w:tcMar>
              <w:top w:w="15" w:type="dxa"/>
              <w:left w:w="15" w:type="dxa"/>
              <w:bottom w:w="15" w:type="dxa"/>
              <w:right w:w="15" w:type="dxa"/>
            </w:tcMar>
            <w:vAlign w:val="bottom"/>
          </w:tcPr>
          <w:p/>
        </w:tc>
        <w:tc>
          <w:tcPr>
            <w:tcW w:w="125" w:type="dxa"/>
            <w:tcBorders/>
            <w:shd w:fill="cceeff"/>
            <w:tcMar>
              <w:top w:w="15" w:type="dxa"/>
              <w:left w:w="15" w:type="dxa"/>
              <w:bottom w:w="15" w:type="dxa"/>
              <w:right w:w="15" w:type="dxa"/>
            </w:tcMar>
            <w:vAlign w:val="bottom"/>
          </w:tcPr>
          <w:p/>
        </w:tc>
        <w:tc>
          <w:tcPr>
            <w:tcW w:w="1402"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6,832,210 </w:t>
            </w:r>
          </w:p>
        </w:tc>
        <w:tc>
          <w:tcPr>
            <w:tcW w:w="156" w:type="dxa"/>
            <w:tcBorders/>
            <w:shd w:fill="cceeff"/>
            <w:tcMar>
              <w:top w:w="15" w:type="dxa"/>
              <w:left w:w="15" w:type="dxa"/>
              <w:bottom w:w="15" w:type="dxa"/>
              <w:right w:w="15" w:type="dxa"/>
            </w:tcMar>
            <w:vAlign w:val="bottom"/>
          </w:tcPr>
          <w:p/>
        </w:tc>
      </w:tr>
      <w:tr>
        <w:trPr>
          <w:trHeight w:val="210" w:hRule="atLeast"/>
        </w:trPr>
        <w:tc>
          <w:tcPr>
            <w:tcW w:w="8165" w:type="dxa"/>
            <w:tcBorders/>
            <w:tcMar>
              <w:top w:w="15" w:type="dxa"/>
              <w:left w:w="15" w:type="dxa"/>
              <w:bottom w:w="15" w:type="dxa"/>
              <w:right w:w="15" w:type="dxa"/>
            </w:tcMar>
            <w:vAlign w:val="top"/>
          </w:tcPr>
          <w:p>
            <w:pPr>
              <w:spacing w:before="0" w:after="0"/>
              <w:ind w:left="444"/>
              <w:jc w:val="left"/>
            </w:pPr>
            <w:r>
              <w:rPr>
                <w:rFonts w:ascii="Times New Roman" w:hAnsi="Times New Roman"/>
                <w:b w:val="false"/>
                <w:i w:val="false"/>
                <w:color w:val="000000"/>
                <w:sz w:val="20"/>
              </w:rPr>
              <w:t xml:space="preserve"> Net foreign exchange differences </w:t>
            </w:r>
          </w:p>
        </w:tc>
        <w:tc>
          <w:tcPr>
            <w:tcW w:w="125"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358"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111,606 </w:t>
            </w:r>
          </w:p>
        </w:tc>
        <w:tc>
          <w:tcPr>
            <w:tcW w:w="156"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491"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(247,322 </w:t>
            </w:r>
          </w:p>
        </w:tc>
        <w:tc>
          <w:tcPr>
            <w:tcW w:w="156" w:type="dxa"/>
            <w:tcBorders/>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c>
          <w:tcPr>
            <w:tcW w:w="125"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402"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(368,477 </w:t>
            </w:r>
          </w:p>
        </w:tc>
        <w:tc>
          <w:tcPr>
            <w:tcW w:w="156" w:type="dxa"/>
            <w:tcBorders/>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r>
      <w:tr>
        <w:trPr>
          <w:trHeight w:val="210" w:hRule="atLeast"/>
        </w:trPr>
        <w:tc>
          <w:tcPr>
            <w:tcW w:w="8165" w:type="dxa"/>
            <w:tcBorders/>
            <w:shd w:fill="cceeff"/>
            <w:tcMar>
              <w:top w:w="15" w:type="dxa"/>
              <w:left w:w="15" w:type="dxa"/>
              <w:bottom w:w="15" w:type="dxa"/>
              <w:right w:w="15" w:type="dxa"/>
            </w:tcMar>
            <w:vAlign w:val="bottom"/>
          </w:tcPr>
          <w:p>
            <w:pPr>
              <w:spacing w:before="0" w:after="0"/>
              <w:ind w:left="444"/>
              <w:jc w:val="left"/>
            </w:pPr>
            <w:r>
              <w:rPr>
                <w:rFonts w:ascii="Times New Roman" w:hAnsi="Times New Roman"/>
                <w:b w:val="false"/>
                <w:i w:val="false"/>
                <w:color w:val="000000"/>
                <w:sz w:val="20"/>
              </w:rPr>
              <w:t xml:space="preserve"> Other non-cash adjustments </w:t>
            </w:r>
          </w:p>
        </w:tc>
        <w:tc>
          <w:tcPr>
            <w:tcW w:w="125" w:type="dxa"/>
            <w:tcBorders/>
            <w:shd w:fill="cceeff"/>
            <w:tcMar>
              <w:top w:w="15" w:type="dxa"/>
              <w:left w:w="15" w:type="dxa"/>
              <w:bottom w:w="15" w:type="dxa"/>
              <w:right w:w="15" w:type="dxa"/>
            </w:tcMar>
            <w:vAlign w:val="bottom"/>
          </w:tcPr>
          <w:p/>
        </w:tc>
        <w:tc>
          <w:tcPr>
            <w:tcW w:w="125" w:type="dxa"/>
            <w:tcBorders/>
            <w:shd w:fill="cceeff"/>
            <w:tcMar>
              <w:top w:w="15" w:type="dxa"/>
              <w:left w:w="15" w:type="dxa"/>
              <w:bottom w:w="15" w:type="dxa"/>
              <w:right w:w="15" w:type="dxa"/>
            </w:tcMar>
            <w:vAlign w:val="bottom"/>
          </w:tcPr>
          <w:p/>
        </w:tc>
        <w:tc>
          <w:tcPr>
            <w:tcW w:w="1358"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56" w:type="dxa"/>
            <w:tcBorders/>
            <w:shd w:fill="cceeff"/>
            <w:tcMar>
              <w:top w:w="15" w:type="dxa"/>
              <w:left w:w="15" w:type="dxa"/>
              <w:bottom w:w="15" w:type="dxa"/>
              <w:right w:w="15" w:type="dxa"/>
            </w:tcMar>
            <w:vAlign w:val="bottom"/>
          </w:tcPr>
          <w:p/>
        </w:tc>
        <w:tc>
          <w:tcPr>
            <w:tcW w:w="125" w:type="dxa"/>
            <w:tcBorders/>
            <w:shd w:fill="cceeff"/>
            <w:tcMar>
              <w:top w:w="15" w:type="dxa"/>
              <w:left w:w="15" w:type="dxa"/>
              <w:bottom w:w="15" w:type="dxa"/>
              <w:right w:w="15" w:type="dxa"/>
            </w:tcMar>
            <w:vAlign w:val="bottom"/>
          </w:tcPr>
          <w:p/>
        </w:tc>
        <w:tc>
          <w:tcPr>
            <w:tcW w:w="125" w:type="dxa"/>
            <w:tcBorders/>
            <w:shd w:fill="cceeff"/>
            <w:tcMar>
              <w:top w:w="15" w:type="dxa"/>
              <w:left w:w="15" w:type="dxa"/>
              <w:bottom w:w="15" w:type="dxa"/>
              <w:right w:w="15" w:type="dxa"/>
            </w:tcMar>
            <w:vAlign w:val="bottom"/>
          </w:tcPr>
          <w:p/>
        </w:tc>
        <w:tc>
          <w:tcPr>
            <w:tcW w:w="1491"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3,436 </w:t>
            </w:r>
          </w:p>
        </w:tc>
        <w:tc>
          <w:tcPr>
            <w:tcW w:w="156" w:type="dxa"/>
            <w:tcBorders/>
            <w:shd w:fill="cceeff"/>
            <w:tcMar>
              <w:top w:w="15" w:type="dxa"/>
              <w:left w:w="15" w:type="dxa"/>
              <w:bottom w:w="15" w:type="dxa"/>
              <w:right w:w="15" w:type="dxa"/>
            </w:tcMar>
            <w:vAlign w:val="bottom"/>
          </w:tcPr>
          <w:p/>
        </w:tc>
        <w:tc>
          <w:tcPr>
            <w:tcW w:w="125" w:type="dxa"/>
            <w:tcBorders/>
            <w:shd w:fill="cceeff"/>
            <w:tcMar>
              <w:top w:w="15" w:type="dxa"/>
              <w:left w:w="15" w:type="dxa"/>
              <w:bottom w:w="15" w:type="dxa"/>
              <w:right w:w="15" w:type="dxa"/>
            </w:tcMar>
            <w:vAlign w:val="bottom"/>
          </w:tcPr>
          <w:p/>
        </w:tc>
        <w:tc>
          <w:tcPr>
            <w:tcW w:w="125" w:type="dxa"/>
            <w:tcBorders/>
            <w:shd w:fill="cceeff"/>
            <w:tcMar>
              <w:top w:w="15" w:type="dxa"/>
              <w:left w:w="15" w:type="dxa"/>
              <w:bottom w:w="15" w:type="dxa"/>
              <w:right w:w="15" w:type="dxa"/>
            </w:tcMar>
            <w:vAlign w:val="bottom"/>
          </w:tcPr>
          <w:p/>
        </w:tc>
        <w:tc>
          <w:tcPr>
            <w:tcW w:w="1402"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60,628 </w:t>
            </w:r>
          </w:p>
        </w:tc>
        <w:tc>
          <w:tcPr>
            <w:tcW w:w="156" w:type="dxa"/>
            <w:tcBorders/>
            <w:shd w:fill="cceeff"/>
            <w:tcMar>
              <w:top w:w="15" w:type="dxa"/>
              <w:left w:w="15" w:type="dxa"/>
              <w:bottom w:w="15" w:type="dxa"/>
              <w:right w:w="15" w:type="dxa"/>
            </w:tcMar>
            <w:vAlign w:val="bottom"/>
          </w:tcPr>
          <w:p/>
        </w:tc>
      </w:tr>
      <w:tr>
        <w:trPr>
          <w:trHeight w:val="210" w:hRule="atLeast"/>
        </w:trPr>
        <w:tc>
          <w:tcPr>
            <w:tcW w:w="8165" w:type="dxa"/>
            <w:tcBorders/>
            <w:tcMar>
              <w:top w:w="15" w:type="dxa"/>
              <w:left w:w="15" w:type="dxa"/>
              <w:bottom w:w="15" w:type="dxa"/>
              <w:right w:w="15" w:type="dxa"/>
            </w:tcMar>
            <w:vAlign w:val="bottom"/>
          </w:tcPr>
          <w:p>
            <w:pPr>
              <w:spacing w:before="0" w:after="0"/>
              <w:ind w:left="264"/>
              <w:jc w:val="left"/>
            </w:pPr>
            <w:r>
              <w:rPr>
                <w:rFonts w:ascii="Times New Roman" w:hAnsi="Times New Roman"/>
                <w:b w:val="false"/>
                <w:i w:val="false"/>
                <w:color w:val="000000"/>
                <w:sz w:val="20"/>
              </w:rPr>
              <w:t xml:space="preserve"> Changes in: </w:t>
            </w:r>
          </w:p>
        </w:tc>
        <w:tc>
          <w:tcPr>
            <w:tcW w:w="125"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358" w:type="dxa"/>
            <w:tcBorders/>
            <w:tcMar>
              <w:top w:w="15" w:type="dxa"/>
              <w:left w:w="15" w:type="dxa"/>
              <w:bottom w:w="15" w:type="dxa"/>
              <w:right w:w="15" w:type="dxa"/>
            </w:tcMar>
            <w:vAlign w:val="bottom"/>
          </w:tcPr>
          <w:p/>
        </w:tc>
        <w:tc>
          <w:tcPr>
            <w:tcW w:w="156"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491" w:type="dxa"/>
            <w:tcBorders/>
            <w:tcMar>
              <w:top w:w="15" w:type="dxa"/>
              <w:left w:w="15" w:type="dxa"/>
              <w:bottom w:w="15" w:type="dxa"/>
              <w:right w:w="15" w:type="dxa"/>
            </w:tcMar>
            <w:vAlign w:val="bottom"/>
          </w:tcPr>
          <w:p/>
        </w:tc>
        <w:tc>
          <w:tcPr>
            <w:tcW w:w="156"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402" w:type="dxa"/>
            <w:tcBorders/>
            <w:tcMar>
              <w:top w:w="15" w:type="dxa"/>
              <w:left w:w="15" w:type="dxa"/>
              <w:bottom w:w="15" w:type="dxa"/>
              <w:right w:w="15" w:type="dxa"/>
            </w:tcMar>
            <w:vAlign w:val="bottom"/>
          </w:tcPr>
          <w:p/>
        </w:tc>
        <w:tc>
          <w:tcPr>
            <w:tcW w:w="156" w:type="dxa"/>
            <w:tcBorders/>
            <w:tcMar>
              <w:top w:w="15" w:type="dxa"/>
              <w:left w:w="15" w:type="dxa"/>
              <w:bottom w:w="15" w:type="dxa"/>
              <w:right w:w="15" w:type="dxa"/>
            </w:tcMar>
            <w:vAlign w:val="bottom"/>
          </w:tcPr>
          <w:p/>
        </w:tc>
      </w:tr>
      <w:tr>
        <w:trPr>
          <w:trHeight w:val="210" w:hRule="atLeast"/>
        </w:trPr>
        <w:tc>
          <w:tcPr>
            <w:tcW w:w="8165" w:type="dxa"/>
            <w:tcBorders/>
            <w:shd w:fill="cceeff"/>
            <w:tcMar>
              <w:top w:w="15" w:type="dxa"/>
              <w:left w:w="15" w:type="dxa"/>
              <w:bottom w:w="15" w:type="dxa"/>
              <w:right w:w="15" w:type="dxa"/>
            </w:tcMar>
            <w:vAlign w:val="bottom"/>
          </w:tcPr>
          <w:p>
            <w:pPr>
              <w:spacing w:before="0" w:after="0"/>
              <w:ind w:left="444"/>
              <w:jc w:val="left"/>
            </w:pPr>
            <w:r>
              <w:rPr>
                <w:rFonts w:ascii="Times New Roman" w:hAnsi="Times New Roman"/>
                <w:b w:val="false"/>
                <w:i w:val="false"/>
                <w:color w:val="000000"/>
                <w:sz w:val="20"/>
              </w:rPr>
              <w:t xml:space="preserve"> Other assets </w:t>
            </w:r>
          </w:p>
        </w:tc>
        <w:tc>
          <w:tcPr>
            <w:tcW w:w="125" w:type="dxa"/>
            <w:tcBorders/>
            <w:shd w:fill="cceeff"/>
            <w:tcMar>
              <w:top w:w="15" w:type="dxa"/>
              <w:left w:w="15" w:type="dxa"/>
              <w:bottom w:w="15" w:type="dxa"/>
              <w:right w:w="15" w:type="dxa"/>
            </w:tcMar>
            <w:vAlign w:val="bottom"/>
          </w:tcPr>
          <w:p/>
        </w:tc>
        <w:tc>
          <w:tcPr>
            <w:tcW w:w="125" w:type="dxa"/>
            <w:tcBorders/>
            <w:shd w:fill="cceeff"/>
            <w:tcMar>
              <w:top w:w="15" w:type="dxa"/>
              <w:left w:w="15" w:type="dxa"/>
              <w:bottom w:w="15" w:type="dxa"/>
              <w:right w:w="15" w:type="dxa"/>
            </w:tcMar>
            <w:vAlign w:val="bottom"/>
          </w:tcPr>
          <w:p/>
        </w:tc>
        <w:tc>
          <w:tcPr>
            <w:tcW w:w="1358"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(7,094,467 </w:t>
            </w:r>
          </w:p>
        </w:tc>
        <w:tc>
          <w:tcPr>
            <w:tcW w:w="156" w:type="dxa"/>
            <w:tcBorders/>
            <w:shd w:fill="cceeff"/>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c>
          <w:tcPr>
            <w:tcW w:w="125" w:type="dxa"/>
            <w:tcBorders/>
            <w:shd w:fill="cceeff"/>
            <w:tcMar>
              <w:top w:w="15" w:type="dxa"/>
              <w:left w:w="15" w:type="dxa"/>
              <w:bottom w:w="15" w:type="dxa"/>
              <w:right w:w="15" w:type="dxa"/>
            </w:tcMar>
            <w:vAlign w:val="bottom"/>
          </w:tcPr>
          <w:p/>
        </w:tc>
        <w:tc>
          <w:tcPr>
            <w:tcW w:w="125" w:type="dxa"/>
            <w:tcBorders/>
            <w:shd w:fill="cceeff"/>
            <w:tcMar>
              <w:top w:w="15" w:type="dxa"/>
              <w:left w:w="15" w:type="dxa"/>
              <w:bottom w:w="15" w:type="dxa"/>
              <w:right w:w="15" w:type="dxa"/>
            </w:tcMar>
            <w:vAlign w:val="bottom"/>
          </w:tcPr>
          <w:p/>
        </w:tc>
        <w:tc>
          <w:tcPr>
            <w:tcW w:w="1491"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(1,554,611 </w:t>
            </w:r>
          </w:p>
        </w:tc>
        <w:tc>
          <w:tcPr>
            <w:tcW w:w="156" w:type="dxa"/>
            <w:tcBorders/>
            <w:shd w:fill="cceeff"/>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c>
          <w:tcPr>
            <w:tcW w:w="125" w:type="dxa"/>
            <w:tcBorders/>
            <w:shd w:fill="cceeff"/>
            <w:tcMar>
              <w:top w:w="15" w:type="dxa"/>
              <w:left w:w="15" w:type="dxa"/>
              <w:bottom w:w="15" w:type="dxa"/>
              <w:right w:w="15" w:type="dxa"/>
            </w:tcMar>
            <w:vAlign w:val="bottom"/>
          </w:tcPr>
          <w:p/>
        </w:tc>
        <w:tc>
          <w:tcPr>
            <w:tcW w:w="125" w:type="dxa"/>
            <w:tcBorders/>
            <w:shd w:fill="cceeff"/>
            <w:tcMar>
              <w:top w:w="15" w:type="dxa"/>
              <w:left w:w="15" w:type="dxa"/>
              <w:bottom w:w="15" w:type="dxa"/>
              <w:right w:w="15" w:type="dxa"/>
            </w:tcMar>
            <w:vAlign w:val="bottom"/>
          </w:tcPr>
          <w:p/>
        </w:tc>
        <w:tc>
          <w:tcPr>
            <w:tcW w:w="1402"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(2,364,399 </w:t>
            </w:r>
          </w:p>
        </w:tc>
        <w:tc>
          <w:tcPr>
            <w:tcW w:w="156" w:type="dxa"/>
            <w:tcBorders/>
            <w:shd w:fill="cceeff"/>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r>
      <w:tr>
        <w:trPr>
          <w:trHeight w:val="210" w:hRule="atLeast"/>
        </w:trPr>
        <w:tc>
          <w:tcPr>
            <w:tcW w:w="8165" w:type="dxa"/>
            <w:tcBorders/>
            <w:tcMar>
              <w:top w:w="15" w:type="dxa"/>
              <w:left w:w="15" w:type="dxa"/>
              <w:bottom w:w="15" w:type="dxa"/>
              <w:right w:w="15" w:type="dxa"/>
            </w:tcMar>
            <w:vAlign w:val="bottom"/>
          </w:tcPr>
          <w:p>
            <w:pPr>
              <w:spacing w:before="0" w:after="0"/>
              <w:ind w:left="444"/>
              <w:jc w:val="left"/>
            </w:pPr>
            <w:r>
              <w:rPr>
                <w:rFonts w:ascii="Times New Roman" w:hAnsi="Times New Roman"/>
                <w:b w:val="false"/>
                <w:i w:val="false"/>
                <w:color w:val="000000"/>
                <w:sz w:val="20"/>
              </w:rPr>
              <w:t xml:space="preserve"> Employee benefits </w:t>
            </w:r>
          </w:p>
        </w:tc>
        <w:tc>
          <w:tcPr>
            <w:tcW w:w="125"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358"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(3,290 </w:t>
            </w:r>
          </w:p>
        </w:tc>
        <w:tc>
          <w:tcPr>
            <w:tcW w:w="156" w:type="dxa"/>
            <w:tcBorders/>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c>
          <w:tcPr>
            <w:tcW w:w="125"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491"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355,545 </w:t>
            </w:r>
          </w:p>
        </w:tc>
        <w:tc>
          <w:tcPr>
            <w:tcW w:w="156"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402"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235,500 </w:t>
            </w:r>
          </w:p>
        </w:tc>
        <w:tc>
          <w:tcPr>
            <w:tcW w:w="156" w:type="dxa"/>
            <w:tcBorders/>
            <w:tcMar>
              <w:top w:w="15" w:type="dxa"/>
              <w:left w:w="15" w:type="dxa"/>
              <w:bottom w:w="15" w:type="dxa"/>
              <w:right w:w="15" w:type="dxa"/>
            </w:tcMar>
            <w:vAlign w:val="bottom"/>
          </w:tcPr>
          <w:p/>
        </w:tc>
      </w:tr>
      <w:tr>
        <w:trPr>
          <w:trHeight w:val="210" w:hRule="atLeast"/>
        </w:trPr>
        <w:tc>
          <w:tcPr>
            <w:tcW w:w="8165" w:type="dxa"/>
            <w:tcBorders/>
            <w:shd w:fill="cceeff"/>
            <w:tcMar>
              <w:top w:w="15" w:type="dxa"/>
              <w:left w:w="15" w:type="dxa"/>
              <w:bottom w:w="15" w:type="dxa"/>
              <w:right w:w="15" w:type="dxa"/>
            </w:tcMar>
            <w:vAlign w:val="bottom"/>
          </w:tcPr>
          <w:p>
            <w:pPr>
              <w:spacing w:before="0" w:after="0"/>
              <w:ind w:left="444"/>
              <w:jc w:val="left"/>
            </w:pPr>
            <w:r>
              <w:rPr>
                <w:rFonts w:ascii="Times New Roman" w:hAnsi="Times New Roman"/>
                <w:b w:val="false"/>
                <w:i w:val="false"/>
                <w:color w:val="000000"/>
                <w:sz w:val="20"/>
              </w:rPr>
              <w:t xml:space="preserve"> Other liabilities </w:t>
            </w:r>
          </w:p>
        </w:tc>
        <w:tc>
          <w:tcPr>
            <w:tcW w:w="125" w:type="dxa"/>
            <w:tcBorders/>
            <w:shd w:fill="cceeff"/>
            <w:tcMar>
              <w:top w:w="15" w:type="dxa"/>
              <w:left w:w="15" w:type="dxa"/>
              <w:bottom w:w="15" w:type="dxa"/>
              <w:right w:w="15" w:type="dxa"/>
            </w:tcMar>
            <w:vAlign w:val="bottom"/>
          </w:tcPr>
          <w:p/>
        </w:tc>
        <w:tc>
          <w:tcPr>
            <w:tcW w:w="125" w:type="dxa"/>
            <w:tcBorders/>
            <w:shd w:fill="cceeff"/>
            <w:tcMar>
              <w:top w:w="15" w:type="dxa"/>
              <w:left w:w="15" w:type="dxa"/>
              <w:bottom w:w="15" w:type="dxa"/>
              <w:right w:w="15" w:type="dxa"/>
            </w:tcMar>
            <w:vAlign w:val="bottom"/>
          </w:tcPr>
          <w:p/>
        </w:tc>
        <w:tc>
          <w:tcPr>
            <w:tcW w:w="1358"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19,863 </w:t>
            </w:r>
          </w:p>
        </w:tc>
        <w:tc>
          <w:tcPr>
            <w:tcW w:w="156" w:type="dxa"/>
            <w:tcBorders/>
            <w:shd w:fill="cceeff"/>
            <w:tcMar>
              <w:top w:w="15" w:type="dxa"/>
              <w:left w:w="15" w:type="dxa"/>
              <w:bottom w:w="15" w:type="dxa"/>
              <w:right w:w="15" w:type="dxa"/>
            </w:tcMar>
            <w:vAlign w:val="bottom"/>
          </w:tcPr>
          <w:p/>
        </w:tc>
        <w:tc>
          <w:tcPr>
            <w:tcW w:w="125" w:type="dxa"/>
            <w:tcBorders/>
            <w:shd w:fill="cceeff"/>
            <w:tcMar>
              <w:top w:w="15" w:type="dxa"/>
              <w:left w:w="15" w:type="dxa"/>
              <w:bottom w:w="15" w:type="dxa"/>
              <w:right w:w="15" w:type="dxa"/>
            </w:tcMar>
            <w:vAlign w:val="bottom"/>
          </w:tcPr>
          <w:p/>
        </w:tc>
        <w:tc>
          <w:tcPr>
            <w:tcW w:w="125" w:type="dxa"/>
            <w:tcBorders/>
            <w:shd w:fill="cceeff"/>
            <w:tcMar>
              <w:top w:w="15" w:type="dxa"/>
              <w:left w:w="15" w:type="dxa"/>
              <w:bottom w:w="15" w:type="dxa"/>
              <w:right w:w="15" w:type="dxa"/>
            </w:tcMar>
            <w:vAlign w:val="bottom"/>
          </w:tcPr>
          <w:p/>
        </w:tc>
        <w:tc>
          <w:tcPr>
            <w:tcW w:w="1491"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8,960 </w:t>
            </w:r>
          </w:p>
        </w:tc>
        <w:tc>
          <w:tcPr>
            <w:tcW w:w="156" w:type="dxa"/>
            <w:tcBorders/>
            <w:shd w:fill="cceeff"/>
            <w:tcMar>
              <w:top w:w="15" w:type="dxa"/>
              <w:left w:w="15" w:type="dxa"/>
              <w:bottom w:w="15" w:type="dxa"/>
              <w:right w:w="15" w:type="dxa"/>
            </w:tcMar>
            <w:vAlign w:val="bottom"/>
          </w:tcPr>
          <w:p/>
        </w:tc>
        <w:tc>
          <w:tcPr>
            <w:tcW w:w="125" w:type="dxa"/>
            <w:tcBorders/>
            <w:shd w:fill="cceeff"/>
            <w:tcMar>
              <w:top w:w="15" w:type="dxa"/>
              <w:left w:w="15" w:type="dxa"/>
              <w:bottom w:w="15" w:type="dxa"/>
              <w:right w:w="15" w:type="dxa"/>
            </w:tcMar>
            <w:vAlign w:val="bottom"/>
          </w:tcPr>
          <w:p/>
        </w:tc>
        <w:tc>
          <w:tcPr>
            <w:tcW w:w="125" w:type="dxa"/>
            <w:tcBorders/>
            <w:shd w:fill="cceeff"/>
            <w:tcMar>
              <w:top w:w="15" w:type="dxa"/>
              <w:left w:w="15" w:type="dxa"/>
              <w:bottom w:w="15" w:type="dxa"/>
              <w:right w:w="15" w:type="dxa"/>
            </w:tcMar>
            <w:vAlign w:val="bottom"/>
          </w:tcPr>
          <w:p/>
        </w:tc>
        <w:tc>
          <w:tcPr>
            <w:tcW w:w="1402"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(209,948 </w:t>
            </w:r>
          </w:p>
        </w:tc>
        <w:tc>
          <w:tcPr>
            <w:tcW w:w="156" w:type="dxa"/>
            <w:tcBorders/>
            <w:shd w:fill="cceeff"/>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r>
      <w:tr>
        <w:trPr>
          <w:trHeight w:val="210" w:hRule="atLeast"/>
        </w:trPr>
        <w:tc>
          <w:tcPr>
            <w:tcW w:w="8165" w:type="dxa"/>
            <w:tcBorders/>
            <w:tcMar>
              <w:top w:w="15" w:type="dxa"/>
              <w:left w:w="15" w:type="dxa"/>
              <w:bottom w:w="15" w:type="dxa"/>
              <w:right w:w="15" w:type="dxa"/>
            </w:tcMar>
            <w:vAlign w:val="bottom"/>
          </w:tcPr>
          <w:p>
            <w:pPr>
              <w:spacing w:before="0" w:after="0"/>
              <w:ind w:left="444"/>
              <w:jc w:val="left"/>
            </w:pPr>
            <w:r>
              <w:rPr>
                <w:rFonts w:ascii="Times New Roman" w:hAnsi="Times New Roman"/>
                <w:b w:val="false"/>
                <w:i w:val="false"/>
                <w:color w:val="000000"/>
                <w:sz w:val="20"/>
              </w:rPr>
              <w:t xml:space="preserve"> Liabilities from government grants received </w:t>
            </w:r>
          </w:p>
        </w:tc>
        <w:tc>
          <w:tcPr>
            <w:tcW w:w="125"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358"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8,300,000 </w:t>
            </w:r>
          </w:p>
        </w:tc>
        <w:tc>
          <w:tcPr>
            <w:tcW w:w="156"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491"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56"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402"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56" w:type="dxa"/>
            <w:tcBorders/>
            <w:tcMar>
              <w:top w:w="15" w:type="dxa"/>
              <w:left w:w="15" w:type="dxa"/>
              <w:bottom w:w="15" w:type="dxa"/>
              <w:right w:w="15" w:type="dxa"/>
            </w:tcMar>
            <w:vAlign w:val="bottom"/>
          </w:tcPr>
          <w:p/>
        </w:tc>
      </w:tr>
      <w:tr>
        <w:trPr>
          <w:trHeight w:val="210" w:hRule="atLeast"/>
        </w:trPr>
        <w:tc>
          <w:tcPr>
            <w:tcW w:w="8165" w:type="dxa"/>
            <w:tcBorders/>
            <w:shd w:fill="cceeff"/>
            <w:tcMar>
              <w:top w:w="15" w:type="dxa"/>
              <w:left w:w="15" w:type="dxa"/>
              <w:bottom w:w="15" w:type="dxa"/>
              <w:right w:w="15" w:type="dxa"/>
            </w:tcMar>
            <w:vAlign w:val="bottom"/>
          </w:tcPr>
          <w:p>
            <w:pPr>
              <w:spacing w:before="0" w:after="0"/>
              <w:ind w:left="444"/>
              <w:jc w:val="left"/>
            </w:pPr>
            <w:r>
              <w:rPr>
                <w:rFonts w:ascii="Times New Roman" w:hAnsi="Times New Roman"/>
                <w:b w:val="false"/>
                <w:i w:val="false"/>
                <w:color w:val="000000"/>
                <w:sz w:val="20"/>
              </w:rPr>
              <w:t xml:space="preserve"> Trade and other payables </w:t>
            </w:r>
          </w:p>
        </w:tc>
        <w:tc>
          <w:tcPr>
            <w:tcW w:w="125" w:type="dxa"/>
            <w:tcBorders/>
            <w:shd w:fill="cceeff"/>
            <w:tcMar>
              <w:top w:w="15" w:type="dxa"/>
              <w:left w:w="15" w:type="dxa"/>
              <w:bottom w:w="15" w:type="dxa"/>
              <w:right w:w="15" w:type="dxa"/>
            </w:tcMar>
            <w:vAlign w:val="bottom"/>
          </w:tcPr>
          <w:p/>
        </w:tc>
        <w:tc>
          <w:tcPr>
            <w:tcW w:w="125" w:type="dxa"/>
            <w:tcBorders/>
            <w:shd w:fill="cceeff"/>
            <w:tcMar>
              <w:top w:w="15" w:type="dxa"/>
              <w:left w:w="15" w:type="dxa"/>
              <w:bottom w:w="15" w:type="dxa"/>
              <w:right w:w="15" w:type="dxa"/>
            </w:tcMar>
            <w:vAlign w:val="bottom"/>
          </w:tcPr>
          <w:p/>
        </w:tc>
        <w:tc>
          <w:tcPr>
            <w:tcW w:w="1358"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316,112 </w:t>
            </w:r>
          </w:p>
        </w:tc>
        <w:tc>
          <w:tcPr>
            <w:tcW w:w="156" w:type="dxa"/>
            <w:tcBorders/>
            <w:shd w:fill="cceeff"/>
            <w:tcMar>
              <w:top w:w="15" w:type="dxa"/>
              <w:left w:w="15" w:type="dxa"/>
              <w:bottom w:w="15" w:type="dxa"/>
              <w:right w:w="15" w:type="dxa"/>
            </w:tcMar>
            <w:vAlign w:val="bottom"/>
          </w:tcPr>
          <w:p/>
        </w:tc>
        <w:tc>
          <w:tcPr>
            <w:tcW w:w="125" w:type="dxa"/>
            <w:tcBorders/>
            <w:shd w:fill="cceeff"/>
            <w:tcMar>
              <w:top w:w="15" w:type="dxa"/>
              <w:left w:w="15" w:type="dxa"/>
              <w:bottom w:w="15" w:type="dxa"/>
              <w:right w:w="15" w:type="dxa"/>
            </w:tcMar>
            <w:vAlign w:val="bottom"/>
          </w:tcPr>
          <w:p/>
        </w:tc>
        <w:tc>
          <w:tcPr>
            <w:tcW w:w="125" w:type="dxa"/>
            <w:tcBorders/>
            <w:shd w:fill="cceeff"/>
            <w:tcMar>
              <w:top w:w="15" w:type="dxa"/>
              <w:left w:w="15" w:type="dxa"/>
              <w:bottom w:w="15" w:type="dxa"/>
              <w:right w:w="15" w:type="dxa"/>
            </w:tcMar>
            <w:vAlign w:val="bottom"/>
          </w:tcPr>
          <w:p/>
        </w:tc>
        <w:tc>
          <w:tcPr>
            <w:tcW w:w="1491"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(4,155,529 </w:t>
            </w:r>
          </w:p>
        </w:tc>
        <w:tc>
          <w:tcPr>
            <w:tcW w:w="156" w:type="dxa"/>
            <w:tcBorders/>
            <w:shd w:fill="cceeff"/>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c>
          <w:tcPr>
            <w:tcW w:w="125" w:type="dxa"/>
            <w:tcBorders/>
            <w:shd w:fill="cceeff"/>
            <w:tcMar>
              <w:top w:w="15" w:type="dxa"/>
              <w:left w:w="15" w:type="dxa"/>
              <w:bottom w:w="15" w:type="dxa"/>
              <w:right w:w="15" w:type="dxa"/>
            </w:tcMar>
            <w:vAlign w:val="bottom"/>
          </w:tcPr>
          <w:p/>
        </w:tc>
        <w:tc>
          <w:tcPr>
            <w:tcW w:w="125" w:type="dxa"/>
            <w:tcBorders/>
            <w:shd w:fill="cceeff"/>
            <w:tcMar>
              <w:top w:w="15" w:type="dxa"/>
              <w:left w:w="15" w:type="dxa"/>
              <w:bottom w:w="15" w:type="dxa"/>
              <w:right w:w="15" w:type="dxa"/>
            </w:tcMar>
            <w:vAlign w:val="bottom"/>
          </w:tcPr>
          <w:p/>
        </w:tc>
        <w:tc>
          <w:tcPr>
            <w:tcW w:w="1402"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5,734,795 </w:t>
            </w:r>
          </w:p>
        </w:tc>
        <w:tc>
          <w:tcPr>
            <w:tcW w:w="156" w:type="dxa"/>
            <w:tcBorders/>
            <w:shd w:fill="cceeff"/>
            <w:tcMar>
              <w:top w:w="15" w:type="dxa"/>
              <w:left w:w="15" w:type="dxa"/>
              <w:bottom w:w="15" w:type="dxa"/>
              <w:right w:w="15" w:type="dxa"/>
            </w:tcMar>
            <w:vAlign w:val="bottom"/>
          </w:tcPr>
          <w:p/>
        </w:tc>
      </w:tr>
      <w:tr>
        <w:trPr>
          <w:trHeight w:val="210" w:hRule="atLeast"/>
        </w:trPr>
        <w:tc>
          <w:tcPr>
            <w:tcW w:w="8165" w:type="dxa"/>
            <w:tcBorders/>
            <w:tcMar>
              <w:top w:w="15" w:type="dxa"/>
              <w:left w:w="15" w:type="dxa"/>
              <w:bottom w:w="15" w:type="dxa"/>
              <w:right w:w="15" w:type="dxa"/>
            </w:tcMar>
            <w:vAlign w:val="bottom"/>
          </w:tcPr>
          <w:p>
            <w:pPr>
              <w:spacing w:before="0" w:after="0"/>
              <w:ind w:left="264"/>
              <w:jc w:val="left"/>
            </w:pPr>
            <w:r>
              <w:rPr>
                <w:rFonts w:ascii="Times New Roman" w:hAnsi="Times New Roman"/>
                <w:b w:val="false"/>
                <w:i w:val="false"/>
                <w:color w:val="000000"/>
                <w:sz w:val="20"/>
              </w:rPr>
              <w:t xml:space="preserve"> Interest received </w:t>
            </w:r>
          </w:p>
        </w:tc>
        <w:tc>
          <w:tcPr>
            <w:tcW w:w="125"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358"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1,070,235 </w:t>
            </w:r>
          </w:p>
        </w:tc>
        <w:tc>
          <w:tcPr>
            <w:tcW w:w="156"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491"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1,201,547 </w:t>
            </w:r>
          </w:p>
        </w:tc>
        <w:tc>
          <w:tcPr>
            <w:tcW w:w="156"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402"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3,001,109 </w:t>
            </w:r>
          </w:p>
        </w:tc>
        <w:tc>
          <w:tcPr>
            <w:tcW w:w="156" w:type="dxa"/>
            <w:tcBorders/>
            <w:tcMar>
              <w:top w:w="15" w:type="dxa"/>
              <w:left w:w="15" w:type="dxa"/>
              <w:bottom w:w="15" w:type="dxa"/>
              <w:right w:w="15" w:type="dxa"/>
            </w:tcMar>
            <w:vAlign w:val="bottom"/>
          </w:tcPr>
          <w:p/>
        </w:tc>
      </w:tr>
      <w:tr>
        <w:trPr>
          <w:trHeight w:val="240" w:hRule="atLeast"/>
        </w:trPr>
        <w:tc>
          <w:tcPr>
            <w:tcW w:w="8165" w:type="dxa"/>
            <w:tcBorders/>
            <w:shd w:fill="cceeff"/>
            <w:tcMar>
              <w:top w:w="15" w:type="dxa"/>
              <w:left w:w="15" w:type="dxa"/>
              <w:bottom w:w="30" w:type="dxa"/>
              <w:right w:w="15" w:type="dxa"/>
            </w:tcMar>
            <w:vAlign w:val="bottom"/>
          </w:tcPr>
          <w:p>
            <w:pPr>
              <w:spacing w:before="0" w:after="0"/>
              <w:ind w:left="264"/>
              <w:jc w:val="left"/>
            </w:pPr>
            <w:r>
              <w:rPr>
                <w:rFonts w:ascii="Times New Roman" w:hAnsi="Times New Roman"/>
                <w:b w:val="false"/>
                <w:i w:val="false"/>
                <w:color w:val="000000"/>
                <w:sz w:val="20"/>
              </w:rPr>
              <w:t xml:space="preserve"> Interest paid </w:t>
            </w:r>
          </w:p>
        </w:tc>
        <w:tc>
          <w:tcPr>
            <w:tcW w:w="125" w:type="dxa"/>
            <w:tcBorders/>
            <w:shd w:fill="cceeff"/>
            <w:tcMar>
              <w:top w:w="15" w:type="dxa"/>
              <w:left w:w="15" w:type="dxa"/>
              <w:bottom w:w="30" w:type="dxa"/>
              <w:right w:w="15" w:type="dxa"/>
            </w:tcMar>
            <w:vAlign w:val="bottom"/>
          </w:tcPr>
          <w:p/>
        </w:tc>
        <w:tc>
          <w:tcPr>
            <w:tcW w:w="125" w:type="dxa"/>
            <w:tcBorders>
              <w:bottom w:val="single" w:color="000000" w:sz="16"/>
            </w:tcBorders>
            <w:shd w:fill="cceeff"/>
            <w:tcMar>
              <w:top w:w="15" w:type="dxa"/>
              <w:left w:w="15" w:type="dxa"/>
              <w:bottom w:w="15" w:type="dxa"/>
              <w:right w:w="15" w:type="dxa"/>
            </w:tcMar>
            <w:vAlign w:val="bottom"/>
          </w:tcPr>
          <w:p/>
        </w:tc>
        <w:tc>
          <w:tcPr>
            <w:tcW w:w="1358"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(23,633 </w:t>
            </w:r>
          </w:p>
        </w:tc>
        <w:tc>
          <w:tcPr>
            <w:tcW w:w="156" w:type="dxa"/>
            <w:tcBorders/>
            <w:shd w:fill="cceeff"/>
            <w:tcMar>
              <w:top w:w="15" w:type="dxa"/>
              <w:left w:w="15" w:type="dxa"/>
              <w:bottom w:w="30"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c>
          <w:tcPr>
            <w:tcW w:w="125" w:type="dxa"/>
            <w:tcBorders/>
            <w:shd w:fill="cceeff"/>
            <w:tcMar>
              <w:top w:w="15" w:type="dxa"/>
              <w:left w:w="15" w:type="dxa"/>
              <w:bottom w:w="30" w:type="dxa"/>
              <w:right w:w="15" w:type="dxa"/>
            </w:tcMar>
            <w:vAlign w:val="bottom"/>
          </w:tcPr>
          <w:p/>
        </w:tc>
        <w:tc>
          <w:tcPr>
            <w:tcW w:w="125" w:type="dxa"/>
            <w:tcBorders>
              <w:bottom w:val="single" w:color="000000" w:sz="16"/>
            </w:tcBorders>
            <w:shd w:fill="cceeff"/>
            <w:tcMar>
              <w:top w:w="15" w:type="dxa"/>
              <w:left w:w="15" w:type="dxa"/>
              <w:bottom w:w="15" w:type="dxa"/>
              <w:right w:w="15" w:type="dxa"/>
            </w:tcMar>
            <w:vAlign w:val="bottom"/>
          </w:tcPr>
          <w:p/>
        </w:tc>
        <w:tc>
          <w:tcPr>
            <w:tcW w:w="1491"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(26,387 </w:t>
            </w:r>
          </w:p>
        </w:tc>
        <w:tc>
          <w:tcPr>
            <w:tcW w:w="156" w:type="dxa"/>
            <w:tcBorders/>
            <w:shd w:fill="cceeff"/>
            <w:tcMar>
              <w:top w:w="15" w:type="dxa"/>
              <w:left w:w="15" w:type="dxa"/>
              <w:bottom w:w="30"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c>
          <w:tcPr>
            <w:tcW w:w="125" w:type="dxa"/>
            <w:tcBorders/>
            <w:shd w:fill="cceeff"/>
            <w:tcMar>
              <w:top w:w="15" w:type="dxa"/>
              <w:left w:w="15" w:type="dxa"/>
              <w:bottom w:w="30" w:type="dxa"/>
              <w:right w:w="15" w:type="dxa"/>
            </w:tcMar>
            <w:vAlign w:val="bottom"/>
          </w:tcPr>
          <w:p/>
        </w:tc>
        <w:tc>
          <w:tcPr>
            <w:tcW w:w="125" w:type="dxa"/>
            <w:tcBorders>
              <w:bottom w:val="single" w:color="000000" w:sz="16"/>
            </w:tcBorders>
            <w:shd w:fill="cceeff"/>
            <w:tcMar>
              <w:top w:w="15" w:type="dxa"/>
              <w:left w:w="15" w:type="dxa"/>
              <w:bottom w:w="15" w:type="dxa"/>
              <w:right w:w="15" w:type="dxa"/>
            </w:tcMar>
            <w:vAlign w:val="bottom"/>
          </w:tcPr>
          <w:p/>
        </w:tc>
        <w:tc>
          <w:tcPr>
            <w:tcW w:w="1402"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(20,903 </w:t>
            </w:r>
          </w:p>
        </w:tc>
        <w:tc>
          <w:tcPr>
            <w:tcW w:w="156" w:type="dxa"/>
            <w:tcBorders/>
            <w:shd w:fill="cceeff"/>
            <w:tcMar>
              <w:top w:w="15" w:type="dxa"/>
              <w:left w:w="15" w:type="dxa"/>
              <w:bottom w:w="30"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r>
      <w:tr>
        <w:trPr>
          <w:trHeight w:val="255" w:hRule="atLeast"/>
        </w:trPr>
        <w:tc>
          <w:tcPr>
            <w:tcW w:w="8165" w:type="dxa"/>
            <w:tcBorders/>
            <w:tcMar>
              <w:top w:w="15" w:type="dxa"/>
              <w:left w:w="15" w:type="dxa"/>
              <w:bottom w:w="30" w:type="dxa"/>
              <w:right w:w="15" w:type="dxa"/>
            </w:tcMar>
            <w:vAlign w:val="top"/>
          </w:tcPr>
          <w:p>
            <w:pPr>
              <w:spacing w:before="0" w:after="0"/>
              <w:ind w:left="264"/>
              <w:jc w:val="left"/>
            </w:pPr>
            <w:r>
              <w:rPr>
                <w:rFonts w:ascii="Times New Roman" w:hAnsi="Times New Roman"/>
                <w:b/>
                <w:i w:val="false"/>
                <w:color w:val="000000"/>
                <w:sz w:val="20"/>
              </w:rPr>
              <w:t xml:space="preserve"> Net cash used in operating activities </w:t>
            </w:r>
          </w:p>
        </w:tc>
        <w:tc>
          <w:tcPr>
            <w:tcW w:w="125" w:type="dxa"/>
            <w:tcBorders/>
            <w:tcMar>
              <w:top w:w="15" w:type="dxa"/>
              <w:left w:w="15" w:type="dxa"/>
              <w:bottom w:w="30" w:type="dxa"/>
              <w:right w:w="15" w:type="dxa"/>
            </w:tcMar>
            <w:vAlign w:val="bottom"/>
          </w:tcPr>
          <w:p/>
        </w:tc>
        <w:tc>
          <w:tcPr>
            <w:tcW w:w="125" w:type="dxa"/>
            <w:tcBorders>
              <w:bottom w:val="single" w:color="000000" w:sz="16"/>
            </w:tcBorders>
            <w:tcMar>
              <w:top w:w="15" w:type="dxa"/>
              <w:left w:w="15" w:type="dxa"/>
              <w:bottom w:w="15" w:type="dxa"/>
              <w:right w:w="15" w:type="dxa"/>
            </w:tcMar>
            <w:vAlign w:val="bottom"/>
          </w:tcPr>
          <w:p/>
        </w:tc>
        <w:tc>
          <w:tcPr>
            <w:tcW w:w="1358"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(39,936,750 </w:t>
            </w:r>
          </w:p>
        </w:tc>
        <w:tc>
          <w:tcPr>
            <w:tcW w:w="156" w:type="dxa"/>
            <w:tcBorders/>
            <w:tcMar>
              <w:top w:w="15" w:type="dxa"/>
              <w:left w:w="15" w:type="dxa"/>
              <w:bottom w:w="30" w:type="dxa"/>
              <w:right w:w="15" w:type="dxa"/>
            </w:tcMar>
            <w:vAlign w:val="bottom"/>
          </w:tcPr>
          <w:p>
            <w:pPr>
              <w:spacing w:before="0" w:after="0"/>
              <w:ind w:left="120"/>
              <w:jc w:val="left"/>
            </w:pPr>
            <w:r>
              <w:rPr>
                <w:rFonts w:ascii="Times New Roman" w:hAnsi="Times New Roman"/>
                <w:b/>
                <w:i w:val="false"/>
                <w:color w:val="000000"/>
                <w:sz w:val="20"/>
              </w:rPr>
              <w:t xml:space="preserve"> ) </w:t>
            </w:r>
          </w:p>
        </w:tc>
        <w:tc>
          <w:tcPr>
            <w:tcW w:w="125" w:type="dxa"/>
            <w:tcBorders/>
            <w:tcMar>
              <w:top w:w="15" w:type="dxa"/>
              <w:left w:w="15" w:type="dxa"/>
              <w:bottom w:w="30" w:type="dxa"/>
              <w:right w:w="15" w:type="dxa"/>
            </w:tcMar>
            <w:vAlign w:val="bottom"/>
          </w:tcPr>
          <w:p/>
        </w:tc>
        <w:tc>
          <w:tcPr>
            <w:tcW w:w="125" w:type="dxa"/>
            <w:tcBorders>
              <w:bottom w:val="single" w:color="000000" w:sz="16"/>
            </w:tcBorders>
            <w:tcMar>
              <w:top w:w="15" w:type="dxa"/>
              <w:left w:w="15" w:type="dxa"/>
              <w:bottom w:w="15" w:type="dxa"/>
              <w:right w:w="15" w:type="dxa"/>
            </w:tcMar>
            <w:vAlign w:val="bottom"/>
          </w:tcPr>
          <w:p/>
        </w:tc>
        <w:tc>
          <w:tcPr>
            <w:tcW w:w="1491"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(36,527,661 </w:t>
            </w:r>
          </w:p>
        </w:tc>
        <w:tc>
          <w:tcPr>
            <w:tcW w:w="156" w:type="dxa"/>
            <w:tcBorders/>
            <w:tcMar>
              <w:top w:w="15" w:type="dxa"/>
              <w:left w:w="15" w:type="dxa"/>
              <w:bottom w:w="30" w:type="dxa"/>
              <w:right w:w="15" w:type="dxa"/>
            </w:tcMar>
            <w:vAlign w:val="bottom"/>
          </w:tcPr>
          <w:p>
            <w:pPr>
              <w:spacing w:before="0" w:after="0"/>
              <w:ind w:left="120"/>
              <w:jc w:val="left"/>
            </w:pPr>
            <w:r>
              <w:rPr>
                <w:rFonts w:ascii="Times New Roman" w:hAnsi="Times New Roman"/>
                <w:b/>
                <w:i w:val="false"/>
                <w:color w:val="000000"/>
                <w:sz w:val="20"/>
              </w:rPr>
              <w:t xml:space="preserve"> ) </w:t>
            </w:r>
          </w:p>
        </w:tc>
        <w:tc>
          <w:tcPr>
            <w:tcW w:w="125" w:type="dxa"/>
            <w:tcBorders/>
            <w:tcMar>
              <w:top w:w="15" w:type="dxa"/>
              <w:left w:w="15" w:type="dxa"/>
              <w:bottom w:w="30" w:type="dxa"/>
              <w:right w:w="15" w:type="dxa"/>
            </w:tcMar>
            <w:vAlign w:val="bottom"/>
          </w:tcPr>
          <w:p/>
        </w:tc>
        <w:tc>
          <w:tcPr>
            <w:tcW w:w="125" w:type="dxa"/>
            <w:tcBorders>
              <w:bottom w:val="single" w:color="000000" w:sz="16"/>
            </w:tcBorders>
            <w:tcMar>
              <w:top w:w="15" w:type="dxa"/>
              <w:left w:w="15" w:type="dxa"/>
              <w:bottom w:w="15" w:type="dxa"/>
              <w:right w:w="15" w:type="dxa"/>
            </w:tcMar>
            <w:vAlign w:val="bottom"/>
          </w:tcPr>
          <w:p/>
        </w:tc>
        <w:tc>
          <w:tcPr>
            <w:tcW w:w="1402"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(43,204,492 </w:t>
            </w:r>
          </w:p>
        </w:tc>
        <w:tc>
          <w:tcPr>
            <w:tcW w:w="156" w:type="dxa"/>
            <w:tcBorders/>
            <w:tcMar>
              <w:top w:w="15" w:type="dxa"/>
              <w:left w:w="15" w:type="dxa"/>
              <w:bottom w:w="30" w:type="dxa"/>
              <w:right w:w="15" w:type="dxa"/>
            </w:tcMar>
            <w:vAlign w:val="bottom"/>
          </w:tcPr>
          <w:p>
            <w:pPr>
              <w:spacing w:before="0" w:after="0"/>
              <w:ind w:left="120"/>
              <w:jc w:val="left"/>
            </w:pPr>
            <w:r>
              <w:rPr>
                <w:rFonts w:ascii="Times New Roman" w:hAnsi="Times New Roman"/>
                <w:b/>
                <w:i w:val="false"/>
                <w:color w:val="000000"/>
                <w:sz w:val="20"/>
              </w:rPr>
              <w:t xml:space="preserve"> ) </w:t>
            </w:r>
          </w:p>
        </w:tc>
      </w:tr>
      <w:tr>
        <w:trPr>
          <w:trHeight w:val="225" w:hRule="atLeast"/>
        </w:trPr>
        <w:tc>
          <w:tcPr>
            <w:tcW w:w="8165" w:type="dxa"/>
            <w:tcBorders/>
            <w:shd w:fill="cceeff"/>
            <w:tcMar>
              <w:top w:w="15" w:type="dxa"/>
              <w:left w:w="15" w:type="dxa"/>
              <w:bottom w:w="15" w:type="dxa"/>
              <w:right w:w="15" w:type="dxa"/>
            </w:tcMar>
            <w:vAlign w:val="top"/>
          </w:tcPr>
          <w:p>
            <w:pPr>
              <w:spacing w:before="0" w:after="0"/>
              <w:ind w:left="264"/>
              <w:jc w:val="left"/>
            </w:pPr>
            <w:r>
              <w:rPr>
                <w:rFonts w:ascii="Times New Roman" w:hAnsi="Times New Roman"/>
                <w:b/>
                <w:i w:val="false"/>
                <w:color w:val="000000"/>
                <w:sz w:val="20"/>
              </w:rPr>
              <w:t xml:space="preserve"> Investing activities </w:t>
            </w:r>
          </w:p>
        </w:tc>
        <w:tc>
          <w:tcPr>
            <w:tcW w:w="125" w:type="dxa"/>
            <w:tcBorders/>
            <w:shd w:fill="cceeff"/>
            <w:tcMar>
              <w:top w:w="15" w:type="dxa"/>
              <w:left w:w="15" w:type="dxa"/>
              <w:bottom w:w="15" w:type="dxa"/>
              <w:right w:w="15" w:type="dxa"/>
            </w:tcMar>
            <w:vAlign w:val="bottom"/>
          </w:tcPr>
          <w:p/>
        </w:tc>
        <w:tc>
          <w:tcPr>
            <w:tcW w:w="125" w:type="dxa"/>
            <w:tcBorders/>
            <w:shd w:fill="cceeff"/>
            <w:tcMar>
              <w:top w:w="15" w:type="dxa"/>
              <w:left w:w="15" w:type="dxa"/>
              <w:bottom w:w="15" w:type="dxa"/>
              <w:right w:w="15" w:type="dxa"/>
            </w:tcMar>
            <w:vAlign w:val="bottom"/>
          </w:tcPr>
          <w:p/>
        </w:tc>
        <w:tc>
          <w:tcPr>
            <w:tcW w:w="1358" w:type="dxa"/>
            <w:tcBorders/>
            <w:shd w:fill="cceeff"/>
            <w:tcMar>
              <w:top w:w="15" w:type="dxa"/>
              <w:left w:w="15" w:type="dxa"/>
              <w:bottom w:w="15" w:type="dxa"/>
              <w:right w:w="15" w:type="dxa"/>
            </w:tcMar>
            <w:vAlign w:val="bottom"/>
          </w:tcPr>
          <w:p/>
        </w:tc>
        <w:tc>
          <w:tcPr>
            <w:tcW w:w="156" w:type="dxa"/>
            <w:tcBorders/>
            <w:shd w:fill="cceeff"/>
            <w:tcMar>
              <w:top w:w="15" w:type="dxa"/>
              <w:left w:w="15" w:type="dxa"/>
              <w:bottom w:w="15" w:type="dxa"/>
              <w:right w:w="15" w:type="dxa"/>
            </w:tcMar>
            <w:vAlign w:val="bottom"/>
          </w:tcPr>
          <w:p/>
        </w:tc>
        <w:tc>
          <w:tcPr>
            <w:tcW w:w="125" w:type="dxa"/>
            <w:tcBorders/>
            <w:shd w:fill="cceeff"/>
            <w:tcMar>
              <w:top w:w="15" w:type="dxa"/>
              <w:left w:w="15" w:type="dxa"/>
              <w:bottom w:w="15" w:type="dxa"/>
              <w:right w:w="15" w:type="dxa"/>
            </w:tcMar>
            <w:vAlign w:val="bottom"/>
          </w:tcPr>
          <w:p/>
        </w:tc>
        <w:tc>
          <w:tcPr>
            <w:tcW w:w="125" w:type="dxa"/>
            <w:tcBorders/>
            <w:shd w:fill="cceeff"/>
            <w:tcMar>
              <w:top w:w="15" w:type="dxa"/>
              <w:left w:w="15" w:type="dxa"/>
              <w:bottom w:w="15" w:type="dxa"/>
              <w:right w:w="15" w:type="dxa"/>
            </w:tcMar>
            <w:vAlign w:val="bottom"/>
          </w:tcPr>
          <w:p/>
        </w:tc>
        <w:tc>
          <w:tcPr>
            <w:tcW w:w="1491" w:type="dxa"/>
            <w:tcBorders/>
            <w:shd w:fill="cceeff"/>
            <w:tcMar>
              <w:top w:w="15" w:type="dxa"/>
              <w:left w:w="15" w:type="dxa"/>
              <w:bottom w:w="15" w:type="dxa"/>
              <w:right w:w="15" w:type="dxa"/>
            </w:tcMar>
            <w:vAlign w:val="bottom"/>
          </w:tcPr>
          <w:p/>
        </w:tc>
        <w:tc>
          <w:tcPr>
            <w:tcW w:w="156" w:type="dxa"/>
            <w:tcBorders/>
            <w:shd w:fill="cceeff"/>
            <w:tcMar>
              <w:top w:w="15" w:type="dxa"/>
              <w:left w:w="15" w:type="dxa"/>
              <w:bottom w:w="15" w:type="dxa"/>
              <w:right w:w="15" w:type="dxa"/>
            </w:tcMar>
            <w:vAlign w:val="bottom"/>
          </w:tcPr>
          <w:p/>
        </w:tc>
        <w:tc>
          <w:tcPr>
            <w:tcW w:w="125" w:type="dxa"/>
            <w:tcBorders/>
            <w:shd w:fill="cceeff"/>
            <w:tcMar>
              <w:top w:w="15" w:type="dxa"/>
              <w:left w:w="15" w:type="dxa"/>
              <w:bottom w:w="15" w:type="dxa"/>
              <w:right w:w="15" w:type="dxa"/>
            </w:tcMar>
            <w:vAlign w:val="bottom"/>
          </w:tcPr>
          <w:p/>
        </w:tc>
        <w:tc>
          <w:tcPr>
            <w:tcW w:w="125" w:type="dxa"/>
            <w:tcBorders/>
            <w:shd w:fill="cceeff"/>
            <w:tcMar>
              <w:top w:w="15" w:type="dxa"/>
              <w:left w:w="15" w:type="dxa"/>
              <w:bottom w:w="15" w:type="dxa"/>
              <w:right w:w="15" w:type="dxa"/>
            </w:tcMar>
            <w:vAlign w:val="bottom"/>
          </w:tcPr>
          <w:p/>
        </w:tc>
        <w:tc>
          <w:tcPr>
            <w:tcW w:w="1402" w:type="dxa"/>
            <w:tcBorders/>
            <w:shd w:fill="cceeff"/>
            <w:tcMar>
              <w:top w:w="15" w:type="dxa"/>
              <w:left w:w="15" w:type="dxa"/>
              <w:bottom w:w="15" w:type="dxa"/>
              <w:right w:w="15" w:type="dxa"/>
            </w:tcMar>
            <w:vAlign w:val="bottom"/>
          </w:tcPr>
          <w:p/>
        </w:tc>
        <w:tc>
          <w:tcPr>
            <w:tcW w:w="156" w:type="dxa"/>
            <w:tcBorders/>
            <w:shd w:fill="cceeff"/>
            <w:tcMar>
              <w:top w:w="15" w:type="dxa"/>
              <w:left w:w="15" w:type="dxa"/>
              <w:bottom w:w="15" w:type="dxa"/>
              <w:right w:w="15" w:type="dxa"/>
            </w:tcMar>
            <w:vAlign w:val="bottom"/>
          </w:tcPr>
          <w:p/>
        </w:tc>
      </w:tr>
      <w:tr>
        <w:trPr>
          <w:trHeight w:val="210" w:hRule="atLeast"/>
        </w:trPr>
        <w:tc>
          <w:tcPr>
            <w:tcW w:w="8165" w:type="dxa"/>
            <w:tcBorders/>
            <w:tcMar>
              <w:top w:w="15" w:type="dxa"/>
              <w:left w:w="15" w:type="dxa"/>
              <w:bottom w:w="15" w:type="dxa"/>
              <w:right w:w="15" w:type="dxa"/>
            </w:tcMar>
            <w:vAlign w:val="top"/>
          </w:tcPr>
          <w:p>
            <w:pPr>
              <w:spacing w:before="0" w:after="0"/>
              <w:ind w:left="264"/>
              <w:jc w:val="left"/>
            </w:pPr>
            <w:r>
              <w:rPr>
                <w:rFonts w:ascii="Times New Roman" w:hAnsi="Times New Roman"/>
                <w:b w:val="false"/>
                <w:i w:val="false"/>
                <w:color w:val="000000"/>
                <w:sz w:val="20"/>
              </w:rPr>
              <w:t xml:space="preserve"> Purchase of intangible assets and property and equipment </w:t>
            </w:r>
          </w:p>
        </w:tc>
        <w:tc>
          <w:tcPr>
            <w:tcW w:w="125"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358"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(37,778 </w:t>
            </w:r>
          </w:p>
        </w:tc>
        <w:tc>
          <w:tcPr>
            <w:tcW w:w="156" w:type="dxa"/>
            <w:tcBorders/>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c>
          <w:tcPr>
            <w:tcW w:w="125"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491"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(94,189 </w:t>
            </w:r>
          </w:p>
        </w:tc>
        <w:tc>
          <w:tcPr>
            <w:tcW w:w="156" w:type="dxa"/>
            <w:tcBorders/>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c>
          <w:tcPr>
            <w:tcW w:w="125"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402"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(594,889 </w:t>
            </w:r>
          </w:p>
        </w:tc>
        <w:tc>
          <w:tcPr>
            <w:tcW w:w="156" w:type="dxa"/>
            <w:tcBorders/>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r>
      <w:tr>
        <w:trPr>
          <w:trHeight w:val="210" w:hRule="atLeast"/>
        </w:trPr>
        <w:tc>
          <w:tcPr>
            <w:tcW w:w="8165" w:type="dxa"/>
            <w:tcBorders/>
            <w:shd w:fill="cceeff"/>
            <w:tcMar>
              <w:top w:w="15" w:type="dxa"/>
              <w:left w:w="15" w:type="dxa"/>
              <w:bottom w:w="15" w:type="dxa"/>
              <w:right w:w="15" w:type="dxa"/>
            </w:tcMar>
            <w:vAlign w:val="top"/>
          </w:tcPr>
          <w:p>
            <w:pPr>
              <w:spacing w:before="0" w:after="0"/>
              <w:ind w:left="264"/>
              <w:jc w:val="left"/>
            </w:pPr>
            <w:r>
              <w:rPr>
                <w:rFonts w:ascii="Times New Roman" w:hAnsi="Times New Roman"/>
                <w:b w:val="false"/>
                <w:i w:val="false"/>
                <w:color w:val="000000"/>
                <w:sz w:val="20"/>
              </w:rPr>
              <w:t xml:space="preserve"> Purchase of non-current other financial assets </w:t>
            </w:r>
          </w:p>
        </w:tc>
        <w:tc>
          <w:tcPr>
            <w:tcW w:w="125" w:type="dxa"/>
            <w:tcBorders/>
            <w:shd w:fill="cceeff"/>
            <w:tcMar>
              <w:top w:w="15" w:type="dxa"/>
              <w:left w:w="15" w:type="dxa"/>
              <w:bottom w:w="15" w:type="dxa"/>
              <w:right w:w="15" w:type="dxa"/>
            </w:tcMar>
            <w:vAlign w:val="bottom"/>
          </w:tcPr>
          <w:p/>
        </w:tc>
        <w:tc>
          <w:tcPr>
            <w:tcW w:w="125" w:type="dxa"/>
            <w:tcBorders/>
            <w:shd w:fill="cceeff"/>
            <w:tcMar>
              <w:top w:w="15" w:type="dxa"/>
              <w:left w:w="15" w:type="dxa"/>
              <w:bottom w:w="15" w:type="dxa"/>
              <w:right w:w="15" w:type="dxa"/>
            </w:tcMar>
            <w:vAlign w:val="bottom"/>
          </w:tcPr>
          <w:p/>
        </w:tc>
        <w:tc>
          <w:tcPr>
            <w:tcW w:w="1358"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56" w:type="dxa"/>
            <w:tcBorders/>
            <w:shd w:fill="cceeff"/>
            <w:tcMar>
              <w:top w:w="15" w:type="dxa"/>
              <w:left w:w="15" w:type="dxa"/>
              <w:bottom w:w="15" w:type="dxa"/>
              <w:right w:w="15" w:type="dxa"/>
            </w:tcMar>
            <w:vAlign w:val="bottom"/>
          </w:tcPr>
          <w:p/>
        </w:tc>
        <w:tc>
          <w:tcPr>
            <w:tcW w:w="125" w:type="dxa"/>
            <w:tcBorders/>
            <w:shd w:fill="cceeff"/>
            <w:tcMar>
              <w:top w:w="15" w:type="dxa"/>
              <w:left w:w="15" w:type="dxa"/>
              <w:bottom w:w="15" w:type="dxa"/>
              <w:right w:w="15" w:type="dxa"/>
            </w:tcMar>
            <w:vAlign w:val="bottom"/>
          </w:tcPr>
          <w:p/>
        </w:tc>
        <w:tc>
          <w:tcPr>
            <w:tcW w:w="125" w:type="dxa"/>
            <w:tcBorders/>
            <w:shd w:fill="cceeff"/>
            <w:tcMar>
              <w:top w:w="15" w:type="dxa"/>
              <w:left w:w="15" w:type="dxa"/>
              <w:bottom w:w="15" w:type="dxa"/>
              <w:right w:w="15" w:type="dxa"/>
            </w:tcMar>
            <w:vAlign w:val="bottom"/>
          </w:tcPr>
          <w:p/>
        </w:tc>
        <w:tc>
          <w:tcPr>
            <w:tcW w:w="1491"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56" w:type="dxa"/>
            <w:tcBorders/>
            <w:shd w:fill="cceeff"/>
            <w:tcMar>
              <w:top w:w="15" w:type="dxa"/>
              <w:left w:w="15" w:type="dxa"/>
              <w:bottom w:w="15" w:type="dxa"/>
              <w:right w:w="15" w:type="dxa"/>
            </w:tcMar>
            <w:vAlign w:val="bottom"/>
          </w:tcPr>
          <w:p/>
        </w:tc>
        <w:tc>
          <w:tcPr>
            <w:tcW w:w="125" w:type="dxa"/>
            <w:tcBorders/>
            <w:shd w:fill="cceeff"/>
            <w:tcMar>
              <w:top w:w="15" w:type="dxa"/>
              <w:left w:w="15" w:type="dxa"/>
              <w:bottom w:w="15" w:type="dxa"/>
              <w:right w:w="15" w:type="dxa"/>
            </w:tcMar>
            <w:vAlign w:val="bottom"/>
          </w:tcPr>
          <w:p/>
        </w:tc>
        <w:tc>
          <w:tcPr>
            <w:tcW w:w="125" w:type="dxa"/>
            <w:tcBorders/>
            <w:shd w:fill="cceeff"/>
            <w:tcMar>
              <w:top w:w="15" w:type="dxa"/>
              <w:left w:w="15" w:type="dxa"/>
              <w:bottom w:w="15" w:type="dxa"/>
              <w:right w:w="15" w:type="dxa"/>
            </w:tcMar>
            <w:vAlign w:val="bottom"/>
          </w:tcPr>
          <w:p/>
        </w:tc>
        <w:tc>
          <w:tcPr>
            <w:tcW w:w="1402"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(75,543 </w:t>
            </w:r>
          </w:p>
        </w:tc>
        <w:tc>
          <w:tcPr>
            <w:tcW w:w="156" w:type="dxa"/>
            <w:tcBorders/>
            <w:shd w:fill="cceeff"/>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r>
      <w:tr>
        <w:trPr>
          <w:trHeight w:val="210" w:hRule="atLeast"/>
        </w:trPr>
        <w:tc>
          <w:tcPr>
            <w:tcW w:w="8165" w:type="dxa"/>
            <w:tcBorders/>
            <w:tcMar>
              <w:top w:w="15" w:type="dxa"/>
              <w:left w:w="15" w:type="dxa"/>
              <w:bottom w:w="15" w:type="dxa"/>
              <w:right w:w="15" w:type="dxa"/>
            </w:tcMar>
            <w:vAlign w:val="bottom"/>
          </w:tcPr>
          <w:p>
            <w:pPr>
              <w:spacing w:before="0" w:after="0"/>
              <w:ind w:left="264"/>
              <w:jc w:val="left"/>
            </w:pPr>
            <w:r>
              <w:rPr>
                <w:rFonts w:ascii="Times New Roman" w:hAnsi="Times New Roman"/>
                <w:b w:val="false"/>
                <w:i w:val="false"/>
                <w:color w:val="000000"/>
                <w:sz w:val="20"/>
              </w:rPr>
              <w:t xml:space="preserve"> Purchase of current and non current financial assets </w:t>
            </w:r>
          </w:p>
        </w:tc>
        <w:tc>
          <w:tcPr>
            <w:tcW w:w="125"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358"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(97,516,417 </w:t>
            </w:r>
          </w:p>
        </w:tc>
        <w:tc>
          <w:tcPr>
            <w:tcW w:w="156" w:type="dxa"/>
            <w:tcBorders/>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c>
          <w:tcPr>
            <w:tcW w:w="125"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491"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(101,600,176 </w:t>
            </w:r>
          </w:p>
        </w:tc>
        <w:tc>
          <w:tcPr>
            <w:tcW w:w="156" w:type="dxa"/>
            <w:tcBorders/>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c>
          <w:tcPr>
            <w:tcW w:w="125"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402"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(82,547,409 </w:t>
            </w:r>
          </w:p>
        </w:tc>
        <w:tc>
          <w:tcPr>
            <w:tcW w:w="156" w:type="dxa"/>
            <w:tcBorders/>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r>
      <w:tr>
        <w:trPr>
          <w:trHeight w:val="240" w:hRule="atLeast"/>
        </w:trPr>
        <w:tc>
          <w:tcPr>
            <w:tcW w:w="8165" w:type="dxa"/>
            <w:tcBorders/>
            <w:shd w:fill="cceeff"/>
            <w:tcMar>
              <w:top w:w="15" w:type="dxa"/>
              <w:left w:w="15" w:type="dxa"/>
              <w:bottom w:w="30" w:type="dxa"/>
              <w:right w:w="15" w:type="dxa"/>
            </w:tcMar>
            <w:vAlign w:val="bottom"/>
          </w:tcPr>
          <w:p>
            <w:pPr>
              <w:spacing w:before="0" w:after="0"/>
              <w:ind w:left="264"/>
              <w:jc w:val="left"/>
            </w:pPr>
            <w:r>
              <w:rPr>
                <w:rFonts w:ascii="Times New Roman" w:hAnsi="Times New Roman"/>
                <w:b w:val="false"/>
                <w:i w:val="false"/>
                <w:color w:val="000000"/>
                <w:sz w:val="20"/>
              </w:rPr>
              <w:t xml:space="preserve"> Proceeds from the maturity of current financial assets </w:t>
            </w:r>
          </w:p>
        </w:tc>
        <w:tc>
          <w:tcPr>
            <w:tcW w:w="125" w:type="dxa"/>
            <w:tcBorders/>
            <w:shd w:fill="cceeff"/>
            <w:tcMar>
              <w:top w:w="15" w:type="dxa"/>
              <w:left w:w="15" w:type="dxa"/>
              <w:bottom w:w="30" w:type="dxa"/>
              <w:right w:w="15" w:type="dxa"/>
            </w:tcMar>
            <w:vAlign w:val="bottom"/>
          </w:tcPr>
          <w:p/>
        </w:tc>
        <w:tc>
          <w:tcPr>
            <w:tcW w:w="125" w:type="dxa"/>
            <w:tcBorders>
              <w:bottom w:val="single" w:color="000000" w:sz="16"/>
            </w:tcBorders>
            <w:shd w:fill="cceeff"/>
            <w:tcMar>
              <w:top w:w="15" w:type="dxa"/>
              <w:left w:w="15" w:type="dxa"/>
              <w:bottom w:w="15" w:type="dxa"/>
              <w:right w:w="15" w:type="dxa"/>
            </w:tcMar>
            <w:vAlign w:val="bottom"/>
          </w:tcPr>
          <w:p/>
        </w:tc>
        <w:tc>
          <w:tcPr>
            <w:tcW w:w="1358"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71,603,310 </w:t>
            </w:r>
          </w:p>
        </w:tc>
        <w:tc>
          <w:tcPr>
            <w:tcW w:w="156" w:type="dxa"/>
            <w:tcBorders/>
            <w:shd w:fill="cceeff"/>
            <w:tcMar>
              <w:top w:w="15" w:type="dxa"/>
              <w:left w:w="15" w:type="dxa"/>
              <w:bottom w:w="30" w:type="dxa"/>
              <w:right w:w="15" w:type="dxa"/>
            </w:tcMar>
            <w:vAlign w:val="bottom"/>
          </w:tcPr>
          <w:p/>
        </w:tc>
        <w:tc>
          <w:tcPr>
            <w:tcW w:w="125" w:type="dxa"/>
            <w:tcBorders/>
            <w:shd w:fill="cceeff"/>
            <w:tcMar>
              <w:top w:w="15" w:type="dxa"/>
              <w:left w:w="15" w:type="dxa"/>
              <w:bottom w:w="30" w:type="dxa"/>
              <w:right w:w="15" w:type="dxa"/>
            </w:tcMar>
            <w:vAlign w:val="bottom"/>
          </w:tcPr>
          <w:p/>
        </w:tc>
        <w:tc>
          <w:tcPr>
            <w:tcW w:w="125" w:type="dxa"/>
            <w:tcBorders>
              <w:bottom w:val="single" w:color="000000" w:sz="16"/>
            </w:tcBorders>
            <w:shd w:fill="cceeff"/>
            <w:tcMar>
              <w:top w:w="15" w:type="dxa"/>
              <w:left w:w="15" w:type="dxa"/>
              <w:bottom w:w="15" w:type="dxa"/>
              <w:right w:w="15" w:type="dxa"/>
            </w:tcMar>
            <w:vAlign w:val="bottom"/>
          </w:tcPr>
          <w:p/>
        </w:tc>
        <w:tc>
          <w:tcPr>
            <w:tcW w:w="1491"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123,056,347 </w:t>
            </w:r>
          </w:p>
        </w:tc>
        <w:tc>
          <w:tcPr>
            <w:tcW w:w="156" w:type="dxa"/>
            <w:tcBorders/>
            <w:shd w:fill="cceeff"/>
            <w:tcMar>
              <w:top w:w="15" w:type="dxa"/>
              <w:left w:w="15" w:type="dxa"/>
              <w:bottom w:w="30" w:type="dxa"/>
              <w:right w:w="15" w:type="dxa"/>
            </w:tcMar>
            <w:vAlign w:val="bottom"/>
          </w:tcPr>
          <w:p/>
        </w:tc>
        <w:tc>
          <w:tcPr>
            <w:tcW w:w="125" w:type="dxa"/>
            <w:tcBorders/>
            <w:shd w:fill="cceeff"/>
            <w:tcMar>
              <w:top w:w="15" w:type="dxa"/>
              <w:left w:w="15" w:type="dxa"/>
              <w:bottom w:w="30" w:type="dxa"/>
              <w:right w:w="15" w:type="dxa"/>
            </w:tcMar>
            <w:vAlign w:val="bottom"/>
          </w:tcPr>
          <w:p/>
        </w:tc>
        <w:tc>
          <w:tcPr>
            <w:tcW w:w="125" w:type="dxa"/>
            <w:tcBorders>
              <w:bottom w:val="single" w:color="000000" w:sz="16"/>
            </w:tcBorders>
            <w:shd w:fill="cceeff"/>
            <w:tcMar>
              <w:top w:w="15" w:type="dxa"/>
              <w:left w:w="15" w:type="dxa"/>
              <w:bottom w:w="15" w:type="dxa"/>
              <w:right w:w="15" w:type="dxa"/>
            </w:tcMar>
            <w:vAlign w:val="bottom"/>
          </w:tcPr>
          <w:p/>
        </w:tc>
        <w:tc>
          <w:tcPr>
            <w:tcW w:w="1402"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103,559,395 </w:t>
            </w:r>
          </w:p>
        </w:tc>
        <w:tc>
          <w:tcPr>
            <w:tcW w:w="156" w:type="dxa"/>
            <w:tcBorders/>
            <w:shd w:fill="cceeff"/>
            <w:tcMar>
              <w:top w:w="15" w:type="dxa"/>
              <w:left w:w="15" w:type="dxa"/>
              <w:bottom w:w="30" w:type="dxa"/>
              <w:right w:w="15" w:type="dxa"/>
            </w:tcMar>
            <w:vAlign w:val="bottom"/>
          </w:tcPr>
          <w:p/>
        </w:tc>
      </w:tr>
      <w:tr>
        <w:trPr>
          <w:trHeight w:val="255" w:hRule="atLeast"/>
        </w:trPr>
        <w:tc>
          <w:tcPr>
            <w:tcW w:w="8165" w:type="dxa"/>
            <w:tcBorders/>
            <w:tcMar>
              <w:top w:w="15" w:type="dxa"/>
              <w:left w:w="15" w:type="dxa"/>
              <w:bottom w:w="30" w:type="dxa"/>
              <w:right w:w="15" w:type="dxa"/>
            </w:tcMar>
            <w:vAlign w:val="bottom"/>
          </w:tcPr>
          <w:p>
            <w:pPr>
              <w:spacing w:before="0" w:after="0"/>
              <w:ind w:left="264"/>
              <w:jc w:val="left"/>
            </w:pPr>
            <w:r>
              <w:rPr>
                <w:rFonts w:ascii="Times New Roman" w:hAnsi="Times New Roman"/>
                <w:b/>
                <w:i w:val="false"/>
                <w:color w:val="000000"/>
                <w:sz w:val="20"/>
              </w:rPr>
              <w:t xml:space="preserve"> Net cash from/ (used in) investing activities </w:t>
            </w:r>
          </w:p>
        </w:tc>
        <w:tc>
          <w:tcPr>
            <w:tcW w:w="125" w:type="dxa"/>
            <w:tcBorders/>
            <w:tcMar>
              <w:top w:w="15" w:type="dxa"/>
              <w:left w:w="15" w:type="dxa"/>
              <w:bottom w:w="30" w:type="dxa"/>
              <w:right w:w="15" w:type="dxa"/>
            </w:tcMar>
            <w:vAlign w:val="bottom"/>
          </w:tcPr>
          <w:p/>
        </w:tc>
        <w:tc>
          <w:tcPr>
            <w:tcW w:w="125" w:type="dxa"/>
            <w:tcBorders>
              <w:bottom w:val="single" w:color="000000" w:sz="16"/>
            </w:tcBorders>
            <w:tcMar>
              <w:top w:w="15" w:type="dxa"/>
              <w:left w:w="15" w:type="dxa"/>
              <w:bottom w:w="15" w:type="dxa"/>
              <w:right w:w="15" w:type="dxa"/>
            </w:tcMar>
            <w:vAlign w:val="bottom"/>
          </w:tcPr>
          <w:p/>
        </w:tc>
        <w:tc>
          <w:tcPr>
            <w:tcW w:w="1358"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(25,950,885 </w:t>
            </w:r>
          </w:p>
        </w:tc>
        <w:tc>
          <w:tcPr>
            <w:tcW w:w="156" w:type="dxa"/>
            <w:tcBorders/>
            <w:tcMar>
              <w:top w:w="15" w:type="dxa"/>
              <w:left w:w="15" w:type="dxa"/>
              <w:bottom w:w="30" w:type="dxa"/>
              <w:right w:w="15" w:type="dxa"/>
            </w:tcMar>
            <w:vAlign w:val="bottom"/>
          </w:tcPr>
          <w:p>
            <w:pPr>
              <w:spacing w:before="0" w:after="0"/>
              <w:ind w:left="120"/>
              <w:jc w:val="left"/>
            </w:pPr>
            <w:r>
              <w:rPr>
                <w:rFonts w:ascii="Times New Roman" w:hAnsi="Times New Roman"/>
                <w:b/>
                <w:i w:val="false"/>
                <w:color w:val="000000"/>
                <w:sz w:val="20"/>
              </w:rPr>
              <w:t xml:space="preserve"> ) </w:t>
            </w:r>
          </w:p>
        </w:tc>
        <w:tc>
          <w:tcPr>
            <w:tcW w:w="125" w:type="dxa"/>
            <w:tcBorders/>
            <w:tcMar>
              <w:top w:w="15" w:type="dxa"/>
              <w:left w:w="15" w:type="dxa"/>
              <w:bottom w:w="30" w:type="dxa"/>
              <w:right w:w="15" w:type="dxa"/>
            </w:tcMar>
            <w:vAlign w:val="bottom"/>
          </w:tcPr>
          <w:p/>
        </w:tc>
        <w:tc>
          <w:tcPr>
            <w:tcW w:w="125" w:type="dxa"/>
            <w:tcBorders>
              <w:bottom w:val="single" w:color="000000" w:sz="16"/>
            </w:tcBorders>
            <w:tcMar>
              <w:top w:w="15" w:type="dxa"/>
              <w:left w:w="15" w:type="dxa"/>
              <w:bottom w:w="15" w:type="dxa"/>
              <w:right w:w="15" w:type="dxa"/>
            </w:tcMar>
            <w:vAlign w:val="bottom"/>
          </w:tcPr>
          <w:p/>
        </w:tc>
        <w:tc>
          <w:tcPr>
            <w:tcW w:w="1491"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21,361,982 </w:t>
            </w:r>
          </w:p>
        </w:tc>
        <w:tc>
          <w:tcPr>
            <w:tcW w:w="156" w:type="dxa"/>
            <w:tcBorders/>
            <w:tcMar>
              <w:top w:w="15" w:type="dxa"/>
              <w:left w:w="15" w:type="dxa"/>
              <w:bottom w:w="30" w:type="dxa"/>
              <w:right w:w="15" w:type="dxa"/>
            </w:tcMar>
            <w:vAlign w:val="bottom"/>
          </w:tcPr>
          <w:p/>
        </w:tc>
        <w:tc>
          <w:tcPr>
            <w:tcW w:w="125" w:type="dxa"/>
            <w:tcBorders/>
            <w:tcMar>
              <w:top w:w="15" w:type="dxa"/>
              <w:left w:w="15" w:type="dxa"/>
              <w:bottom w:w="30" w:type="dxa"/>
              <w:right w:w="15" w:type="dxa"/>
            </w:tcMar>
            <w:vAlign w:val="bottom"/>
          </w:tcPr>
          <w:p/>
        </w:tc>
        <w:tc>
          <w:tcPr>
            <w:tcW w:w="125" w:type="dxa"/>
            <w:tcBorders>
              <w:bottom w:val="single" w:color="000000" w:sz="16"/>
            </w:tcBorders>
            <w:tcMar>
              <w:top w:w="15" w:type="dxa"/>
              <w:left w:w="15" w:type="dxa"/>
              <w:bottom w:w="15" w:type="dxa"/>
              <w:right w:w="15" w:type="dxa"/>
            </w:tcMar>
            <w:vAlign w:val="bottom"/>
          </w:tcPr>
          <w:p/>
        </w:tc>
        <w:tc>
          <w:tcPr>
            <w:tcW w:w="1402"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20,341,554 </w:t>
            </w:r>
          </w:p>
        </w:tc>
        <w:tc>
          <w:tcPr>
            <w:tcW w:w="156" w:type="dxa"/>
            <w:tcBorders/>
            <w:tcMar>
              <w:top w:w="15" w:type="dxa"/>
              <w:left w:w="15" w:type="dxa"/>
              <w:bottom w:w="30" w:type="dxa"/>
              <w:right w:w="15" w:type="dxa"/>
            </w:tcMar>
            <w:vAlign w:val="bottom"/>
          </w:tcPr>
          <w:p/>
        </w:tc>
      </w:tr>
      <w:tr>
        <w:trPr>
          <w:trHeight w:val="225" w:hRule="atLeast"/>
        </w:trPr>
        <w:tc>
          <w:tcPr>
            <w:tcW w:w="8165" w:type="dxa"/>
            <w:tcBorders/>
            <w:shd w:fill="cceeff"/>
            <w:tcMar>
              <w:top w:w="15" w:type="dxa"/>
              <w:left w:w="15" w:type="dxa"/>
              <w:bottom w:w="15" w:type="dxa"/>
              <w:right w:w="15" w:type="dxa"/>
            </w:tcMar>
            <w:vAlign w:val="bottom"/>
          </w:tcPr>
          <w:p>
            <w:pPr>
              <w:spacing w:before="0" w:after="0"/>
              <w:ind w:left="264"/>
              <w:jc w:val="left"/>
            </w:pPr>
            <w:r>
              <w:rPr>
                <w:rFonts w:ascii="Times New Roman" w:hAnsi="Times New Roman"/>
                <w:b/>
                <w:i w:val="false"/>
                <w:color w:val="000000"/>
                <w:sz w:val="20"/>
              </w:rPr>
              <w:t xml:space="preserve"> Financing activities </w:t>
            </w:r>
          </w:p>
        </w:tc>
        <w:tc>
          <w:tcPr>
            <w:tcW w:w="125" w:type="dxa"/>
            <w:tcBorders/>
            <w:shd w:fill="cceeff"/>
            <w:tcMar>
              <w:top w:w="15" w:type="dxa"/>
              <w:left w:w="15" w:type="dxa"/>
              <w:bottom w:w="15" w:type="dxa"/>
              <w:right w:w="15" w:type="dxa"/>
            </w:tcMar>
            <w:vAlign w:val="bottom"/>
          </w:tcPr>
          <w:p/>
        </w:tc>
        <w:tc>
          <w:tcPr>
            <w:tcW w:w="125" w:type="dxa"/>
            <w:tcBorders/>
            <w:shd w:fill="cceeff"/>
            <w:tcMar>
              <w:top w:w="15" w:type="dxa"/>
              <w:left w:w="15" w:type="dxa"/>
              <w:bottom w:w="15" w:type="dxa"/>
              <w:right w:w="15" w:type="dxa"/>
            </w:tcMar>
            <w:vAlign w:val="bottom"/>
          </w:tcPr>
          <w:p/>
        </w:tc>
        <w:tc>
          <w:tcPr>
            <w:tcW w:w="1358" w:type="dxa"/>
            <w:tcBorders/>
            <w:shd w:fill="cceeff"/>
            <w:tcMar>
              <w:top w:w="15" w:type="dxa"/>
              <w:left w:w="15" w:type="dxa"/>
              <w:bottom w:w="15" w:type="dxa"/>
              <w:right w:w="15" w:type="dxa"/>
            </w:tcMar>
            <w:vAlign w:val="bottom"/>
          </w:tcPr>
          <w:p/>
        </w:tc>
        <w:tc>
          <w:tcPr>
            <w:tcW w:w="156" w:type="dxa"/>
            <w:tcBorders/>
            <w:shd w:fill="cceeff"/>
            <w:tcMar>
              <w:top w:w="15" w:type="dxa"/>
              <w:left w:w="15" w:type="dxa"/>
              <w:bottom w:w="15" w:type="dxa"/>
              <w:right w:w="15" w:type="dxa"/>
            </w:tcMar>
            <w:vAlign w:val="bottom"/>
          </w:tcPr>
          <w:p/>
        </w:tc>
        <w:tc>
          <w:tcPr>
            <w:tcW w:w="125" w:type="dxa"/>
            <w:tcBorders/>
            <w:shd w:fill="cceeff"/>
            <w:tcMar>
              <w:top w:w="15" w:type="dxa"/>
              <w:left w:w="15" w:type="dxa"/>
              <w:bottom w:w="15" w:type="dxa"/>
              <w:right w:w="15" w:type="dxa"/>
            </w:tcMar>
            <w:vAlign w:val="bottom"/>
          </w:tcPr>
          <w:p/>
        </w:tc>
        <w:tc>
          <w:tcPr>
            <w:tcW w:w="125" w:type="dxa"/>
            <w:tcBorders/>
            <w:shd w:fill="cceeff"/>
            <w:tcMar>
              <w:top w:w="15" w:type="dxa"/>
              <w:left w:w="15" w:type="dxa"/>
              <w:bottom w:w="15" w:type="dxa"/>
              <w:right w:w="15" w:type="dxa"/>
            </w:tcMar>
            <w:vAlign w:val="bottom"/>
          </w:tcPr>
          <w:p/>
        </w:tc>
        <w:tc>
          <w:tcPr>
            <w:tcW w:w="1491" w:type="dxa"/>
            <w:tcBorders/>
            <w:shd w:fill="cceeff"/>
            <w:tcMar>
              <w:top w:w="15" w:type="dxa"/>
              <w:left w:w="15" w:type="dxa"/>
              <w:bottom w:w="15" w:type="dxa"/>
              <w:right w:w="15" w:type="dxa"/>
            </w:tcMar>
            <w:vAlign w:val="bottom"/>
          </w:tcPr>
          <w:p/>
        </w:tc>
        <w:tc>
          <w:tcPr>
            <w:tcW w:w="156" w:type="dxa"/>
            <w:tcBorders/>
            <w:shd w:fill="cceeff"/>
            <w:tcMar>
              <w:top w:w="15" w:type="dxa"/>
              <w:left w:w="15" w:type="dxa"/>
              <w:bottom w:w="15" w:type="dxa"/>
              <w:right w:w="15" w:type="dxa"/>
            </w:tcMar>
            <w:vAlign w:val="bottom"/>
          </w:tcPr>
          <w:p/>
        </w:tc>
        <w:tc>
          <w:tcPr>
            <w:tcW w:w="125" w:type="dxa"/>
            <w:tcBorders/>
            <w:shd w:fill="cceeff"/>
            <w:tcMar>
              <w:top w:w="15" w:type="dxa"/>
              <w:left w:w="15" w:type="dxa"/>
              <w:bottom w:w="15" w:type="dxa"/>
              <w:right w:w="15" w:type="dxa"/>
            </w:tcMar>
            <w:vAlign w:val="bottom"/>
          </w:tcPr>
          <w:p/>
        </w:tc>
        <w:tc>
          <w:tcPr>
            <w:tcW w:w="125" w:type="dxa"/>
            <w:tcBorders/>
            <w:shd w:fill="cceeff"/>
            <w:tcMar>
              <w:top w:w="15" w:type="dxa"/>
              <w:left w:w="15" w:type="dxa"/>
              <w:bottom w:w="15" w:type="dxa"/>
              <w:right w:w="15" w:type="dxa"/>
            </w:tcMar>
            <w:vAlign w:val="bottom"/>
          </w:tcPr>
          <w:p/>
        </w:tc>
        <w:tc>
          <w:tcPr>
            <w:tcW w:w="1402" w:type="dxa"/>
            <w:tcBorders/>
            <w:shd w:fill="cceeff"/>
            <w:tcMar>
              <w:top w:w="15" w:type="dxa"/>
              <w:left w:w="15" w:type="dxa"/>
              <w:bottom w:w="15" w:type="dxa"/>
              <w:right w:w="15" w:type="dxa"/>
            </w:tcMar>
            <w:vAlign w:val="bottom"/>
          </w:tcPr>
          <w:p/>
        </w:tc>
        <w:tc>
          <w:tcPr>
            <w:tcW w:w="156" w:type="dxa"/>
            <w:tcBorders/>
            <w:shd w:fill="cceeff"/>
            <w:tcMar>
              <w:top w:w="15" w:type="dxa"/>
              <w:left w:w="15" w:type="dxa"/>
              <w:bottom w:w="15" w:type="dxa"/>
              <w:right w:w="15" w:type="dxa"/>
            </w:tcMar>
            <w:vAlign w:val="bottom"/>
          </w:tcPr>
          <w:p/>
        </w:tc>
      </w:tr>
      <w:tr>
        <w:trPr>
          <w:trHeight w:val="210" w:hRule="atLeast"/>
        </w:trPr>
        <w:tc>
          <w:tcPr>
            <w:tcW w:w="8165" w:type="dxa"/>
            <w:tcBorders/>
            <w:tcMar>
              <w:top w:w="15" w:type="dxa"/>
              <w:left w:w="15" w:type="dxa"/>
              <w:bottom w:w="15" w:type="dxa"/>
              <w:right w:w="15" w:type="dxa"/>
            </w:tcMar>
            <w:vAlign w:val="top"/>
          </w:tcPr>
          <w:p>
            <w:pPr>
              <w:spacing w:before="0" w:after="0"/>
              <w:ind w:left="264"/>
              <w:jc w:val="left"/>
            </w:pPr>
            <w:r>
              <w:rPr>
                <w:rFonts w:ascii="Times New Roman" w:hAnsi="Times New Roman"/>
                <w:b w:val="false"/>
                <w:i w:val="false"/>
                <w:color w:val="000000"/>
                <w:sz w:val="20"/>
              </w:rPr>
              <w:t xml:space="preserve"> Proceeds from issuance of common shares </w:t>
            </w:r>
          </w:p>
        </w:tc>
        <w:tc>
          <w:tcPr>
            <w:tcW w:w="125"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358"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65,142,549 </w:t>
            </w:r>
          </w:p>
        </w:tc>
        <w:tc>
          <w:tcPr>
            <w:tcW w:w="156"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491"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9,770,944 </w:t>
            </w:r>
          </w:p>
        </w:tc>
        <w:tc>
          <w:tcPr>
            <w:tcW w:w="156"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402"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56" w:type="dxa"/>
            <w:tcBorders/>
            <w:tcMar>
              <w:top w:w="15" w:type="dxa"/>
              <w:left w:w="15" w:type="dxa"/>
              <w:bottom w:w="15" w:type="dxa"/>
              <w:right w:w="15" w:type="dxa"/>
            </w:tcMar>
            <w:vAlign w:val="bottom"/>
          </w:tcPr>
          <w:p/>
        </w:tc>
      </w:tr>
      <w:tr>
        <w:trPr>
          <w:trHeight w:val="210" w:hRule="atLeast"/>
        </w:trPr>
        <w:tc>
          <w:tcPr>
            <w:tcW w:w="8165" w:type="dxa"/>
            <w:tcBorders/>
            <w:shd w:fill="cceeff"/>
            <w:tcMar>
              <w:top w:w="15" w:type="dxa"/>
              <w:left w:w="15" w:type="dxa"/>
              <w:bottom w:w="15" w:type="dxa"/>
              <w:right w:w="15" w:type="dxa"/>
            </w:tcMar>
            <w:vAlign w:val="top"/>
          </w:tcPr>
          <w:p>
            <w:pPr>
              <w:spacing w:before="0" w:after="0"/>
              <w:ind w:left="264"/>
              <w:jc w:val="left"/>
            </w:pPr>
            <w:r>
              <w:rPr>
                <w:rFonts w:ascii="Times New Roman" w:hAnsi="Times New Roman"/>
                <w:b w:val="false"/>
                <w:i w:val="false"/>
                <w:color w:val="000000"/>
                <w:sz w:val="20"/>
              </w:rPr>
              <w:t xml:space="preserve"> Transaction costs from issuance of common shares </w:t>
            </w:r>
          </w:p>
        </w:tc>
        <w:tc>
          <w:tcPr>
            <w:tcW w:w="125" w:type="dxa"/>
            <w:tcBorders/>
            <w:shd w:fill="cceeff"/>
            <w:tcMar>
              <w:top w:w="15" w:type="dxa"/>
              <w:left w:w="15" w:type="dxa"/>
              <w:bottom w:w="15" w:type="dxa"/>
              <w:right w:w="15" w:type="dxa"/>
            </w:tcMar>
            <w:vAlign w:val="bottom"/>
          </w:tcPr>
          <w:p/>
        </w:tc>
        <w:tc>
          <w:tcPr>
            <w:tcW w:w="125" w:type="dxa"/>
            <w:tcBorders/>
            <w:shd w:fill="cceeff"/>
            <w:tcMar>
              <w:top w:w="15" w:type="dxa"/>
              <w:left w:w="15" w:type="dxa"/>
              <w:bottom w:w="15" w:type="dxa"/>
              <w:right w:w="15" w:type="dxa"/>
            </w:tcMar>
            <w:vAlign w:val="bottom"/>
          </w:tcPr>
          <w:p/>
        </w:tc>
        <w:tc>
          <w:tcPr>
            <w:tcW w:w="1358"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(4,219,222 </w:t>
            </w:r>
          </w:p>
        </w:tc>
        <w:tc>
          <w:tcPr>
            <w:tcW w:w="156" w:type="dxa"/>
            <w:tcBorders/>
            <w:shd w:fill="cceeff"/>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c>
          <w:tcPr>
            <w:tcW w:w="125" w:type="dxa"/>
            <w:tcBorders/>
            <w:shd w:fill="cceeff"/>
            <w:tcMar>
              <w:top w:w="15" w:type="dxa"/>
              <w:left w:w="15" w:type="dxa"/>
              <w:bottom w:w="15" w:type="dxa"/>
              <w:right w:w="15" w:type="dxa"/>
            </w:tcMar>
            <w:vAlign w:val="bottom"/>
          </w:tcPr>
          <w:p/>
        </w:tc>
        <w:tc>
          <w:tcPr>
            <w:tcW w:w="125" w:type="dxa"/>
            <w:tcBorders/>
            <w:shd w:fill="cceeff"/>
            <w:tcMar>
              <w:top w:w="15" w:type="dxa"/>
              <w:left w:w="15" w:type="dxa"/>
              <w:bottom w:w="15" w:type="dxa"/>
              <w:right w:w="15" w:type="dxa"/>
            </w:tcMar>
            <w:vAlign w:val="bottom"/>
          </w:tcPr>
          <w:p/>
        </w:tc>
        <w:tc>
          <w:tcPr>
            <w:tcW w:w="1491"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(729,841 </w:t>
            </w:r>
          </w:p>
        </w:tc>
        <w:tc>
          <w:tcPr>
            <w:tcW w:w="156" w:type="dxa"/>
            <w:tcBorders/>
            <w:shd w:fill="cceeff"/>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c>
          <w:tcPr>
            <w:tcW w:w="125" w:type="dxa"/>
            <w:tcBorders/>
            <w:shd w:fill="cceeff"/>
            <w:tcMar>
              <w:top w:w="15" w:type="dxa"/>
              <w:left w:w="15" w:type="dxa"/>
              <w:bottom w:w="15" w:type="dxa"/>
              <w:right w:w="15" w:type="dxa"/>
            </w:tcMar>
            <w:vAlign w:val="bottom"/>
          </w:tcPr>
          <w:p/>
        </w:tc>
        <w:tc>
          <w:tcPr>
            <w:tcW w:w="125" w:type="dxa"/>
            <w:tcBorders/>
            <w:shd w:fill="cceeff"/>
            <w:tcMar>
              <w:top w:w="15" w:type="dxa"/>
              <w:left w:w="15" w:type="dxa"/>
              <w:bottom w:w="15" w:type="dxa"/>
              <w:right w:w="15" w:type="dxa"/>
            </w:tcMar>
            <w:vAlign w:val="bottom"/>
          </w:tcPr>
          <w:p/>
        </w:tc>
        <w:tc>
          <w:tcPr>
            <w:tcW w:w="1402"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 </w:t>
            </w:r>
          </w:p>
        </w:tc>
        <w:tc>
          <w:tcPr>
            <w:tcW w:w="156" w:type="dxa"/>
            <w:tcBorders/>
            <w:shd w:fill="cceeff"/>
            <w:tcMar>
              <w:top w:w="15" w:type="dxa"/>
              <w:left w:w="15" w:type="dxa"/>
              <w:bottom w:w="15" w:type="dxa"/>
              <w:right w:w="15" w:type="dxa"/>
            </w:tcMar>
            <w:vAlign w:val="bottom"/>
          </w:tcPr>
          <w:p/>
        </w:tc>
      </w:tr>
      <w:tr>
        <w:trPr>
          <w:trHeight w:val="210" w:hRule="atLeast"/>
        </w:trPr>
        <w:tc>
          <w:tcPr>
            <w:tcW w:w="8165" w:type="dxa"/>
            <w:tcBorders/>
            <w:tcMar>
              <w:top w:w="15" w:type="dxa"/>
              <w:left w:w="15" w:type="dxa"/>
              <w:bottom w:w="15" w:type="dxa"/>
              <w:right w:w="15" w:type="dxa"/>
            </w:tcMar>
            <w:vAlign w:val="top"/>
          </w:tcPr>
          <w:p>
            <w:pPr>
              <w:spacing w:before="0" w:after="0"/>
              <w:ind w:left="264"/>
              <w:jc w:val="left"/>
            </w:pPr>
            <w:r>
              <w:rPr>
                <w:rFonts w:ascii="Times New Roman" w:hAnsi="Times New Roman"/>
                <w:b w:val="false"/>
                <w:i w:val="false"/>
                <w:color w:val="000000"/>
                <w:sz w:val="20"/>
              </w:rPr>
              <w:t xml:space="preserve"> Proceeds from exercise of share options </w:t>
            </w:r>
          </w:p>
        </w:tc>
        <w:tc>
          <w:tcPr>
            <w:tcW w:w="125"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358"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1,014,583 </w:t>
            </w:r>
          </w:p>
        </w:tc>
        <w:tc>
          <w:tcPr>
            <w:tcW w:w="156"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491"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496,946 </w:t>
            </w:r>
          </w:p>
        </w:tc>
        <w:tc>
          <w:tcPr>
            <w:tcW w:w="156"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402"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1,676 </w:t>
            </w:r>
          </w:p>
        </w:tc>
        <w:tc>
          <w:tcPr>
            <w:tcW w:w="156" w:type="dxa"/>
            <w:tcBorders/>
            <w:tcMar>
              <w:top w:w="15" w:type="dxa"/>
              <w:left w:w="15" w:type="dxa"/>
              <w:bottom w:w="15" w:type="dxa"/>
              <w:right w:w="15" w:type="dxa"/>
            </w:tcMar>
            <w:vAlign w:val="bottom"/>
          </w:tcPr>
          <w:p/>
        </w:tc>
      </w:tr>
      <w:tr>
        <w:trPr>
          <w:trHeight w:val="240" w:hRule="atLeast"/>
        </w:trPr>
        <w:tc>
          <w:tcPr>
            <w:tcW w:w="8165" w:type="dxa"/>
            <w:tcBorders/>
            <w:shd w:fill="cceeff"/>
            <w:tcMar>
              <w:top w:w="15" w:type="dxa"/>
              <w:left w:w="15" w:type="dxa"/>
              <w:bottom w:w="30" w:type="dxa"/>
              <w:right w:w="15" w:type="dxa"/>
            </w:tcMar>
            <w:vAlign w:val="top"/>
          </w:tcPr>
          <w:p>
            <w:pPr>
              <w:spacing w:before="0" w:after="0"/>
              <w:ind w:left="264"/>
              <w:jc w:val="left"/>
            </w:pPr>
            <w:r>
              <w:rPr>
                <w:rFonts w:ascii="Times New Roman" w:hAnsi="Times New Roman"/>
                <w:b w:val="false"/>
                <w:i w:val="false"/>
                <w:color w:val="000000"/>
                <w:sz w:val="20"/>
              </w:rPr>
              <w:t xml:space="preserve"> Repayment of lease liabilities </w:t>
            </w:r>
          </w:p>
        </w:tc>
        <w:tc>
          <w:tcPr>
            <w:tcW w:w="125" w:type="dxa"/>
            <w:tcBorders/>
            <w:shd w:fill="cceeff"/>
            <w:tcMar>
              <w:top w:w="15" w:type="dxa"/>
              <w:left w:w="15" w:type="dxa"/>
              <w:bottom w:w="30" w:type="dxa"/>
              <w:right w:w="15" w:type="dxa"/>
            </w:tcMar>
            <w:vAlign w:val="bottom"/>
          </w:tcPr>
          <w:p/>
        </w:tc>
        <w:tc>
          <w:tcPr>
            <w:tcW w:w="125" w:type="dxa"/>
            <w:tcBorders>
              <w:bottom w:val="single" w:color="000000" w:sz="16"/>
            </w:tcBorders>
            <w:shd w:fill="cceeff"/>
            <w:tcMar>
              <w:top w:w="15" w:type="dxa"/>
              <w:left w:w="15" w:type="dxa"/>
              <w:bottom w:w="15" w:type="dxa"/>
              <w:right w:w="15" w:type="dxa"/>
            </w:tcMar>
            <w:vAlign w:val="bottom"/>
          </w:tcPr>
          <w:p/>
        </w:tc>
        <w:tc>
          <w:tcPr>
            <w:tcW w:w="1358"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(360,644 </w:t>
            </w:r>
          </w:p>
        </w:tc>
        <w:tc>
          <w:tcPr>
            <w:tcW w:w="156" w:type="dxa"/>
            <w:tcBorders/>
            <w:shd w:fill="cceeff"/>
            <w:tcMar>
              <w:top w:w="15" w:type="dxa"/>
              <w:left w:w="15" w:type="dxa"/>
              <w:bottom w:w="30"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c>
          <w:tcPr>
            <w:tcW w:w="125" w:type="dxa"/>
            <w:tcBorders/>
            <w:shd w:fill="cceeff"/>
            <w:tcMar>
              <w:top w:w="15" w:type="dxa"/>
              <w:left w:w="15" w:type="dxa"/>
              <w:bottom w:w="30" w:type="dxa"/>
              <w:right w:w="15" w:type="dxa"/>
            </w:tcMar>
            <w:vAlign w:val="bottom"/>
          </w:tcPr>
          <w:p/>
        </w:tc>
        <w:tc>
          <w:tcPr>
            <w:tcW w:w="125" w:type="dxa"/>
            <w:tcBorders>
              <w:bottom w:val="single" w:color="000000" w:sz="16"/>
            </w:tcBorders>
            <w:shd w:fill="cceeff"/>
            <w:tcMar>
              <w:top w:w="15" w:type="dxa"/>
              <w:left w:w="15" w:type="dxa"/>
              <w:bottom w:w="15" w:type="dxa"/>
              <w:right w:w="15" w:type="dxa"/>
            </w:tcMar>
            <w:vAlign w:val="bottom"/>
          </w:tcPr>
          <w:p/>
        </w:tc>
        <w:tc>
          <w:tcPr>
            <w:tcW w:w="1491"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(366,156 </w:t>
            </w:r>
          </w:p>
        </w:tc>
        <w:tc>
          <w:tcPr>
            <w:tcW w:w="156" w:type="dxa"/>
            <w:tcBorders/>
            <w:shd w:fill="cceeff"/>
            <w:tcMar>
              <w:top w:w="15" w:type="dxa"/>
              <w:left w:w="15" w:type="dxa"/>
              <w:bottom w:w="30"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c>
          <w:tcPr>
            <w:tcW w:w="125" w:type="dxa"/>
            <w:tcBorders/>
            <w:shd w:fill="cceeff"/>
            <w:tcMar>
              <w:top w:w="15" w:type="dxa"/>
              <w:left w:w="15" w:type="dxa"/>
              <w:bottom w:w="30" w:type="dxa"/>
              <w:right w:w="15" w:type="dxa"/>
            </w:tcMar>
            <w:vAlign w:val="bottom"/>
          </w:tcPr>
          <w:p/>
        </w:tc>
        <w:tc>
          <w:tcPr>
            <w:tcW w:w="125" w:type="dxa"/>
            <w:tcBorders>
              <w:bottom w:val="single" w:color="000000" w:sz="16"/>
            </w:tcBorders>
            <w:shd w:fill="cceeff"/>
            <w:tcMar>
              <w:top w:w="15" w:type="dxa"/>
              <w:left w:w="15" w:type="dxa"/>
              <w:bottom w:w="15" w:type="dxa"/>
              <w:right w:w="15" w:type="dxa"/>
            </w:tcMar>
            <w:vAlign w:val="bottom"/>
          </w:tcPr>
          <w:p/>
        </w:tc>
        <w:tc>
          <w:tcPr>
            <w:tcW w:w="1402"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(296,020 </w:t>
            </w:r>
          </w:p>
        </w:tc>
        <w:tc>
          <w:tcPr>
            <w:tcW w:w="156" w:type="dxa"/>
            <w:tcBorders/>
            <w:shd w:fill="cceeff"/>
            <w:tcMar>
              <w:top w:w="15" w:type="dxa"/>
              <w:left w:w="15" w:type="dxa"/>
              <w:bottom w:w="30"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r>
      <w:tr>
        <w:trPr>
          <w:trHeight w:val="255" w:hRule="atLeast"/>
        </w:trPr>
        <w:tc>
          <w:tcPr>
            <w:tcW w:w="8165" w:type="dxa"/>
            <w:tcBorders/>
            <w:tcMar>
              <w:top w:w="15" w:type="dxa"/>
              <w:left w:w="15" w:type="dxa"/>
              <w:bottom w:w="30" w:type="dxa"/>
              <w:right w:w="15" w:type="dxa"/>
            </w:tcMar>
            <w:vAlign w:val="bottom"/>
          </w:tcPr>
          <w:p>
            <w:pPr>
              <w:spacing w:before="0" w:after="0"/>
              <w:ind w:left="264"/>
              <w:jc w:val="left"/>
            </w:pPr>
            <w:r>
              <w:rPr>
                <w:rFonts w:ascii="Times New Roman" w:hAnsi="Times New Roman"/>
                <w:b/>
                <w:i w:val="false"/>
                <w:color w:val="000000"/>
                <w:sz w:val="20"/>
              </w:rPr>
              <w:t xml:space="preserve"> Net cash from/ (used in) financing activities </w:t>
            </w:r>
          </w:p>
        </w:tc>
        <w:tc>
          <w:tcPr>
            <w:tcW w:w="125" w:type="dxa"/>
            <w:tcBorders/>
            <w:tcMar>
              <w:top w:w="15" w:type="dxa"/>
              <w:left w:w="15" w:type="dxa"/>
              <w:bottom w:w="30" w:type="dxa"/>
              <w:right w:w="15" w:type="dxa"/>
            </w:tcMar>
            <w:vAlign w:val="bottom"/>
          </w:tcPr>
          <w:p/>
        </w:tc>
        <w:tc>
          <w:tcPr>
            <w:tcW w:w="125" w:type="dxa"/>
            <w:tcBorders>
              <w:bottom w:val="single" w:color="000000" w:sz="16"/>
            </w:tcBorders>
            <w:tcMar>
              <w:top w:w="15" w:type="dxa"/>
              <w:left w:w="15" w:type="dxa"/>
              <w:bottom w:w="15" w:type="dxa"/>
              <w:right w:w="15" w:type="dxa"/>
            </w:tcMar>
            <w:vAlign w:val="bottom"/>
          </w:tcPr>
          <w:p/>
        </w:tc>
        <w:tc>
          <w:tcPr>
            <w:tcW w:w="1358"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61,577,266 </w:t>
            </w:r>
          </w:p>
        </w:tc>
        <w:tc>
          <w:tcPr>
            <w:tcW w:w="156" w:type="dxa"/>
            <w:tcBorders/>
            <w:tcMar>
              <w:top w:w="15" w:type="dxa"/>
              <w:left w:w="15" w:type="dxa"/>
              <w:bottom w:w="30" w:type="dxa"/>
              <w:right w:w="15" w:type="dxa"/>
            </w:tcMar>
            <w:vAlign w:val="bottom"/>
          </w:tcPr>
          <w:p/>
        </w:tc>
        <w:tc>
          <w:tcPr>
            <w:tcW w:w="125" w:type="dxa"/>
            <w:tcBorders/>
            <w:tcMar>
              <w:top w:w="15" w:type="dxa"/>
              <w:left w:w="15" w:type="dxa"/>
              <w:bottom w:w="30" w:type="dxa"/>
              <w:right w:w="15" w:type="dxa"/>
            </w:tcMar>
            <w:vAlign w:val="bottom"/>
          </w:tcPr>
          <w:p/>
        </w:tc>
        <w:tc>
          <w:tcPr>
            <w:tcW w:w="125" w:type="dxa"/>
            <w:tcBorders>
              <w:bottom w:val="single" w:color="000000" w:sz="16"/>
            </w:tcBorders>
            <w:tcMar>
              <w:top w:w="15" w:type="dxa"/>
              <w:left w:w="15" w:type="dxa"/>
              <w:bottom w:w="15" w:type="dxa"/>
              <w:right w:w="15" w:type="dxa"/>
            </w:tcMar>
            <w:vAlign w:val="bottom"/>
          </w:tcPr>
          <w:p/>
        </w:tc>
        <w:tc>
          <w:tcPr>
            <w:tcW w:w="1491"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9,171,893 </w:t>
            </w:r>
          </w:p>
        </w:tc>
        <w:tc>
          <w:tcPr>
            <w:tcW w:w="156" w:type="dxa"/>
            <w:tcBorders/>
            <w:tcMar>
              <w:top w:w="15" w:type="dxa"/>
              <w:left w:w="15" w:type="dxa"/>
              <w:bottom w:w="30" w:type="dxa"/>
              <w:right w:w="15" w:type="dxa"/>
            </w:tcMar>
            <w:vAlign w:val="bottom"/>
          </w:tcPr>
          <w:p/>
        </w:tc>
        <w:tc>
          <w:tcPr>
            <w:tcW w:w="125" w:type="dxa"/>
            <w:tcBorders/>
            <w:tcMar>
              <w:top w:w="15" w:type="dxa"/>
              <w:left w:w="15" w:type="dxa"/>
              <w:bottom w:w="30" w:type="dxa"/>
              <w:right w:w="15" w:type="dxa"/>
            </w:tcMar>
            <w:vAlign w:val="bottom"/>
          </w:tcPr>
          <w:p/>
        </w:tc>
        <w:tc>
          <w:tcPr>
            <w:tcW w:w="125" w:type="dxa"/>
            <w:tcBorders>
              <w:bottom w:val="single" w:color="000000" w:sz="16"/>
            </w:tcBorders>
            <w:tcMar>
              <w:top w:w="15" w:type="dxa"/>
              <w:left w:w="15" w:type="dxa"/>
              <w:bottom w:w="15" w:type="dxa"/>
              <w:right w:w="15" w:type="dxa"/>
            </w:tcMar>
            <w:vAlign w:val="bottom"/>
          </w:tcPr>
          <w:p/>
        </w:tc>
        <w:tc>
          <w:tcPr>
            <w:tcW w:w="1402"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(294,344 </w:t>
            </w:r>
          </w:p>
        </w:tc>
        <w:tc>
          <w:tcPr>
            <w:tcW w:w="156" w:type="dxa"/>
            <w:tcBorders/>
            <w:tcMar>
              <w:top w:w="15" w:type="dxa"/>
              <w:left w:w="15" w:type="dxa"/>
              <w:bottom w:w="30" w:type="dxa"/>
              <w:right w:w="15" w:type="dxa"/>
            </w:tcMar>
            <w:vAlign w:val="bottom"/>
          </w:tcPr>
          <w:p>
            <w:pPr>
              <w:spacing w:before="0" w:after="0"/>
              <w:ind w:left="120"/>
              <w:jc w:val="left"/>
            </w:pPr>
            <w:r>
              <w:rPr>
                <w:rFonts w:ascii="Times New Roman" w:hAnsi="Times New Roman"/>
                <w:b/>
                <w:i w:val="false"/>
                <w:color w:val="000000"/>
                <w:sz w:val="20"/>
              </w:rPr>
              <w:t xml:space="preserve"> ) </w:t>
            </w:r>
          </w:p>
        </w:tc>
      </w:tr>
      <w:tr>
        <w:trPr>
          <w:trHeight w:val="225" w:hRule="atLeast"/>
        </w:trPr>
        <w:tc>
          <w:tcPr>
            <w:tcW w:w="8165" w:type="dxa"/>
            <w:tcBorders/>
            <w:shd w:fill="cceeff"/>
            <w:tcMar>
              <w:top w:w="15" w:type="dxa"/>
              <w:left w:w="15" w:type="dxa"/>
              <w:bottom w:w="15" w:type="dxa"/>
              <w:right w:w="15" w:type="dxa"/>
            </w:tcMar>
            <w:vAlign w:val="top"/>
          </w:tcPr>
          <w:p>
            <w:pPr>
              <w:spacing w:before="0" w:after="0"/>
              <w:ind w:left="264"/>
              <w:jc w:val="left"/>
            </w:pPr>
            <w:r>
              <w:rPr>
                <w:rFonts w:ascii="Times New Roman" w:hAnsi="Times New Roman"/>
                <w:b w:val="false"/>
                <w:i w:val="false"/>
                <w:color w:val="000000"/>
                <w:sz w:val="20"/>
              </w:rPr>
              <w:t xml:space="preserve"> Net increase/(decrease) in cash and cash equivalents </w:t>
            </w:r>
          </w:p>
        </w:tc>
        <w:tc>
          <w:tcPr>
            <w:tcW w:w="125" w:type="dxa"/>
            <w:tcBorders/>
            <w:shd w:fill="cceeff"/>
            <w:tcMar>
              <w:top w:w="15" w:type="dxa"/>
              <w:left w:w="15" w:type="dxa"/>
              <w:bottom w:w="15" w:type="dxa"/>
              <w:right w:w="15" w:type="dxa"/>
            </w:tcMar>
            <w:vAlign w:val="bottom"/>
          </w:tcPr>
          <w:p/>
        </w:tc>
        <w:tc>
          <w:tcPr>
            <w:tcW w:w="125" w:type="dxa"/>
            <w:tcBorders/>
            <w:shd w:fill="cceeff"/>
            <w:tcMar>
              <w:top w:w="15" w:type="dxa"/>
              <w:left w:w="15" w:type="dxa"/>
              <w:bottom w:w="15" w:type="dxa"/>
              <w:right w:w="15" w:type="dxa"/>
            </w:tcMar>
            <w:vAlign w:val="bottom"/>
          </w:tcPr>
          <w:p/>
        </w:tc>
        <w:tc>
          <w:tcPr>
            <w:tcW w:w="1358"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(4,310,369 </w:t>
            </w:r>
          </w:p>
        </w:tc>
        <w:tc>
          <w:tcPr>
            <w:tcW w:w="156" w:type="dxa"/>
            <w:tcBorders/>
            <w:shd w:fill="cceeff"/>
            <w:tcMar>
              <w:top w:w="15" w:type="dxa"/>
              <w:left w:w="15" w:type="dxa"/>
              <w:bottom w:w="15" w:type="dxa"/>
              <w:right w:w="15" w:type="dxa"/>
            </w:tcMar>
            <w:vAlign w:val="bottom"/>
          </w:tcPr>
          <w:p>
            <w:pPr>
              <w:spacing w:before="0" w:after="0"/>
              <w:ind w:left="120"/>
              <w:jc w:val="left"/>
            </w:pPr>
            <w:r>
              <w:rPr>
                <w:rFonts w:ascii="Times New Roman" w:hAnsi="Times New Roman"/>
                <w:b/>
                <w:i w:val="false"/>
                <w:color w:val="000000"/>
                <w:sz w:val="20"/>
              </w:rPr>
              <w:t xml:space="preserve"> ) </w:t>
            </w:r>
          </w:p>
        </w:tc>
        <w:tc>
          <w:tcPr>
            <w:tcW w:w="125" w:type="dxa"/>
            <w:tcBorders/>
            <w:shd w:fill="cceeff"/>
            <w:tcMar>
              <w:top w:w="15" w:type="dxa"/>
              <w:left w:w="15" w:type="dxa"/>
              <w:bottom w:w="15" w:type="dxa"/>
              <w:right w:w="15" w:type="dxa"/>
            </w:tcMar>
            <w:vAlign w:val="bottom"/>
          </w:tcPr>
          <w:p/>
        </w:tc>
        <w:tc>
          <w:tcPr>
            <w:tcW w:w="125" w:type="dxa"/>
            <w:tcBorders/>
            <w:shd w:fill="cceeff"/>
            <w:tcMar>
              <w:top w:w="15" w:type="dxa"/>
              <w:left w:w="15" w:type="dxa"/>
              <w:bottom w:w="15" w:type="dxa"/>
              <w:right w:w="15" w:type="dxa"/>
            </w:tcMar>
            <w:vAlign w:val="bottom"/>
          </w:tcPr>
          <w:p/>
        </w:tc>
        <w:tc>
          <w:tcPr>
            <w:tcW w:w="1491"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(5,993,786 </w:t>
            </w:r>
          </w:p>
        </w:tc>
        <w:tc>
          <w:tcPr>
            <w:tcW w:w="156" w:type="dxa"/>
            <w:tcBorders/>
            <w:shd w:fill="cceeff"/>
            <w:tcMar>
              <w:top w:w="15" w:type="dxa"/>
              <w:left w:w="15" w:type="dxa"/>
              <w:bottom w:w="15" w:type="dxa"/>
              <w:right w:w="15" w:type="dxa"/>
            </w:tcMar>
            <w:vAlign w:val="bottom"/>
          </w:tcPr>
          <w:p>
            <w:pPr>
              <w:spacing w:before="0" w:after="0"/>
              <w:ind w:left="120"/>
              <w:jc w:val="left"/>
            </w:pPr>
            <w:r>
              <w:rPr>
                <w:rFonts w:ascii="Times New Roman" w:hAnsi="Times New Roman"/>
                <w:b/>
                <w:i w:val="false"/>
                <w:color w:val="000000"/>
                <w:sz w:val="20"/>
              </w:rPr>
              <w:t xml:space="preserve"> ) </w:t>
            </w:r>
          </w:p>
        </w:tc>
        <w:tc>
          <w:tcPr>
            <w:tcW w:w="125" w:type="dxa"/>
            <w:tcBorders/>
            <w:shd w:fill="cceeff"/>
            <w:tcMar>
              <w:top w:w="15" w:type="dxa"/>
              <w:left w:w="15" w:type="dxa"/>
              <w:bottom w:w="15" w:type="dxa"/>
              <w:right w:w="15" w:type="dxa"/>
            </w:tcMar>
            <w:vAlign w:val="bottom"/>
          </w:tcPr>
          <w:p/>
        </w:tc>
        <w:tc>
          <w:tcPr>
            <w:tcW w:w="125" w:type="dxa"/>
            <w:tcBorders/>
            <w:shd w:fill="cceeff"/>
            <w:tcMar>
              <w:top w:w="15" w:type="dxa"/>
              <w:left w:w="15" w:type="dxa"/>
              <w:bottom w:w="15" w:type="dxa"/>
              <w:right w:w="15" w:type="dxa"/>
            </w:tcMar>
            <w:vAlign w:val="bottom"/>
          </w:tcPr>
          <w:p/>
        </w:tc>
        <w:tc>
          <w:tcPr>
            <w:tcW w:w="1402" w:type="dxa"/>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(23,157,282 </w:t>
            </w:r>
          </w:p>
        </w:tc>
        <w:tc>
          <w:tcPr>
            <w:tcW w:w="156" w:type="dxa"/>
            <w:tcBorders/>
            <w:shd w:fill="cceeff"/>
            <w:tcMar>
              <w:top w:w="15" w:type="dxa"/>
              <w:left w:w="15" w:type="dxa"/>
              <w:bottom w:w="15" w:type="dxa"/>
              <w:right w:w="15" w:type="dxa"/>
            </w:tcMar>
            <w:vAlign w:val="bottom"/>
          </w:tcPr>
          <w:p>
            <w:pPr>
              <w:spacing w:before="0" w:after="0"/>
              <w:ind w:left="120"/>
              <w:jc w:val="left"/>
            </w:pPr>
            <w:r>
              <w:rPr>
                <w:rFonts w:ascii="Times New Roman" w:hAnsi="Times New Roman"/>
                <w:b/>
                <w:i w:val="false"/>
                <w:color w:val="000000"/>
                <w:sz w:val="20"/>
              </w:rPr>
              <w:t xml:space="preserve"> ) </w:t>
            </w:r>
          </w:p>
        </w:tc>
      </w:tr>
      <w:tr>
        <w:trPr>
          <w:trHeight w:val="210" w:hRule="atLeast"/>
        </w:trPr>
        <w:tc>
          <w:tcPr>
            <w:tcW w:w="8165" w:type="dxa"/>
            <w:tcBorders/>
            <w:tcMar>
              <w:top w:w="15" w:type="dxa"/>
              <w:left w:w="15" w:type="dxa"/>
              <w:bottom w:w="15" w:type="dxa"/>
              <w:right w:w="15" w:type="dxa"/>
            </w:tcMar>
            <w:vAlign w:val="top"/>
          </w:tcPr>
          <w:p>
            <w:pPr>
              <w:spacing w:before="0" w:after="0"/>
              <w:ind w:left="264"/>
              <w:jc w:val="left"/>
            </w:pPr>
            <w:r>
              <w:rPr>
                <w:rFonts w:ascii="Times New Roman" w:hAnsi="Times New Roman"/>
                <w:b w:val="false"/>
                <w:i w:val="false"/>
                <w:color w:val="000000"/>
                <w:sz w:val="20"/>
              </w:rPr>
              <w:t xml:space="preserve"> Effect of exchange rate changes on cash and cash equivalents </w:t>
            </w:r>
          </w:p>
        </w:tc>
        <w:tc>
          <w:tcPr>
            <w:tcW w:w="125"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358"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4,591,683 </w:t>
            </w:r>
          </w:p>
        </w:tc>
        <w:tc>
          <w:tcPr>
            <w:tcW w:w="156"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491"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(1,168,813 </w:t>
            </w:r>
          </w:p>
        </w:tc>
        <w:tc>
          <w:tcPr>
            <w:tcW w:w="156" w:type="dxa"/>
            <w:tcBorders/>
            <w:tcMar>
              <w:top w:w="15" w:type="dxa"/>
              <w:left w:w="15" w:type="dxa"/>
              <w:bottom w:w="15" w:type="dxa"/>
              <w:right w:w="15" w:type="dxa"/>
            </w:tcMar>
            <w:vAlign w:val="bottom"/>
          </w:tcPr>
          <w:p>
            <w:pPr>
              <w:spacing w:before="0" w:after="0"/>
              <w:ind w:left="120"/>
              <w:jc w:val="left"/>
            </w:pPr>
            <w:r>
              <w:rPr>
                <w:rFonts w:ascii="Times New Roman" w:hAnsi="Times New Roman"/>
                <w:b w:val="false"/>
                <w:i w:val="false"/>
                <w:color w:val="000000"/>
                <w:sz w:val="20"/>
              </w:rPr>
              <w:t xml:space="preserve"> ) </w:t>
            </w:r>
          </w:p>
        </w:tc>
        <w:tc>
          <w:tcPr>
            <w:tcW w:w="125" w:type="dxa"/>
            <w:tcBorders/>
            <w:tcMar>
              <w:top w:w="15" w:type="dxa"/>
              <w:left w:w="15" w:type="dxa"/>
              <w:bottom w:w="15" w:type="dxa"/>
              <w:right w:w="15" w:type="dxa"/>
            </w:tcMar>
            <w:vAlign w:val="bottom"/>
          </w:tcPr>
          <w:p/>
        </w:tc>
        <w:tc>
          <w:tcPr>
            <w:tcW w:w="125" w:type="dxa"/>
            <w:tcBorders/>
            <w:tcMar>
              <w:top w:w="15" w:type="dxa"/>
              <w:left w:w="15" w:type="dxa"/>
              <w:bottom w:w="15" w:type="dxa"/>
              <w:right w:w="15" w:type="dxa"/>
            </w:tcMar>
            <w:vAlign w:val="bottom"/>
          </w:tcPr>
          <w:p/>
        </w:tc>
        <w:tc>
          <w:tcPr>
            <w:tcW w:w="1402" w:type="dxa"/>
            <w:tcBorders/>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902,321 </w:t>
            </w:r>
          </w:p>
        </w:tc>
        <w:tc>
          <w:tcPr>
            <w:tcW w:w="156" w:type="dxa"/>
            <w:tcBorders/>
            <w:tcMar>
              <w:top w:w="15" w:type="dxa"/>
              <w:left w:w="15" w:type="dxa"/>
              <w:bottom w:w="15" w:type="dxa"/>
              <w:right w:w="15" w:type="dxa"/>
            </w:tcMar>
            <w:vAlign w:val="bottom"/>
          </w:tcPr>
          <w:p/>
        </w:tc>
      </w:tr>
      <w:tr>
        <w:trPr>
          <w:trHeight w:val="240" w:hRule="atLeast"/>
        </w:trPr>
        <w:tc>
          <w:tcPr>
            <w:tcW w:w="8165" w:type="dxa"/>
            <w:tcBorders/>
            <w:shd w:fill="cceeff"/>
            <w:tcMar>
              <w:top w:w="15" w:type="dxa"/>
              <w:left w:w="15" w:type="dxa"/>
              <w:bottom w:w="30" w:type="dxa"/>
              <w:right w:w="15" w:type="dxa"/>
            </w:tcMar>
            <w:vAlign w:val="bottom"/>
          </w:tcPr>
          <w:p>
            <w:pPr>
              <w:spacing w:before="0" w:after="0"/>
              <w:ind w:left="264"/>
              <w:jc w:val="left"/>
            </w:pPr>
            <w:r>
              <w:rPr>
                <w:rFonts w:ascii="Times New Roman" w:hAnsi="Times New Roman"/>
                <w:b w:val="false"/>
                <w:i w:val="false"/>
                <w:color w:val="000000"/>
                <w:sz w:val="20"/>
              </w:rPr>
              <w:t xml:space="preserve"> Cash and cash equivalents at beginning of period </w:t>
            </w:r>
          </w:p>
        </w:tc>
        <w:tc>
          <w:tcPr>
            <w:tcW w:w="125" w:type="dxa"/>
            <w:tcBorders/>
            <w:shd w:fill="cceeff"/>
            <w:tcMar>
              <w:top w:w="15" w:type="dxa"/>
              <w:left w:w="15" w:type="dxa"/>
              <w:bottom w:w="30" w:type="dxa"/>
              <w:right w:w="15" w:type="dxa"/>
            </w:tcMar>
            <w:vAlign w:val="bottom"/>
          </w:tcPr>
          <w:p/>
        </w:tc>
        <w:tc>
          <w:tcPr>
            <w:tcW w:w="125" w:type="dxa"/>
            <w:tcBorders>
              <w:bottom w:val="single" w:color="000000" w:sz="16"/>
            </w:tcBorders>
            <w:shd w:fill="cceeff"/>
            <w:tcMar>
              <w:top w:w="15" w:type="dxa"/>
              <w:left w:w="15" w:type="dxa"/>
              <w:bottom w:w="15" w:type="dxa"/>
              <w:right w:w="15" w:type="dxa"/>
            </w:tcMar>
            <w:vAlign w:val="bottom"/>
          </w:tcPr>
          <w:p/>
        </w:tc>
        <w:tc>
          <w:tcPr>
            <w:tcW w:w="1358"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25,968,681 </w:t>
            </w:r>
          </w:p>
        </w:tc>
        <w:tc>
          <w:tcPr>
            <w:tcW w:w="156" w:type="dxa"/>
            <w:tcBorders/>
            <w:shd w:fill="cceeff"/>
            <w:tcMar>
              <w:top w:w="15" w:type="dxa"/>
              <w:left w:w="15" w:type="dxa"/>
              <w:bottom w:w="30" w:type="dxa"/>
              <w:right w:w="15" w:type="dxa"/>
            </w:tcMar>
            <w:vAlign w:val="bottom"/>
          </w:tcPr>
          <w:p/>
        </w:tc>
        <w:tc>
          <w:tcPr>
            <w:tcW w:w="125" w:type="dxa"/>
            <w:tcBorders/>
            <w:shd w:fill="cceeff"/>
            <w:tcMar>
              <w:top w:w="15" w:type="dxa"/>
              <w:left w:w="15" w:type="dxa"/>
              <w:bottom w:w="30" w:type="dxa"/>
              <w:right w:w="15" w:type="dxa"/>
            </w:tcMar>
            <w:vAlign w:val="bottom"/>
          </w:tcPr>
          <w:p/>
        </w:tc>
        <w:tc>
          <w:tcPr>
            <w:tcW w:w="125" w:type="dxa"/>
            <w:tcBorders>
              <w:bottom w:val="single" w:color="000000" w:sz="16"/>
            </w:tcBorders>
            <w:shd w:fill="cceeff"/>
            <w:tcMar>
              <w:top w:w="15" w:type="dxa"/>
              <w:left w:w="15" w:type="dxa"/>
              <w:bottom w:w="15" w:type="dxa"/>
              <w:right w:w="15" w:type="dxa"/>
            </w:tcMar>
            <w:vAlign w:val="bottom"/>
          </w:tcPr>
          <w:p/>
        </w:tc>
        <w:tc>
          <w:tcPr>
            <w:tcW w:w="1491"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33,131,280 </w:t>
            </w:r>
          </w:p>
        </w:tc>
        <w:tc>
          <w:tcPr>
            <w:tcW w:w="156" w:type="dxa"/>
            <w:tcBorders/>
            <w:shd w:fill="cceeff"/>
            <w:tcMar>
              <w:top w:w="15" w:type="dxa"/>
              <w:left w:w="15" w:type="dxa"/>
              <w:bottom w:w="30" w:type="dxa"/>
              <w:right w:w="15" w:type="dxa"/>
            </w:tcMar>
            <w:vAlign w:val="bottom"/>
          </w:tcPr>
          <w:p/>
        </w:tc>
        <w:tc>
          <w:tcPr>
            <w:tcW w:w="125" w:type="dxa"/>
            <w:tcBorders/>
            <w:shd w:fill="cceeff"/>
            <w:tcMar>
              <w:top w:w="15" w:type="dxa"/>
              <w:left w:w="15" w:type="dxa"/>
              <w:bottom w:w="30" w:type="dxa"/>
              <w:right w:w="15" w:type="dxa"/>
            </w:tcMar>
            <w:vAlign w:val="bottom"/>
          </w:tcPr>
          <w:p/>
        </w:tc>
        <w:tc>
          <w:tcPr>
            <w:tcW w:w="125" w:type="dxa"/>
            <w:tcBorders>
              <w:bottom w:val="single" w:color="000000" w:sz="16"/>
            </w:tcBorders>
            <w:shd w:fill="cceeff"/>
            <w:tcMar>
              <w:top w:w="15" w:type="dxa"/>
              <w:left w:w="15" w:type="dxa"/>
              <w:bottom w:w="15" w:type="dxa"/>
              <w:right w:w="15" w:type="dxa"/>
            </w:tcMar>
            <w:vAlign w:val="bottom"/>
          </w:tcPr>
          <w:p/>
        </w:tc>
        <w:tc>
          <w:tcPr>
            <w:tcW w:w="1402" w:type="dxa"/>
            <w:tcBorders>
              <w:bottom w:val="single" w:color="000000" w:sz="16"/>
            </w:tcBorders>
            <w:shd w:fill="cceeff"/>
            <w:tcMar>
              <w:top w:w="15" w:type="dxa"/>
              <w:left w:w="15" w:type="dxa"/>
              <w:bottom w:w="15" w:type="dxa"/>
              <w:right w:w="15" w:type="dxa"/>
            </w:tcMar>
            <w:vAlign w:val="bottom"/>
          </w:tcPr>
          <w:p>
            <w:pPr>
              <w:spacing w:before="0" w:after="0"/>
              <w:ind w:left="120"/>
              <w:jc w:val="right"/>
            </w:pPr>
            <w:r>
              <w:rPr>
                <w:rFonts w:ascii="Times New Roman" w:hAnsi="Times New Roman"/>
                <w:b w:val="false"/>
                <w:i w:val="false"/>
                <w:color w:val="000000"/>
                <w:sz w:val="20"/>
              </w:rPr>
              <w:t xml:space="preserve"> 55,386,240 </w:t>
            </w:r>
          </w:p>
        </w:tc>
        <w:tc>
          <w:tcPr>
            <w:tcW w:w="156" w:type="dxa"/>
            <w:tcBorders/>
            <w:shd w:fill="cceeff"/>
            <w:tcMar>
              <w:top w:w="15" w:type="dxa"/>
              <w:left w:w="15" w:type="dxa"/>
              <w:bottom w:w="30" w:type="dxa"/>
              <w:right w:w="15" w:type="dxa"/>
            </w:tcMar>
            <w:vAlign w:val="bottom"/>
          </w:tcPr>
          <w:p/>
        </w:tc>
      </w:tr>
      <w:tr>
        <w:trPr>
          <w:trHeight w:val="255" w:hRule="atLeast"/>
        </w:trPr>
        <w:tc>
          <w:tcPr>
            <w:tcW w:w="8165" w:type="dxa"/>
            <w:tcBorders/>
            <w:tcMar>
              <w:top w:w="15" w:type="dxa"/>
              <w:left w:w="15" w:type="dxa"/>
              <w:bottom w:w="30" w:type="dxa"/>
              <w:right w:w="15" w:type="dxa"/>
            </w:tcMar>
            <w:vAlign w:val="bottom"/>
          </w:tcPr>
          <w:p>
            <w:pPr>
              <w:spacing w:before="0" w:after="0"/>
              <w:ind w:left="264"/>
              <w:jc w:val="left"/>
            </w:pPr>
            <w:r>
              <w:rPr>
                <w:rFonts w:ascii="Times New Roman" w:hAnsi="Times New Roman"/>
                <w:b/>
                <w:i w:val="false"/>
                <w:color w:val="000000"/>
                <w:sz w:val="20"/>
              </w:rPr>
              <w:t xml:space="preserve"> Cash and cash equivalents at end of period </w:t>
            </w:r>
          </w:p>
        </w:tc>
        <w:tc>
          <w:tcPr>
            <w:tcW w:w="125" w:type="dxa"/>
            <w:tcBorders/>
            <w:tcMar>
              <w:top w:w="15" w:type="dxa"/>
              <w:left w:w="15" w:type="dxa"/>
              <w:bottom w:w="30" w:type="dxa"/>
              <w:right w:w="15" w:type="dxa"/>
            </w:tcMar>
            <w:vAlign w:val="bottom"/>
          </w:tcPr>
          <w:p/>
        </w:tc>
        <w:tc>
          <w:tcPr>
            <w:tcW w:w="125" w:type="dxa"/>
            <w:tcBorders>
              <w:bottom w:val="single" w:color="000000" w:sz="16"/>
            </w:tcBorders>
            <w:tcMar>
              <w:top w:w="15" w:type="dxa"/>
              <w:left w:w="15" w:type="dxa"/>
              <w:bottom w:w="15" w:type="dxa"/>
              <w:right w:w="15" w:type="dxa"/>
            </w:tcMar>
            <w:vAlign w:val="bottom"/>
          </w:tcPr>
          <w:p/>
        </w:tc>
        <w:tc>
          <w:tcPr>
            <w:tcW w:w="1358"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26,249,995 </w:t>
            </w:r>
          </w:p>
        </w:tc>
        <w:tc>
          <w:tcPr>
            <w:tcW w:w="156" w:type="dxa"/>
            <w:tcBorders/>
            <w:tcMar>
              <w:top w:w="15" w:type="dxa"/>
              <w:left w:w="15" w:type="dxa"/>
              <w:bottom w:w="30" w:type="dxa"/>
              <w:right w:w="15" w:type="dxa"/>
            </w:tcMar>
            <w:vAlign w:val="bottom"/>
          </w:tcPr>
          <w:p/>
        </w:tc>
        <w:tc>
          <w:tcPr>
            <w:tcW w:w="125" w:type="dxa"/>
            <w:tcBorders/>
            <w:tcMar>
              <w:top w:w="15" w:type="dxa"/>
              <w:left w:w="15" w:type="dxa"/>
              <w:bottom w:w="30" w:type="dxa"/>
              <w:right w:w="15" w:type="dxa"/>
            </w:tcMar>
            <w:vAlign w:val="bottom"/>
          </w:tcPr>
          <w:p/>
        </w:tc>
        <w:tc>
          <w:tcPr>
            <w:tcW w:w="125" w:type="dxa"/>
            <w:tcBorders>
              <w:bottom w:val="single" w:color="000000" w:sz="16"/>
            </w:tcBorders>
            <w:tcMar>
              <w:top w:w="15" w:type="dxa"/>
              <w:left w:w="15" w:type="dxa"/>
              <w:bottom w:w="15" w:type="dxa"/>
              <w:right w:w="15" w:type="dxa"/>
            </w:tcMar>
            <w:vAlign w:val="bottom"/>
          </w:tcPr>
          <w:p/>
        </w:tc>
        <w:tc>
          <w:tcPr>
            <w:tcW w:w="1491"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25,968,681 </w:t>
            </w:r>
          </w:p>
        </w:tc>
        <w:tc>
          <w:tcPr>
            <w:tcW w:w="156" w:type="dxa"/>
            <w:tcBorders/>
            <w:tcMar>
              <w:top w:w="15" w:type="dxa"/>
              <w:left w:w="15" w:type="dxa"/>
              <w:bottom w:w="30" w:type="dxa"/>
              <w:right w:w="15" w:type="dxa"/>
            </w:tcMar>
            <w:vAlign w:val="bottom"/>
          </w:tcPr>
          <w:p/>
        </w:tc>
        <w:tc>
          <w:tcPr>
            <w:tcW w:w="125" w:type="dxa"/>
            <w:tcBorders/>
            <w:tcMar>
              <w:top w:w="15" w:type="dxa"/>
              <w:left w:w="15" w:type="dxa"/>
              <w:bottom w:w="30" w:type="dxa"/>
              <w:right w:w="15" w:type="dxa"/>
            </w:tcMar>
            <w:vAlign w:val="bottom"/>
          </w:tcPr>
          <w:p/>
        </w:tc>
        <w:tc>
          <w:tcPr>
            <w:tcW w:w="125" w:type="dxa"/>
            <w:tcBorders>
              <w:bottom w:val="single" w:color="000000" w:sz="16"/>
            </w:tcBorders>
            <w:tcMar>
              <w:top w:w="15" w:type="dxa"/>
              <w:left w:w="15" w:type="dxa"/>
              <w:bottom w:w="15" w:type="dxa"/>
              <w:right w:w="15" w:type="dxa"/>
            </w:tcMar>
            <w:vAlign w:val="bottom"/>
          </w:tcPr>
          <w:p/>
        </w:tc>
        <w:tc>
          <w:tcPr>
            <w:tcW w:w="1402" w:type="dxa"/>
            <w:tcBorders>
              <w:bottom w:val="single" w:color="000000" w:sz="16"/>
            </w:tcBorders>
            <w:tcMar>
              <w:top w:w="15" w:type="dxa"/>
              <w:left w:w="15" w:type="dxa"/>
              <w:bottom w:w="15" w:type="dxa"/>
              <w:right w:w="15" w:type="dxa"/>
            </w:tcMar>
            <w:vAlign w:val="bottom"/>
          </w:tcPr>
          <w:p>
            <w:pPr>
              <w:spacing w:before="0" w:after="0"/>
              <w:ind w:left="120"/>
              <w:jc w:val="right"/>
            </w:pPr>
            <w:r>
              <w:rPr>
                <w:rFonts w:ascii="Times New Roman" w:hAnsi="Times New Roman"/>
                <w:b/>
                <w:i w:val="false"/>
                <w:color w:val="000000"/>
                <w:sz w:val="20"/>
              </w:rPr>
              <w:t xml:space="preserve"> 33,131,280 </w:t>
            </w:r>
          </w:p>
        </w:tc>
        <w:tc>
          <w:tcPr>
            <w:tcW w:w="156" w:type="dxa"/>
            <w:tcBorders/>
            <w:tcMar>
              <w:top w:w="15" w:type="dxa"/>
              <w:left w:w="15" w:type="dxa"/>
              <w:bottom w:w="30" w:type="dxa"/>
              <w:right w:w="15" w:type="dxa"/>
            </w:tcMar>
            <w:vAlign w:val="bottom"/>
          </w:tcPr>
          <w:p/>
        </w:tc>
      </w:tr>
    </w:tbl>
    <w:bookmarkEnd w:id="105"/>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bookmarkStart w:name="DSPFPageBreakArea" w:id="106"/>
    <w:p>
      <w:pPr>
        <w:spacing w:before="0" w:after="0"/>
        <w:ind w:left="120"/>
        <w:jc w:val="left"/>
      </w:pPr>
      <w:bookmarkStart w:name="DSPFPageBreak" w:id="107"/>
    </w:p>
    <w:p>
      <w:r>
        <w:pict>
          <v:rect style="width:0;height:1.5pt" id="_x0000_i1025" o:hr="t" o:hrstd="t" o:hralign="center" stroked="f" fillcolor="#a0a0a0"/>
        </w:pict>
      </w:r>
    </w:p>
    <w:bookmarkEnd w:id="107"/>
    <w:bookmarkStart w:name="DSPFPageHeader" w:id="108"/>
    <w:tbl>
      <w:tblPr>
        <w:tblW w:w="0" w:type="auto"/>
        <w:tblCellSpacing w:w="0" w:type="dxa"/>
        <w:tblBorders>
          <w:top w:val="none"/>
          <w:left w:val="none"/>
          <w:bottom w:val="none"/>
          <w:right w:val="none"/>
          <w:insideH w:val="none"/>
          <w:insideV w:val="none"/>
        </w:tblBorders>
      </w:tblPr>
      <w:tblGrid>
        <w:gridCol w:w="6817"/>
        <w:gridCol w:w="6817"/>
      </w:tblGrid>
      <w:tr>
        <w:trPr/>
        <w:tc>
          <w:tcPr>
            <w:tcW w:w="6817" w:type="dxa"/>
            <w:tcBorders/>
            <w:tcMar>
              <w:top w:w="15" w:type="dxa"/>
              <w:left w:w="15" w:type="dxa"/>
              <w:bottom w:w="15" w:type="dxa"/>
              <w:right w:w="15" w:type="dxa"/>
            </w:tcMar>
            <w:vAlign w:val="center"/>
          </w:tcPr>
          <w:p>
            <w:r>
              <w:drawing>
                <wp:inline distT="0" distB="0" distL="0" distR="0">
                  <wp:extent cx="1543050" cy="55245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43050" cy="552450"/>
                          </a:xfrm>
                          <a:prstGeom prst="rect">
                            <a:avLst/>
                          </a:prstGeom>
                        </pic:spPr>
                      </pic:pic>
                    </a:graphicData>
                  </a:graphic>
                </wp:inline>
              </w:drawing>
            </w:r>
          </w:p>
        </w:tc>
        <w:tc>
          <w:tcPr>
            <w:tcW w:w="6817" w:type="dxa"/>
            <w:tcBorders/>
            <w:tcMar>
              <w:top w:w="15" w:type="dxa"/>
              <w:left w:w="15" w:type="dxa"/>
              <w:bottom w:w="15" w:type="dxa"/>
              <w:right w:w="15" w:type="dxa"/>
            </w:tcMar>
            <w:vAlign w:val="center"/>
          </w:tcPr>
          <w:p>
            <w:pPr>
              <w:spacing w:before="0" w:after="0"/>
              <w:ind w:left="120"/>
              <w:jc w:val="left"/>
            </w:pPr>
          </w:p>
        </w:tc>
      </w:tr>
    </w:tbl>
    <w:bookmarkEnd w:id="108"/>
    <w:bookmarkEnd w:id="106"/>
    <w:p>
      <w:pPr>
        <w:spacing w:before="0" w:after="0"/>
        <w:ind w:left="120"/>
        <w:jc w:val="both"/>
      </w:pPr>
      <w:r>
        <w:rPr>
          <w:rFonts w:ascii="Times New Roman" w:hAnsi="Times New Roman"/>
          <w:b/>
          <w:i w:val="false"/>
          <w:color w:val="000000"/>
          <w:sz w:val="20"/>
        </w:rPr>
        <w:t xml:space="preserve"> About Vilobelimab (IFX-1): </w:t>
      </w:r>
    </w:p>
    <w:p>
      <w:pPr>
        <w:spacing w:before="0" w:after="0"/>
        <w:ind w:left="120"/>
        <w:jc w:val="left"/>
      </w:pPr>
    </w:p>
    <w:p>
      <w:pPr>
        <w:spacing w:before="0" w:after="0"/>
        <w:ind w:left="120"/>
        <w:jc w:val="both"/>
      </w:pPr>
      <w:r>
        <w:rPr>
          <w:rFonts w:ascii="Times New Roman" w:hAnsi="Times New Roman"/>
          <w:b w:val="false"/>
          <w:i w:val="false"/>
          <w:color w:val="000000"/>
          <w:sz w:val="20"/>
        </w:rPr>
        <w:t xml:space="preserve"> Vilobelimab is a first-in-class monoclonal anti-human complement factor C5a antibody, which highly and effectively blocks the biological activity of C5a and demonstrates high selectivity towards its target in human blood. Thus, vilobelimab leaves the formation of the membrane attack complex (C5b-9) intact as an important defense mechanism, which is not the case for molecules blocking the cleavage of C5. Vilobelimab has been demonstrated to control the inflammatory response driven tissue and organ damage by specifically blocking C5a as a key “amplifier” of this response in pre-clinical studies. Vilobelimab is believed to be the first monoclonal anti-C5a antibody introduced into clinical development. Over 300 people have been treated with vilobelimab in clinical trials, and the antibody has been shown to be well tolerated. Vilobelimab is being developed for various indications, including </w:t>
      </w:r>
      <w:r>
        <w:rPr>
          <w:rFonts w:ascii="Times New Roman" w:hAnsi="Times New Roman"/>
          <w:b w:val="false"/>
          <w:i/>
          <w:color w:val="000000"/>
          <w:sz w:val="20"/>
        </w:rPr>
        <w:t>hidradenitis suppurativa</w:t>
      </w:r>
      <w:r>
        <w:rPr>
          <w:rFonts w:ascii="Times New Roman" w:hAnsi="Times New Roman"/>
          <w:b w:val="false"/>
          <w:i w:val="false"/>
          <w:color w:val="000000"/>
          <w:sz w:val="20"/>
        </w:rPr>
        <w:t xml:space="preserve">, ANCA-associated vasculitis and </w:t>
      </w:r>
      <w:r>
        <w:rPr>
          <w:rFonts w:ascii="Times New Roman" w:hAnsi="Times New Roman"/>
          <w:b w:val="false"/>
          <w:i/>
          <w:color w:val="000000"/>
          <w:sz w:val="20"/>
        </w:rPr>
        <w:t>pyoderma gangrenosum</w:t>
      </w:r>
      <w:r>
        <w:rPr>
          <w:rFonts w:ascii="Times New Roman" w:hAnsi="Times New Roman"/>
          <w:b w:val="false"/>
          <w:i w:val="false"/>
          <w:color w:val="000000"/>
          <w:sz w:val="20"/>
        </w:rPr>
        <w:t xml:space="preserve">, as well as severe COVID-19 and </w:t>
      </w:r>
      <w:r>
        <w:rPr>
          <w:rFonts w:ascii="Times New Roman" w:hAnsi="Times New Roman"/>
          <w:b w:val="false"/>
          <w:i/>
          <w:color w:val="000000"/>
          <w:sz w:val="20"/>
        </w:rPr>
        <w:t>cutaneous squamous cell carcinoma</w:t>
      </w:r>
      <w:r>
        <w:rPr>
          <w:rFonts w:ascii="Times New Roman" w:hAnsi="Times New Roman"/>
          <w:b w:val="false"/>
          <w:i w:val="false"/>
          <w:color w:val="000000"/>
          <w:sz w:val="20"/>
        </w:rPr>
        <w:t xml:space="preserve"> (cSCC). </w:t>
      </w:r>
    </w:p>
    <w:p>
      <w:pPr>
        <w:spacing w:before="0" w:after="0"/>
        <w:ind w:left="120"/>
        <w:jc w:val="left"/>
      </w:pPr>
    </w:p>
    <w:p>
      <w:pPr>
        <w:spacing w:before="0" w:after="0"/>
        <w:ind w:left="120"/>
        <w:jc w:val="both"/>
      </w:pPr>
      <w:r>
        <w:rPr>
          <w:rFonts w:ascii="Times New Roman" w:hAnsi="Times New Roman"/>
          <w:b/>
          <w:i w:val="false"/>
          <w:color w:val="000000"/>
          <w:sz w:val="20"/>
        </w:rPr>
        <w:t xml:space="preserve"> About InflaRx N.V.: </w:t>
      </w:r>
    </w:p>
    <w:p>
      <w:pPr>
        <w:spacing w:before="0" w:after="0"/>
        <w:ind w:left="120"/>
        <w:jc w:val="left"/>
      </w:pPr>
    </w:p>
    <w:p>
      <w:pPr>
        <w:spacing w:before="0" w:after="0"/>
        <w:ind w:left="120"/>
        <w:jc w:val="both"/>
      </w:pPr>
      <w:r>
        <w:rPr>
          <w:rFonts w:ascii="Times New Roman" w:hAnsi="Times New Roman"/>
          <w:b w:val="false"/>
          <w:i w:val="false"/>
          <w:color w:val="000000"/>
          <w:sz w:val="20"/>
        </w:rPr>
        <w:t xml:space="preserve"> InflaRx (Nasdaq: IFRX) is a clinical-stage biopharmaceutical company focused on applying its proprietary anti-C5a technology to discover and develop first-in-class, potent and specific inhibitors of C5a. Complement C5a is a powerful inflammatory mediator involved in the progression of a wide variety of autoimmune and other inflammatory diseases. InflaRx was founded in 2007, and the group has offices and subsidiaries in Jena and Munich, Germany, as well as Ann Arbor, MI, USA. For further information please visit </w:t>
      </w:r>
      <w:r>
        <w:rPr>
          <w:rFonts w:ascii="Times New Roman" w:hAnsi="Times New Roman"/>
          <w:b w:val="false"/>
          <w:i w:val="false"/>
          <w:color w:val="000000"/>
          <w:sz w:val="20"/>
          <w:u w:val="single"/>
        </w:rPr>
        <w:t>www.inflarx.de.</w:t>
      </w:r>
      <w:r>
        <w:rPr>
          <w:rFonts w:ascii="Times New Roman" w:hAnsi="Times New Roman"/>
          <w:b w:val="false"/>
          <w:i w:val="false"/>
          <w:color w:val="000000"/>
          <w:sz w:val="20"/>
        </w:rPr>
        <w:t xml:space="preserve"> </w:t>
      </w:r>
    </w:p>
    <w:p>
      <w:pPr>
        <w:spacing w:before="0" w:after="0"/>
        <w:ind w:left="120"/>
        <w:jc w:val="left"/>
      </w:pPr>
    </w:p>
    <w:p>
      <w:pPr>
        <w:spacing w:before="0" w:after="0"/>
        <w:ind w:left="120"/>
        <w:jc w:val="both"/>
      </w:pPr>
      <w:r>
        <w:rPr>
          <w:rFonts w:ascii="Times New Roman" w:hAnsi="Times New Roman"/>
          <w:b/>
          <w:i w:val="false"/>
          <w:color w:val="000000"/>
          <w:sz w:val="20"/>
        </w:rPr>
        <w:t xml:space="preserve"> Contacts: </w:t>
      </w:r>
    </w:p>
    <w:p>
      <w:pPr>
        <w:spacing w:before="0" w:after="0"/>
        <w:ind w:left="120"/>
        <w:jc w:val="left"/>
      </w:pPr>
    </w:p>
    <w:p>
      <w:pPr>
        <w:spacing w:before="0" w:after="0"/>
        <w:ind w:left="120"/>
        <w:jc w:val="both"/>
      </w:pPr>
      <w:r>
        <w:rPr>
          <w:rFonts w:ascii="Times New Roman" w:hAnsi="Times New Roman"/>
          <w:b/>
          <w:i w:val="false"/>
          <w:color w:val="000000"/>
          <w:sz w:val="20"/>
        </w:rPr>
        <w:t xml:space="preserve"> InflaRx N.V. </w:t>
      </w:r>
    </w:p>
    <w:p>
      <w:pPr>
        <w:spacing w:before="0" w:after="0"/>
        <w:ind w:left="120"/>
        <w:jc w:val="left"/>
      </w:pPr>
    </w:p>
    <w:p>
      <w:pPr>
        <w:spacing w:before="0" w:after="0"/>
        <w:ind w:left="120"/>
        <w:jc w:val="both"/>
      </w:pPr>
      <w:r>
        <w:rPr>
          <w:rFonts w:ascii="Times New Roman" w:hAnsi="Times New Roman"/>
          <w:b w:val="false"/>
          <w:i w:val="false"/>
          <w:color w:val="000000"/>
          <w:sz w:val="20"/>
        </w:rPr>
        <w:t xml:space="preserve"> Jordan Zwick – Chief Strategy Officer </w:t>
      </w:r>
    </w:p>
    <w:p>
      <w:pPr>
        <w:spacing w:before="0" w:after="0"/>
        <w:ind w:left="120"/>
        <w:jc w:val="both"/>
      </w:pPr>
      <w:r>
        <w:rPr>
          <w:rFonts w:ascii="Times New Roman" w:hAnsi="Times New Roman"/>
          <w:b w:val="false"/>
          <w:i w:val="false"/>
          <w:color w:val="000000"/>
          <w:sz w:val="20"/>
        </w:rPr>
        <w:t xml:space="preserve"> Email: IR@inflarx.de </w:t>
      </w:r>
    </w:p>
    <w:p>
      <w:pPr>
        <w:spacing w:before="0" w:after="0"/>
        <w:ind w:left="120"/>
        <w:jc w:val="both"/>
      </w:pPr>
      <w:r>
        <w:rPr>
          <w:rFonts w:ascii="Times New Roman" w:hAnsi="Times New Roman"/>
          <w:b w:val="false"/>
          <w:i w:val="false"/>
          <w:color w:val="000000"/>
          <w:sz w:val="20"/>
        </w:rPr>
        <w:t xml:space="preserve"> Tel: +1 917-338-6523 </w:t>
      </w:r>
    </w:p>
    <w:p>
      <w:pPr>
        <w:spacing w:before="0" w:after="0"/>
        <w:ind w:left="120"/>
        <w:jc w:val="left"/>
      </w:pPr>
    </w:p>
    <w:p>
      <w:pPr>
        <w:spacing w:before="0" w:after="0"/>
        <w:ind w:left="120"/>
        <w:jc w:val="both"/>
      </w:pPr>
      <w:r>
        <w:rPr>
          <w:rFonts w:ascii="Times New Roman" w:hAnsi="Times New Roman"/>
          <w:b/>
          <w:i w:val="false"/>
          <w:color w:val="000000"/>
          <w:sz w:val="20"/>
        </w:rPr>
        <w:t xml:space="preserve"> MC Services AG </w:t>
      </w:r>
    </w:p>
    <w:p>
      <w:pPr>
        <w:spacing w:before="0" w:after="0"/>
        <w:ind w:left="120"/>
        <w:jc w:val="left"/>
      </w:pPr>
    </w:p>
    <w:p>
      <w:pPr>
        <w:spacing w:before="0" w:after="0"/>
        <w:ind w:left="120"/>
        <w:jc w:val="both"/>
      </w:pPr>
      <w:r>
        <w:rPr>
          <w:rFonts w:ascii="Times New Roman" w:hAnsi="Times New Roman"/>
          <w:b w:val="false"/>
          <w:i w:val="false"/>
          <w:color w:val="000000"/>
          <w:sz w:val="20"/>
        </w:rPr>
        <w:t xml:space="preserve"> Katja Arnold, Laurie Doyle, Andreas Jungfer </w:t>
      </w:r>
    </w:p>
    <w:p>
      <w:pPr>
        <w:spacing w:before="0" w:after="0"/>
        <w:ind w:left="120"/>
        <w:jc w:val="both"/>
      </w:pPr>
      <w:r>
        <w:rPr>
          <w:rFonts w:ascii="Times New Roman" w:hAnsi="Times New Roman"/>
          <w:b w:val="false"/>
          <w:i w:val="false"/>
          <w:color w:val="000000"/>
          <w:sz w:val="20"/>
        </w:rPr>
        <w:t xml:space="preserve"> Email: inflarx@mc-services.eu </w:t>
      </w:r>
    </w:p>
    <w:p>
      <w:pPr>
        <w:spacing w:before="0" w:after="0"/>
        <w:ind w:left="120"/>
        <w:jc w:val="both"/>
      </w:pPr>
      <w:r>
        <w:rPr>
          <w:rFonts w:ascii="Times New Roman" w:hAnsi="Times New Roman"/>
          <w:b w:val="false"/>
          <w:i w:val="false"/>
          <w:color w:val="000000"/>
          <w:sz w:val="20"/>
        </w:rPr>
        <w:t xml:space="preserve"> Europe: +49 89-210 2280 </w:t>
      </w:r>
    </w:p>
    <w:p>
      <w:pPr>
        <w:spacing w:before="0" w:after="0"/>
        <w:ind w:left="120"/>
        <w:jc w:val="both"/>
      </w:pPr>
      <w:r>
        <w:rPr>
          <w:rFonts w:ascii="Times New Roman" w:hAnsi="Times New Roman"/>
          <w:b w:val="false"/>
          <w:i w:val="false"/>
          <w:color w:val="000000"/>
          <w:sz w:val="20"/>
        </w:rPr>
        <w:t xml:space="preserve"> US: +1-339-832-0752 </w:t>
      </w:r>
    </w:p>
    <w:p>
      <w:pPr>
        <w:spacing w:before="0" w:after="0"/>
        <w:ind w:left="120"/>
        <w:jc w:val="left"/>
      </w:pPr>
    </w:p>
    <w:bookmarkStart w:name="DSPFPageBreakArea" w:id="109"/>
    <w:p>
      <w:pPr>
        <w:spacing w:before="0" w:after="0"/>
        <w:ind w:left="120"/>
        <w:jc w:val="left"/>
      </w:pPr>
      <w:bookmarkStart w:name="DSPFPageBreak" w:id="110"/>
    </w:p>
    <w:p>
      <w:r>
        <w:pict>
          <v:rect style="width:0;height:1.5pt" id="_x0000_i1025" o:hr="t" o:hrstd="t" o:hralign="center" stroked="f" fillcolor="#a0a0a0"/>
        </w:pict>
      </w:r>
    </w:p>
    <w:bookmarkEnd w:id="110"/>
    <w:bookmarkStart w:name="DSPFPageHeader" w:id="111"/>
    <w:tbl>
      <w:tblPr>
        <w:tblW w:w="0" w:type="auto"/>
        <w:tblCellSpacing w:w="0" w:type="dxa"/>
        <w:tblBorders>
          <w:top w:val="none"/>
          <w:left w:val="none"/>
          <w:bottom w:val="none"/>
          <w:right w:val="none"/>
          <w:insideH w:val="none"/>
          <w:insideV w:val="none"/>
        </w:tblBorders>
      </w:tblPr>
      <w:tblGrid>
        <w:gridCol w:w="6817"/>
        <w:gridCol w:w="6817"/>
      </w:tblGrid>
      <w:tr>
        <w:trPr/>
        <w:tc>
          <w:tcPr>
            <w:tcW w:w="6817" w:type="dxa"/>
            <w:tcBorders/>
            <w:tcMar>
              <w:top w:w="15" w:type="dxa"/>
              <w:left w:w="15" w:type="dxa"/>
              <w:bottom w:w="15" w:type="dxa"/>
              <w:right w:w="15" w:type="dxa"/>
            </w:tcMar>
            <w:vAlign w:val="center"/>
          </w:tcPr>
          <w:p>
            <w:r>
              <w:drawing>
                <wp:inline distT="0" distB="0" distL="0" distR="0">
                  <wp:extent cx="1543050" cy="55245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43050" cy="552450"/>
                          </a:xfrm>
                          <a:prstGeom prst="rect">
                            <a:avLst/>
                          </a:prstGeom>
                        </pic:spPr>
                      </pic:pic>
                    </a:graphicData>
                  </a:graphic>
                </wp:inline>
              </w:drawing>
            </w:r>
          </w:p>
        </w:tc>
        <w:tc>
          <w:tcPr>
            <w:tcW w:w="6817" w:type="dxa"/>
            <w:tcBorders/>
            <w:tcMar>
              <w:top w:w="15" w:type="dxa"/>
              <w:left w:w="15" w:type="dxa"/>
              <w:bottom w:w="15" w:type="dxa"/>
              <w:right w:w="15" w:type="dxa"/>
            </w:tcMar>
            <w:vAlign w:val="center"/>
          </w:tcPr>
          <w:p>
            <w:pPr>
              <w:spacing w:before="0" w:after="0"/>
              <w:ind w:left="120"/>
              <w:jc w:val="left"/>
            </w:pPr>
          </w:p>
        </w:tc>
      </w:tr>
    </w:tbl>
    <w:bookmarkEnd w:id="111"/>
    <w:bookmarkEnd w:id="109"/>
    <w:p>
      <w:pPr>
        <w:spacing w:before="0" w:after="0"/>
        <w:ind w:left="120"/>
        <w:jc w:val="both"/>
      </w:pPr>
      <w:r>
        <w:rPr>
          <w:rFonts w:ascii="Times New Roman" w:hAnsi="Times New Roman"/>
          <w:b w:val="false"/>
          <w:i w:val="false"/>
          <w:color w:val="000000"/>
          <w:sz w:val="20"/>
        </w:rPr>
        <w:t xml:space="preserve"> FORWARD-LOOKING STATEMENTS </w:t>
      </w:r>
    </w:p>
    <w:p>
      <w:pPr>
        <w:spacing w:before="0" w:after="0"/>
        <w:ind w:left="120"/>
        <w:jc w:val="both"/>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both"/>
      </w:pPr>
      <w:r>
        <w:rPr>
          <w:rFonts w:ascii="Times New Roman" w:hAnsi="Times New Roman"/>
          <w:b w:val="false"/>
          <w:i w:val="false"/>
          <w:color w:val="000000"/>
          <w:sz w:val="20"/>
        </w:rPr>
        <w:t xml:space="preserve"> This press release contains forward-looking statements. All statements other than statements of historical fact are forward-looking statements, which are often indicated by terms such as “may,” “will,” “should,” “expect,” “plan,” “anticipate,” “could,” “intend,” “target,” “project,” “believe,” “estimate,” “predict,” “potential” or “continue” and similar expressions. Forward-looking statements appear in a number of places throughout this release and may include statements regarding our intentions, beliefs, projections, outlook, analyses and current expectations concerning, among other things, our ongoing and planned pre-clinical development and clinical trials, in particular our Phase III trial in HS and related communications with the FDA, in particular addressing the FDA’s advice in various communications to us regarding the primary endpoint for the Phase III trial; the impact of the COVID-19 pandemic on the Company; the timing and our ability to commence and conduct clinical trials; potential results from current or potential future collaborations; our ability to make regulatory filings, obtain positive guidance from regulators, and obtain and maintain regulatory approvals for our product candidates; our intellectual property position; our ability to develop commercial functions; expectations regarding clinical trial data; our results of operations, cash needs, financial condition, liquidity, prospects, future transactions, growth and strategies; the industry in which we operate; the trends that may affect the industry or us and the risks, uncertainties and other factors described under the heading “Risk Factors” in InflaRx’s most recent annual report on Form 20-F filed with the Securities and Exchange Commission. </w:t>
      </w:r>
    </w:p>
    <w:p>
      <w:pPr>
        <w:spacing w:before="0" w:after="0"/>
        <w:ind w:left="120"/>
        <w:jc w:val="left"/>
      </w:pPr>
    </w:p>
    <w:p>
      <w:pPr>
        <w:spacing w:before="0" w:after="0"/>
        <w:ind w:left="120"/>
        <w:jc w:val="both"/>
      </w:pPr>
      <w:r>
        <w:rPr>
          <w:rFonts w:ascii="Times New Roman" w:hAnsi="Times New Roman"/>
          <w:b w:val="false"/>
          <w:i w:val="false"/>
          <w:color w:val="000000"/>
          <w:sz w:val="20"/>
        </w:rPr>
        <w:t xml:space="preserve"> These statements speak only as of the date of this press release and involve known and unknown risks, uncertainties and other important factors that may cause our actual results, performance or achievements to be materially different from any future results, performance or achievements expressed or implied by the forward-looking statements. Given these risks, uncertainties and other factors, you should not place undue reliance on these forward-looking statements, and we assume no obligation to update these forward-looking statements, even if new information becomes available in the future, except as required by law. </w:t>
      </w:r>
    </w:p>
    <w:p>
      <w:pPr>
        <w:spacing w:before="0" w:after="0"/>
        <w:ind w:left="120"/>
        <w:jc w:val="left"/>
      </w:pPr>
    </w:p>
    <w:p>
      <w:pPr>
        <w:spacing w:before="0" w:after="0"/>
        <w:ind w:left="120"/>
        <w:jc w:val="left"/>
      </w:pPr>
      <w:r>
        <w:rPr>
          <w:rFonts w:ascii="Times New Roman" w:hAnsi="Times New Roman"/>
          <w:b w:val="false"/>
          <w:i w:val="false"/>
          <w:color w:val="000000"/>
          <w:sz w:val="20"/>
        </w:rPr>
        <w:t xml:space="preserve"> </w:t>
      </w:r>
      <w:r>
        <w:br/>
      </w:r>
      <w:r>
        <w:rPr>
          <w:rFonts w:ascii="Times New Roman" w:hAnsi="Times New Roman"/>
          <w:b w:val="false"/>
          <w:i w:val="false"/>
          <w:color w:val="000000"/>
          <w:sz w:val="20"/>
        </w:rPr>
        <w:t xml:space="preserve"> </w:t>
      </w:r>
    </w:p>
    <w:p>
      <w:pPr>
        <w:spacing w:before="0" w:after="0"/>
        <w:ind w:left="120"/>
        <w:jc w:val="left"/>
      </w:pPr>
    </w:p>
    <w:p>
      <w:r>
        <w:pict>
          <v:rect style="width:0;height:1.5pt" id="_x0000_i1025" o:hr="t" o:hrstd="t" o:hralign="center" stroked="f" fillcolor="#a0a0a0"/>
        </w:pict>
      </w:r>
    </w:p>
    <w:p>
      <w:pPr>
        <w:spacing w:before="0" w:after="0"/>
        <w:ind w:left="120"/>
        <w:jc w:val="left"/>
      </w:pPr>
    </w:p>
    <w:p/>
    <w:br w:type="page"/>
    <w:sectPr>
      <w:pgSz w:w="11907" w:h="16839" w:code="9"/>
      <w:pgMar w:top="1440" w:right="1440" w:bottom="1440" w:left="1440"/>
    </w:sectPr>
  </w:body>
</w:document>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media/document_image_rId4.jpeg" Type="http://schemas.openxmlformats.org/officeDocument/2006/relationships/image" Id="rId3"/>
    <Relationship Target="media/document_image_rId42.jpeg" Type="http://schemas.openxmlformats.org/officeDocument/2006/relationships/image" Id="rId4"/>
    <Relationship Target="media/document_image_rId422.jpeg" Type="http://schemas.openxmlformats.org/officeDocument/2006/relationships/image" Id="rId5"/>
    <Relationship Target="media/document_image_rId4222.jpeg" Type="http://schemas.openxmlformats.org/officeDocument/2006/relationships/image" Id="rId6"/>
    <Relationship Target="media/document_image_rId42222.jpeg" Type="http://schemas.openxmlformats.org/officeDocument/2006/relationships/image" Id="rId7"/>
    <Relationship Target="media/document_image_rId422222.jpeg" Type="http://schemas.openxmlformats.org/officeDocument/2006/relationships/image" Id="rId8"/>
    <Relationship Target="media/document_image_rId4222222.jpeg" Type="http://schemas.openxmlformats.org/officeDocument/2006/relationships/image" Id="rId9"/>
    <Relationship Target="media/document_image_rId42222222.jpeg" Type="http://schemas.openxmlformats.org/officeDocument/2006/relationships/image" Id="rId10"/>
    <Relationship Target="media/document_image_rId422222222.jpeg" Type="http://schemas.openxmlformats.org/officeDocument/2006/relationships/image" Id="rId11"/>
    <Relationship Target="media/document_image_rId4222222222.jpeg" Type="http://schemas.openxmlformats.org/officeDocument/2006/relationships/image" Id="rId12"/>
    <Relationship Target="media/document_image_rId42222222222.jpeg" Type="http://schemas.openxmlformats.org/officeDocument/2006/relationships/image" Id="rId13"/>
    <Relationship Target="media/document_image_rId422222222222.jpeg" Type="http://schemas.openxmlformats.org/officeDocument/2006/relationships/image" Id="rId14"/>
</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